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202B599" w14:textId="4FCF21E5" w:rsidR="005F345E" w:rsidRPr="001A5EBC" w:rsidRDefault="00167358" w:rsidP="00106894">
      <w:pPr>
        <w:pStyle w:val="BodyText"/>
      </w:pPr>
      <w:r w:rsidRPr="001A5EBC">
        <w:rPr>
          <w:noProof/>
        </w:rPr>
        <mc:AlternateContent>
          <mc:Choice Requires="wpg">
            <w:drawing>
              <wp:anchor distT="0" distB="0" distL="0" distR="0" simplePos="0" relativeHeight="251657221" behindDoc="1" locked="0" layoutInCell="1" allowOverlap="1" wp14:anchorId="2863EC70" wp14:editId="665B8BEA">
                <wp:simplePos x="0" y="0"/>
                <wp:positionH relativeFrom="page">
                  <wp:posOffset>24714</wp:posOffset>
                </wp:positionH>
                <wp:positionV relativeFrom="page">
                  <wp:posOffset>-24714</wp:posOffset>
                </wp:positionV>
                <wp:extent cx="7512908" cy="11590553"/>
                <wp:effectExtent l="0" t="0" r="5715" b="5080"/>
                <wp:wrapNone/>
                <wp:docPr id="1027610254"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12908" cy="11590553"/>
                          <a:chOff x="-17246" y="4417038"/>
                          <a:chExt cx="7513789" cy="11593727"/>
                        </a:xfrm>
                      </wpg:grpSpPr>
                      <wps:wsp>
                        <wps:cNvPr id="1822466291" name="Graphic 3"/>
                        <wps:cNvSpPr/>
                        <wps:spPr>
                          <a:xfrm>
                            <a:off x="-17246" y="4417038"/>
                            <a:ext cx="7513789" cy="11593727"/>
                          </a:xfrm>
                          <a:custGeom>
                            <a:avLst/>
                            <a:gdLst/>
                            <a:ahLst/>
                            <a:cxnLst/>
                            <a:rect l="l" t="t" r="r" b="b"/>
                            <a:pathLst>
                              <a:path w="6493510" h="3923665">
                                <a:moveTo>
                                  <a:pt x="6493497" y="0"/>
                                </a:moveTo>
                                <a:lnTo>
                                  <a:pt x="0" y="0"/>
                                </a:lnTo>
                                <a:lnTo>
                                  <a:pt x="0" y="3923487"/>
                                </a:lnTo>
                                <a:lnTo>
                                  <a:pt x="6493497" y="3923487"/>
                                </a:lnTo>
                                <a:lnTo>
                                  <a:pt x="6493497" y="0"/>
                                </a:lnTo>
                                <a:close/>
                              </a:path>
                            </a:pathLst>
                          </a:custGeom>
                          <a:solidFill>
                            <a:srgbClr val="0C1F2D"/>
                          </a:solidFill>
                        </wps:spPr>
                        <wps:bodyPr wrap="square" lIns="0" tIns="0" rIns="0" bIns="0" rtlCol="0">
                          <a:prstTxWarp prst="textNoShape">
                            <a:avLst/>
                          </a:prstTxWarp>
                          <a:noAutofit/>
                        </wps:bodyPr>
                      </wps:wsp>
                      <pic:pic xmlns:pic="http://schemas.openxmlformats.org/drawingml/2006/picture">
                        <pic:nvPicPr>
                          <pic:cNvPr id="84711817" name="Image 4"/>
                          <pic:cNvPicPr/>
                        </pic:nvPicPr>
                        <pic:blipFill>
                          <a:blip r:embed="rId8" cstate="print"/>
                          <a:stretch>
                            <a:fillRect/>
                          </a:stretch>
                        </pic:blipFill>
                        <pic:spPr>
                          <a:xfrm>
                            <a:off x="5184261" y="9525034"/>
                            <a:ext cx="1081203" cy="87409"/>
                          </a:xfrm>
                          <a:prstGeom prst="rect">
                            <a:avLst/>
                          </a:prstGeom>
                        </pic:spPr>
                      </pic:pic>
                      <pic:pic xmlns:pic="http://schemas.openxmlformats.org/drawingml/2006/picture">
                        <pic:nvPicPr>
                          <pic:cNvPr id="1320221054" name="Image 5"/>
                          <pic:cNvPicPr/>
                        </pic:nvPicPr>
                        <pic:blipFill>
                          <a:blip r:embed="rId9" cstate="print"/>
                          <a:stretch>
                            <a:fillRect/>
                          </a:stretch>
                        </pic:blipFill>
                        <pic:spPr>
                          <a:xfrm>
                            <a:off x="4673244" y="8774696"/>
                            <a:ext cx="412826" cy="825588"/>
                          </a:xfrm>
                          <a:prstGeom prst="rect">
                            <a:avLst/>
                          </a:prstGeom>
                        </pic:spPr>
                      </pic:pic>
                      <pic:pic xmlns:pic="http://schemas.openxmlformats.org/drawingml/2006/picture">
                        <pic:nvPicPr>
                          <pic:cNvPr id="1282777539" name="Image 6"/>
                          <pic:cNvPicPr/>
                        </pic:nvPicPr>
                        <pic:blipFill>
                          <a:blip r:embed="rId10" cstate="print"/>
                          <a:stretch>
                            <a:fillRect/>
                          </a:stretch>
                        </pic:blipFill>
                        <pic:spPr>
                          <a:xfrm>
                            <a:off x="5166239" y="9022011"/>
                            <a:ext cx="1498041" cy="383628"/>
                          </a:xfrm>
                          <a:prstGeom prst="rect">
                            <a:avLst/>
                          </a:prstGeom>
                        </pic:spPr>
                      </pic:pic>
                      <wps:wsp>
                        <wps:cNvPr id="1232692016" name="Graphic 7"/>
                        <wps:cNvSpPr/>
                        <wps:spPr>
                          <a:xfrm>
                            <a:off x="863993" y="8268179"/>
                            <a:ext cx="5800725" cy="6350"/>
                          </a:xfrm>
                          <a:custGeom>
                            <a:avLst/>
                            <a:gdLst/>
                            <a:ahLst/>
                            <a:cxnLst/>
                            <a:rect l="l" t="t" r="r" b="b"/>
                            <a:pathLst>
                              <a:path w="5800725" h="6350">
                                <a:moveTo>
                                  <a:pt x="0" y="0"/>
                                </a:moveTo>
                                <a:lnTo>
                                  <a:pt x="5800280" y="5994"/>
                                </a:lnTo>
                              </a:path>
                            </a:pathLst>
                          </a:custGeom>
                          <a:ln w="12700">
                            <a:solidFill>
                              <a:srgbClr val="009FE3"/>
                            </a:solidFill>
                            <a:prstDash val="solid"/>
                          </a:ln>
                        </wps:spPr>
                        <wps:bodyPr wrap="square" lIns="0" tIns="0" rIns="0" bIns="0" rtlCol="0">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2EFE0B59" id="Group 2" o:spid="_x0000_s1026" style="position:absolute;margin-left:1.95pt;margin-top:-1.95pt;width:591.55pt;height:912.65pt;z-index:-251659259;mso-wrap-distance-left:0;mso-wrap-distance-right:0;mso-position-horizontal-relative:page;mso-position-vertical-relative:page;mso-width-relative:margin;mso-height-relative:margin" coordorigin="-172,44170" coordsize="75137,115937"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">
                <v:shape id="Graphic 3" o:spid="_x0000_s1027" style="position:absolute;left:-172;top:44170;width:75137;height:115937;visibility:visible;mso-wrap-style:square;v-text-anchor:top" coordsize="6493510,392366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" path="m6493497,l,,,3923487r6493497,l6493497,xe" fillcolor="#0c1f2d" stroked="f">
                  <v:path arrowok="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4" o:spid="_x0000_s1028" type="#_x0000_t75" style="position:absolute;left:51842;top:95250;width:10812;height:874;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">
                  <v:imagedata r:id="rId11" o:title=""/>
                </v:shape>
                <v:shape id="Image 5" o:spid="_x0000_s1029" type="#_x0000_t75" style="position:absolute;left:46732;top:87746;width:4128;height:825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">
                  <v:imagedata r:id="rId12" o:title=""/>
                </v:shape>
                <v:shape id="Image 6" o:spid="_x0000_s1030" type="#_x0000_t75" style="position:absolute;left:51662;top:90220;width:14980;height:383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">
                  <v:imagedata r:id="rId13" o:title=""/>
                </v:shape>
                <v:shape id="Graphic 7" o:spid="_x0000_s1031" style="position:absolute;left:8639;top:82681;width:58008;height:64;visibility:visible;mso-wrap-style:square;v-text-anchor:top" coordsize="5800725,635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" path="m,l5800280,5994e" filled="f" strokecolor="#009fe3" strokeweight="1pt">
                  <v:path arrowok="t"/>
                </v:shape>
                <w10:wrap anchorx="page" anchory="page"/>
              </v:group>
            </w:pict>
          </mc:Fallback>
        </mc:AlternateContent>
      </w:r>
      <w:r w:rsidR="00837612" w:rsidRPr="001A5EBC">
        <w:rPr>
          <w:rFonts w:ascii="Times New Roman"/>
          <w:noProof/>
          <w:sz w:val="21"/>
        </w:rPr>
        <mc:AlternateContent>
          <mc:Choice Requires="wps">
            <w:drawing>
              <wp:anchor distT="0" distB="0" distL="114300" distR="114300" simplePos="0" relativeHeight="251657222" behindDoc="0" locked="0" layoutInCell="1" allowOverlap="1" wp14:anchorId="62A18D1A" wp14:editId="2D715BAC">
                <wp:simplePos x="0" y="0"/>
                <wp:positionH relativeFrom="page">
                  <wp:posOffset>930910</wp:posOffset>
                </wp:positionH>
                <wp:positionV relativeFrom="page">
                  <wp:posOffset>932815</wp:posOffset>
                </wp:positionV>
                <wp:extent cx="6201410" cy="1965960"/>
                <wp:effectExtent l="0" t="0" r="8890" b="15240"/>
                <wp:wrapNone/>
                <wp:docPr id="1538938901" name="Text Box 2"/>
                <wp:cNvGraphicFramePr/>
                <a:graphic xmlns:a="http://schemas.openxmlformats.org/drawingml/2006/main">
                  <a:graphicData uri="http://schemas.microsoft.com/office/word/2010/wordprocessingShape">
                    <wps:wsp>
                      <wps:cNvSpPr txBox="1"/>
                      <wps:spPr>
                        <a:xfrm>
                          <a:off x="0" y="0"/>
                          <a:ext cx="6201410" cy="1965960"/>
                        </a:xfrm>
                        <a:prstGeom prst="rect">
                          <a:avLst/>
                        </a:prstGeom>
                        <a:noFill/>
                        <a:ln w="6350">
                          <a:noFill/>
                        </a:ln>
                      </wps:spPr>
                      <wps:txbx>
                        <w:txbxContent>
                          <w:p w14:paraId="1E772897" w14:textId="30D28C6B" w:rsidR="00E20EB1" w:rsidRPr="001A5EBC" w:rsidRDefault="00F67ED8" w:rsidP="00E20EB1">
                            <w:pPr>
                              <w:pStyle w:val="Title"/>
                            </w:pPr>
                            <w:sdt>
                              <w:sdtPr>
                                <w:alias w:val="Title"/>
                                <w:tag w:val=""/>
                                <w:id w:val="-266927404"/>
                                <w:dataBinding w:prefixMappings="xmlns:ns0='http://purl.org/dc/elements/1.1/' xmlns:ns1='http://schemas.openxmlformats.org/package/2006/metadata/core-properties' " w:xpath="/ns1:coreProperties[1]/ns0:title[1]" w:storeItemID="{6C3C8BC8-F283-45AE-878A-BAB7291924A1}"/>
                                <w:text/>
                              </w:sdtPr>
                              <w:sdtEndPr/>
                              <w:sdtContent>
                                <w:r w:rsidR="00D4356A" w:rsidRPr="001A5EBC">
                                  <w:t>Public-Private Investment Splits in North of England</w:t>
                                </w:r>
                                <w:r w:rsidR="00495CB7">
                                  <w:t xml:space="preserve">: </w:t>
                                </w:r>
                                <w:r w:rsidR="002F776E">
                                  <w:t xml:space="preserve">The </w:t>
                                </w:r>
                                <w:r w:rsidR="00D4356A" w:rsidRPr="001A5EBC">
                                  <w:t>Net Zero Scenario</w:t>
                                </w:r>
                              </w:sdtContent>
                            </w:sdt>
                          </w:p>
                          <w:p w14:paraId="392C359B" w14:textId="2911849A" w:rsidR="00FF314A" w:rsidRPr="001A5EBC" w:rsidRDefault="00024C92" w:rsidP="00E20EB1">
                            <w:pPr>
                              <w:pStyle w:val="Title"/>
                              <w:rPr>
                                <w:sz w:val="44"/>
                                <w:szCs w:val="46"/>
                              </w:rPr>
                            </w:pPr>
                            <w:r w:rsidRPr="001A5EBC">
                              <w:rPr>
                                <w:sz w:val="44"/>
                                <w:szCs w:val="46"/>
                              </w:rPr>
                              <w:t>Technical</w:t>
                            </w:r>
                            <w:r w:rsidR="00FF314A" w:rsidRPr="001A5EBC">
                              <w:rPr>
                                <w:spacing w:val="-3"/>
                                <w:sz w:val="44"/>
                                <w:szCs w:val="46"/>
                              </w:rPr>
                              <w:t xml:space="preserve"> </w:t>
                            </w:r>
                            <w:r w:rsidR="00495CB7">
                              <w:rPr>
                                <w:sz w:val="44"/>
                                <w:szCs w:val="46"/>
                              </w:rPr>
                              <w:t>R</w:t>
                            </w:r>
                            <w:r w:rsidR="00FF314A" w:rsidRPr="001A5EBC">
                              <w:rPr>
                                <w:sz w:val="44"/>
                                <w:szCs w:val="46"/>
                              </w:rPr>
                              <w:t>eport</w:t>
                            </w:r>
                            <w:r w:rsidR="00FF314A" w:rsidRPr="001A5EBC">
                              <w:rPr>
                                <w:spacing w:val="-2"/>
                                <w:sz w:val="44"/>
                                <w:szCs w:val="46"/>
                              </w:rPr>
                              <w:t xml:space="preserve"> </w:t>
                            </w:r>
                            <w:r w:rsidR="00FF314A" w:rsidRPr="001A5EBC">
                              <w:rPr>
                                <w:sz w:val="44"/>
                                <w:szCs w:val="46"/>
                              </w:rPr>
                              <w:t>–</w:t>
                            </w:r>
                            <w:r w:rsidR="00FF314A" w:rsidRPr="001A5EBC">
                              <w:rPr>
                                <w:spacing w:val="-2"/>
                                <w:sz w:val="44"/>
                                <w:szCs w:val="46"/>
                              </w:rPr>
                              <w:t xml:space="preserve"> </w:t>
                            </w:r>
                            <w:r w:rsidR="00E20EB1" w:rsidRPr="001A5EBC">
                              <w:rPr>
                                <w:sz w:val="44"/>
                                <w:szCs w:val="46"/>
                              </w:rPr>
                              <w:t>June</w:t>
                            </w:r>
                            <w:r w:rsidR="00FF314A" w:rsidRPr="001A5EBC">
                              <w:rPr>
                                <w:spacing w:val="-2"/>
                                <w:sz w:val="44"/>
                                <w:szCs w:val="46"/>
                              </w:rPr>
                              <w:t xml:space="preserve"> </w:t>
                            </w:r>
                            <w:r w:rsidR="00FF314A" w:rsidRPr="001A5EBC">
                              <w:rPr>
                                <w:spacing w:val="-4"/>
                                <w:sz w:val="44"/>
                                <w:szCs w:val="46"/>
                              </w:rPr>
                              <w:t>202</w:t>
                            </w:r>
                            <w:r w:rsidRPr="001A5EBC">
                              <w:rPr>
                                <w:spacing w:val="-4"/>
                                <w:sz w:val="44"/>
                                <w:szCs w:val="46"/>
                              </w:rPr>
                              <w:t>4</w:t>
                            </w:r>
                          </w:p>
                          <w:p w14:paraId="70114BC7" w14:textId="77777777" w:rsidR="005710E1" w:rsidRPr="001A5EBC" w:rsidRDefault="005710E1" w:rsidP="00BA0BB4"/>
                          <w:p w14:paraId="629514A4" w14:textId="77777777" w:rsidR="005710E1" w:rsidRPr="001A5EBC" w:rsidRDefault="005710E1" w:rsidP="00BA0BB4">
                            <w:pPr>
                              <w:pStyle w:val="Subtitle"/>
                            </w:pPr>
                            <w:r w:rsidRPr="001A5EBC">
                              <w:t>Final report – August 2023</w:t>
                            </w:r>
                          </w:p>
                          <w:p w14:paraId="0C45C175" w14:textId="77777777" w:rsidR="005710E1" w:rsidRPr="001A5EBC" w:rsidRDefault="005710E1" w:rsidP="00106894">
                            <w:pPr>
                              <w:pStyle w:val="BodyText"/>
                            </w:pPr>
                          </w:p>
                          <w:p w14:paraId="6B1B4BDD" w14:textId="77777777" w:rsidR="005710E1" w:rsidRPr="001A5EBC" w:rsidRDefault="005710E1"/>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2A18D1A" id="_x0000_t202" coordsize="21600,21600" o:spt="202" path="m,l,21600r21600,l21600,xe">
                <v:stroke joinstyle="miter"/>
                <v:path gradientshapeok="t" o:connecttype="rect"/>
              </v:shapetype>
              <v:shape id="Text Box 2" o:spid="_x0000_s1026" type="#_x0000_t202" style="position:absolute;margin-left:73.3pt;margin-top:73.45pt;width:488.3pt;height:154.8pt;z-index:25165722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" filled="f" stroked="f" strokeweight=".5pt">
                <v:textbox inset="0,0,0,0">
                  <w:txbxContent>
                    <w:p w14:paraId="1E772897" w14:textId="30D28C6B" w:rsidR="00E20EB1" w:rsidRPr="001A5EBC" w:rsidRDefault="00837612" w:rsidP="00E20EB1">
                      <w:pPr>
                        <w:pStyle w:val="Title"/>
                      </w:pPr>
                      <w:sdt>
                        <w:sdtPr>
                          <w:alias w:val="Title"/>
                          <w:tag w:val=""/>
                          <w:id w:val="-266927404"/>
                          <w:dataBinding w:prefixMappings="xmlns:ns0='http://purl.org/dc/elements/1.1/' xmlns:ns1='http://schemas.openxmlformats.org/package/2006/metadata/core-properties' " w:xpath="/ns1:coreProperties[1]/ns0:title[1]" w:storeItemID="{6C3C8BC8-F283-45AE-878A-BAB7291924A1}"/>
                          <w:text/>
                        </w:sdtPr>
                        <w:sdtEndPr/>
                        <w:sdtContent>
                          <w:r w:rsidR="00D4356A" w:rsidRPr="001A5EBC">
                            <w:t>Public-Private Investment Splits in North of England</w:t>
                          </w:r>
                          <w:r w:rsidR="00495CB7">
                            <w:t xml:space="preserve">: </w:t>
                          </w:r>
                          <w:r w:rsidR="002F776E">
                            <w:t xml:space="preserve">The </w:t>
                          </w:r>
                          <w:r w:rsidR="00D4356A" w:rsidRPr="001A5EBC">
                            <w:t>Net Zero Scenario</w:t>
                          </w:r>
                        </w:sdtContent>
                      </w:sdt>
                    </w:p>
                    <w:p w14:paraId="392C359B" w14:textId="2911849A" w:rsidR="00FF314A" w:rsidRPr="001A5EBC" w:rsidRDefault="00024C92" w:rsidP="00E20EB1">
                      <w:pPr>
                        <w:pStyle w:val="Title"/>
                        <w:rPr>
                          <w:sz w:val="44"/>
                          <w:szCs w:val="46"/>
                        </w:rPr>
                      </w:pPr>
                      <w:r w:rsidRPr="001A5EBC">
                        <w:rPr>
                          <w:sz w:val="44"/>
                          <w:szCs w:val="46"/>
                        </w:rPr>
                        <w:t>Technical</w:t>
                      </w:r>
                      <w:r w:rsidR="00FF314A" w:rsidRPr="001A5EBC">
                        <w:rPr>
                          <w:spacing w:val="-3"/>
                          <w:sz w:val="44"/>
                          <w:szCs w:val="46"/>
                        </w:rPr>
                        <w:t xml:space="preserve"> </w:t>
                      </w:r>
                      <w:r w:rsidR="00495CB7">
                        <w:rPr>
                          <w:sz w:val="44"/>
                          <w:szCs w:val="46"/>
                        </w:rPr>
                        <w:t>R</w:t>
                      </w:r>
                      <w:r w:rsidR="00FF314A" w:rsidRPr="001A5EBC">
                        <w:rPr>
                          <w:sz w:val="44"/>
                          <w:szCs w:val="46"/>
                        </w:rPr>
                        <w:t>eport</w:t>
                      </w:r>
                      <w:r w:rsidR="00FF314A" w:rsidRPr="001A5EBC">
                        <w:rPr>
                          <w:spacing w:val="-2"/>
                          <w:sz w:val="44"/>
                          <w:szCs w:val="46"/>
                        </w:rPr>
                        <w:t xml:space="preserve"> </w:t>
                      </w:r>
                      <w:r w:rsidR="00FF314A" w:rsidRPr="001A5EBC">
                        <w:rPr>
                          <w:sz w:val="44"/>
                          <w:szCs w:val="46"/>
                        </w:rPr>
                        <w:t>–</w:t>
                      </w:r>
                      <w:r w:rsidR="00FF314A" w:rsidRPr="001A5EBC">
                        <w:rPr>
                          <w:spacing w:val="-2"/>
                          <w:sz w:val="44"/>
                          <w:szCs w:val="46"/>
                        </w:rPr>
                        <w:t xml:space="preserve"> </w:t>
                      </w:r>
                      <w:r w:rsidR="00E20EB1" w:rsidRPr="001A5EBC">
                        <w:rPr>
                          <w:sz w:val="44"/>
                          <w:szCs w:val="46"/>
                        </w:rPr>
                        <w:t>June</w:t>
                      </w:r>
                      <w:r w:rsidR="00FF314A" w:rsidRPr="001A5EBC">
                        <w:rPr>
                          <w:spacing w:val="-2"/>
                          <w:sz w:val="44"/>
                          <w:szCs w:val="46"/>
                        </w:rPr>
                        <w:t xml:space="preserve"> </w:t>
                      </w:r>
                      <w:r w:rsidR="00FF314A" w:rsidRPr="001A5EBC">
                        <w:rPr>
                          <w:spacing w:val="-4"/>
                          <w:sz w:val="44"/>
                          <w:szCs w:val="46"/>
                        </w:rPr>
                        <w:t>202</w:t>
                      </w:r>
                      <w:r w:rsidRPr="001A5EBC">
                        <w:rPr>
                          <w:spacing w:val="-4"/>
                          <w:sz w:val="44"/>
                          <w:szCs w:val="46"/>
                        </w:rPr>
                        <w:t>4</w:t>
                      </w:r>
                    </w:p>
                    <w:p w14:paraId="70114BC7" w14:textId="77777777" w:rsidR="005710E1" w:rsidRPr="001A5EBC" w:rsidRDefault="005710E1" w:rsidP="00BA0BB4"/>
                    <w:p w14:paraId="629514A4" w14:textId="77777777" w:rsidR="005710E1" w:rsidRPr="001A5EBC" w:rsidRDefault="005710E1" w:rsidP="00BA0BB4">
                      <w:pPr>
                        <w:pStyle w:val="Subtitle"/>
                      </w:pPr>
                      <w:r w:rsidRPr="001A5EBC">
                        <w:t>Final report – August 2023</w:t>
                      </w:r>
                    </w:p>
                    <w:p w14:paraId="0C45C175" w14:textId="77777777" w:rsidR="005710E1" w:rsidRPr="001A5EBC" w:rsidRDefault="005710E1" w:rsidP="00106894">
                      <w:pPr>
                        <w:pStyle w:val="BodyText"/>
                      </w:pPr>
                    </w:p>
                    <w:p w14:paraId="6B1B4BDD" w14:textId="77777777" w:rsidR="005710E1" w:rsidRPr="001A5EBC" w:rsidRDefault="005710E1"/>
                  </w:txbxContent>
                </v:textbox>
                <w10:wrap anchorx="page" anchory="page"/>
              </v:shape>
            </w:pict>
          </mc:Fallback>
        </mc:AlternateContent>
      </w:r>
      <w:r w:rsidR="005F345E" w:rsidRPr="001A5EBC">
        <w:tab/>
      </w:r>
    </w:p>
    <w:sdt>
      <w:sdtPr>
        <w:id w:val="1403564960"/>
        <w:docPartObj>
          <w:docPartGallery w:val="Cover Pages"/>
          <w:docPartUnique/>
        </w:docPartObj>
      </w:sdtPr>
      <w:sdtEndPr/>
      <w:sdtContent>
        <w:p w14:paraId="0CFD6BBA" w14:textId="7D94473A" w:rsidR="005710E1" w:rsidRPr="001A5EBC" w:rsidRDefault="005710E1" w:rsidP="00106894">
          <w:pPr>
            <w:pStyle w:val="BodyText"/>
          </w:pPr>
        </w:p>
        <w:p w14:paraId="711A85F0" w14:textId="58541F56" w:rsidR="005710E1" w:rsidRPr="001A5EBC" w:rsidRDefault="00167358">
          <w:pPr>
            <w:sectPr w:rsidR="005710E1" w:rsidRPr="001A5EBC" w:rsidSect="0004725A">
              <w:pgSz w:w="11910" w:h="16840"/>
              <w:pgMar w:top="2155" w:right="680" w:bottom="1361" w:left="686" w:header="539" w:footer="369" w:gutter="0"/>
              <w:cols w:space="720"/>
              <w:docGrid w:linePitch="272"/>
            </w:sectPr>
          </w:pPr>
          <w:r w:rsidRPr="001A5EBC">
            <w:rPr>
              <w:noProof/>
            </w:rPr>
            <w:drawing>
              <wp:anchor distT="0" distB="0" distL="114300" distR="114300" simplePos="0" relativeHeight="251657223" behindDoc="0" locked="0" layoutInCell="1" allowOverlap="1" wp14:anchorId="5652505D" wp14:editId="15F6F0F9">
                <wp:simplePos x="0" y="0"/>
                <wp:positionH relativeFrom="page">
                  <wp:posOffset>955040</wp:posOffset>
                </wp:positionH>
                <wp:positionV relativeFrom="margin">
                  <wp:posOffset>3026828</wp:posOffset>
                </wp:positionV>
                <wp:extent cx="1873250" cy="758825"/>
                <wp:effectExtent l="0" t="0" r="0" b="3175"/>
                <wp:wrapNone/>
                <wp:docPr id="98498916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4989168" name="Picture 1"/>
                        <pic:cNvPicPr>
                          <a:picLocks noChangeAspect="1" noChangeArrowheads="1"/>
                        </pic:cNvPicPr>
                      </pic:nvPicPr>
                      <pic:blipFill>
                        <a:blip r:embed="rId14">
                          <a:extLst>
                            <a:ext uri="{28A0092B-C50C-407E-A947-70E740481C1C}">
                              <a14:useLocalDpi xmlns:a14="http://schemas.microsoft.com/office/drawing/2010/main" val="0"/>
                            </a:ext>
                          </a:extLst>
                        </a:blip>
                        <a:stretch>
                          <a:fillRect/>
                        </a:stretch>
                      </pic:blipFill>
                      <pic:spPr bwMode="auto">
                        <a:xfrm>
                          <a:off x="0" y="0"/>
                          <a:ext cx="1873250" cy="758825"/>
                        </a:xfrm>
                        <a:prstGeom prst="rect">
                          <a:avLst/>
                        </a:prstGeom>
                        <a:noFill/>
                      </pic:spPr>
                    </pic:pic>
                  </a:graphicData>
                </a:graphic>
                <wp14:sizeRelH relativeFrom="margin">
                  <wp14:pctWidth>0</wp14:pctWidth>
                </wp14:sizeRelH>
                <wp14:sizeRelV relativeFrom="margin">
                  <wp14:pctHeight>0</wp14:pctHeight>
                </wp14:sizeRelV>
              </wp:anchor>
            </w:drawing>
          </w:r>
        </w:p>
      </w:sdtContent>
    </w:sdt>
    <w:p w14:paraId="219135B3" w14:textId="005D05E0" w:rsidR="000628A0" w:rsidRPr="001A5EBC" w:rsidRDefault="00167358" w:rsidP="000628A0">
      <w:pPr>
        <w:pStyle w:val="BodyText"/>
      </w:pPr>
      <w:r w:rsidRPr="001A5EBC">
        <w:rPr>
          <w:noProof/>
        </w:rPr>
        <w:lastRenderedPageBreak/>
        <mc:AlternateContent>
          <mc:Choice Requires="wpg">
            <w:drawing>
              <wp:anchor distT="0" distB="0" distL="0" distR="0" simplePos="0" relativeHeight="251662356" behindDoc="1" locked="0" layoutInCell="1" allowOverlap="1" wp14:anchorId="0BB7231E" wp14:editId="49241B68">
                <wp:simplePos x="0" y="0"/>
                <wp:positionH relativeFrom="page">
                  <wp:posOffset>37345</wp:posOffset>
                </wp:positionH>
                <wp:positionV relativeFrom="page">
                  <wp:posOffset>33261</wp:posOffset>
                </wp:positionV>
                <wp:extent cx="7512908" cy="10626810"/>
                <wp:effectExtent l="0" t="0" r="5715" b="3175"/>
                <wp:wrapNone/>
                <wp:docPr id="574432294"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12908" cy="10626810"/>
                          <a:chOff x="-17246" y="5381130"/>
                          <a:chExt cx="7513789" cy="10629720"/>
                        </a:xfrm>
                      </wpg:grpSpPr>
                      <wps:wsp>
                        <wps:cNvPr id="963015941" name="Graphic 3"/>
                        <wps:cNvSpPr/>
                        <wps:spPr>
                          <a:xfrm>
                            <a:off x="-17246" y="5381130"/>
                            <a:ext cx="7513789" cy="10629720"/>
                          </a:xfrm>
                          <a:custGeom>
                            <a:avLst/>
                            <a:gdLst/>
                            <a:ahLst/>
                            <a:cxnLst/>
                            <a:rect l="l" t="t" r="r" b="b"/>
                            <a:pathLst>
                              <a:path w="6493510" h="3923665">
                                <a:moveTo>
                                  <a:pt x="6493497" y="0"/>
                                </a:moveTo>
                                <a:lnTo>
                                  <a:pt x="0" y="0"/>
                                </a:lnTo>
                                <a:lnTo>
                                  <a:pt x="0" y="3923487"/>
                                </a:lnTo>
                                <a:lnTo>
                                  <a:pt x="6493497" y="3923487"/>
                                </a:lnTo>
                                <a:lnTo>
                                  <a:pt x="6493497" y="0"/>
                                </a:lnTo>
                                <a:close/>
                              </a:path>
                            </a:pathLst>
                          </a:custGeom>
                          <a:solidFill>
                            <a:srgbClr val="0C1F2D"/>
                          </a:solidFill>
                        </wps:spPr>
                        <wps:bodyPr wrap="square" lIns="0" tIns="0" rIns="0" bIns="0" rtlCol="0">
                          <a:prstTxWarp prst="textNoShape">
                            <a:avLst/>
                          </a:prstTxWarp>
                          <a:noAutofit/>
                        </wps:bodyPr>
                      </wps:wsp>
                      <pic:pic xmlns:pic="http://schemas.openxmlformats.org/drawingml/2006/picture">
                        <pic:nvPicPr>
                          <pic:cNvPr id="1544669405" name="Image 4"/>
                          <pic:cNvPicPr/>
                        </pic:nvPicPr>
                        <pic:blipFill>
                          <a:blip r:embed="rId8" cstate="print"/>
                          <a:stretch>
                            <a:fillRect/>
                          </a:stretch>
                        </pic:blipFill>
                        <pic:spPr>
                          <a:xfrm>
                            <a:off x="5184261" y="9525034"/>
                            <a:ext cx="1081203" cy="87409"/>
                          </a:xfrm>
                          <a:prstGeom prst="rect">
                            <a:avLst/>
                          </a:prstGeom>
                        </pic:spPr>
                      </pic:pic>
                      <pic:pic xmlns:pic="http://schemas.openxmlformats.org/drawingml/2006/picture">
                        <pic:nvPicPr>
                          <pic:cNvPr id="1926371948" name="Image 5"/>
                          <pic:cNvPicPr/>
                        </pic:nvPicPr>
                        <pic:blipFill>
                          <a:blip r:embed="rId9" cstate="print"/>
                          <a:stretch>
                            <a:fillRect/>
                          </a:stretch>
                        </pic:blipFill>
                        <pic:spPr>
                          <a:xfrm>
                            <a:off x="4673244" y="8774696"/>
                            <a:ext cx="412826" cy="825588"/>
                          </a:xfrm>
                          <a:prstGeom prst="rect">
                            <a:avLst/>
                          </a:prstGeom>
                        </pic:spPr>
                      </pic:pic>
                      <pic:pic xmlns:pic="http://schemas.openxmlformats.org/drawingml/2006/picture">
                        <pic:nvPicPr>
                          <pic:cNvPr id="1544250875" name="Image 6"/>
                          <pic:cNvPicPr/>
                        </pic:nvPicPr>
                        <pic:blipFill>
                          <a:blip r:embed="rId10" cstate="print"/>
                          <a:stretch>
                            <a:fillRect/>
                          </a:stretch>
                        </pic:blipFill>
                        <pic:spPr>
                          <a:xfrm>
                            <a:off x="5166239" y="9022011"/>
                            <a:ext cx="1498041" cy="383628"/>
                          </a:xfrm>
                          <a:prstGeom prst="rect">
                            <a:avLst/>
                          </a:prstGeom>
                        </pic:spPr>
                      </pic:pic>
                      <wps:wsp>
                        <wps:cNvPr id="571112659" name="Graphic 7"/>
                        <wps:cNvSpPr/>
                        <wps:spPr>
                          <a:xfrm>
                            <a:off x="863993" y="8268179"/>
                            <a:ext cx="5800725" cy="6350"/>
                          </a:xfrm>
                          <a:custGeom>
                            <a:avLst/>
                            <a:gdLst/>
                            <a:ahLst/>
                            <a:cxnLst/>
                            <a:rect l="l" t="t" r="r" b="b"/>
                            <a:pathLst>
                              <a:path w="5800725" h="6350">
                                <a:moveTo>
                                  <a:pt x="0" y="0"/>
                                </a:moveTo>
                                <a:lnTo>
                                  <a:pt x="5800280" y="5994"/>
                                </a:lnTo>
                              </a:path>
                            </a:pathLst>
                          </a:custGeom>
                          <a:ln w="12700">
                            <a:solidFill>
                              <a:srgbClr val="009FE3"/>
                            </a:solidFill>
                            <a:prstDash val="solid"/>
                          </a:ln>
                        </wps:spPr>
                        <wps:bodyPr wrap="square" lIns="0" tIns="0" rIns="0" bIns="0" rtlCol="0">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52D38CBF" id="Group 2" o:spid="_x0000_s1026" style="position:absolute;margin-left:2.95pt;margin-top:2.6pt;width:591.55pt;height:836.75pt;z-index:-251654124;mso-wrap-distance-left:0;mso-wrap-distance-right:0;mso-position-horizontal-relative:page;mso-position-vertical-relative:page;mso-width-relative:margin;mso-height-relative:margin" coordorigin="-172,53811" coordsize="75137,106297"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">
                <v:shape id="Graphic 3" o:spid="_x0000_s1027" style="position:absolute;left:-172;top:53811;width:75137;height:106297;visibility:visible;mso-wrap-style:square;v-text-anchor:top" coordsize="6493510,392366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" path="m6493497,l,,,3923487r6493497,l6493497,xe" fillcolor="#0c1f2d" stroked="f">
                  <v:path arrowok="t"/>
                </v:shape>
                <v:shape id="Image 4" o:spid="_x0000_s1028" type="#_x0000_t75" style="position:absolute;left:51842;top:95250;width:10812;height:874;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">
                  <v:imagedata r:id="rId11" o:title=""/>
                </v:shape>
                <v:shape id="Image 5" o:spid="_x0000_s1029" type="#_x0000_t75" style="position:absolute;left:46732;top:87746;width:4128;height:825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">
                  <v:imagedata r:id="rId12" o:title=""/>
                </v:shape>
                <v:shape id="Image 6" o:spid="_x0000_s1030" type="#_x0000_t75" style="position:absolute;left:51662;top:90220;width:14980;height:383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">
                  <v:imagedata r:id="rId13" o:title=""/>
                </v:shape>
                <v:shape id="Graphic 7" o:spid="_x0000_s1031" style="position:absolute;left:8639;top:82681;width:58008;height:64;visibility:visible;mso-wrap-style:square;v-text-anchor:top" coordsize="5800725,635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" path="m,l5800280,5994e" filled="f" strokecolor="#009fe3" strokeweight="1pt">
                  <v:path arrowok="t"/>
                </v:shape>
                <w10:wrap anchorx="page" anchory="page"/>
              </v:group>
            </w:pict>
          </mc:Fallback>
        </mc:AlternateContent>
      </w:r>
      <w:r w:rsidR="000628A0" w:rsidRPr="001A5EBC">
        <w:rPr>
          <w:noProof/>
        </w:rPr>
        <mc:AlternateContent>
          <mc:Choice Requires="wps">
            <w:drawing>
              <wp:anchor distT="0" distB="0" distL="114300" distR="114300" simplePos="0" relativeHeight="251657216" behindDoc="0" locked="0" layoutInCell="1" allowOverlap="1" wp14:anchorId="68A74979" wp14:editId="40B025C5">
                <wp:simplePos x="0" y="0"/>
                <wp:positionH relativeFrom="column">
                  <wp:posOffset>5261</wp:posOffset>
                </wp:positionH>
                <wp:positionV relativeFrom="margin">
                  <wp:posOffset>7171418</wp:posOffset>
                </wp:positionV>
                <wp:extent cx="6674485" cy="1271270"/>
                <wp:effectExtent l="0" t="0" r="12065" b="5080"/>
                <wp:wrapNone/>
                <wp:docPr id="564055683" name="Text Box 7"/>
                <wp:cNvGraphicFramePr/>
                <a:graphic xmlns:a="http://schemas.openxmlformats.org/drawingml/2006/main">
                  <a:graphicData uri="http://schemas.microsoft.com/office/word/2010/wordprocessingShape">
                    <wps:wsp>
                      <wps:cNvSpPr txBox="1"/>
                      <wps:spPr>
                        <a:xfrm>
                          <a:off x="0" y="0"/>
                          <a:ext cx="6674485" cy="1271270"/>
                        </a:xfrm>
                        <a:prstGeom prst="rect">
                          <a:avLst/>
                        </a:prstGeom>
                        <a:noFill/>
                        <a:ln w="6350">
                          <a:noFill/>
                        </a:ln>
                      </wps:spPr>
                      <wps:txbx>
                        <w:txbxContent>
                          <w:p w14:paraId="07215629" w14:textId="77777777" w:rsidR="000628A0" w:rsidRPr="001A5EBC" w:rsidRDefault="000628A0" w:rsidP="000628A0">
                            <w:pPr>
                              <w:spacing w:after="0"/>
                              <w:rPr>
                                <w:color w:val="FFFFFF" w:themeColor="background1"/>
                                <w:sz w:val="16"/>
                                <w:szCs w:val="16"/>
                              </w:rPr>
                            </w:pPr>
                            <w:r w:rsidRPr="001A5EBC">
                              <w:rPr>
                                <w:color w:val="FFFFFF" w:themeColor="background1"/>
                                <w:sz w:val="16"/>
                                <w:szCs w:val="16"/>
                              </w:rPr>
                              <w:t>Cambridge Econometrics’ mission is to provide clear and useful insights, based on rigorous and independent economic analysis, to address the complex challenges facing society.</w:t>
                            </w:r>
                          </w:p>
                          <w:p w14:paraId="24F31CE4" w14:textId="77777777" w:rsidR="000628A0" w:rsidRPr="001A5EBC" w:rsidRDefault="000628A0" w:rsidP="000628A0">
                            <w:pPr>
                              <w:rPr>
                                <w:rFonts w:asciiTheme="majorHAnsi" w:hAnsiTheme="majorHAnsi"/>
                                <w:color w:val="009FE3" w:themeColor="accent1"/>
                                <w:sz w:val="16"/>
                                <w:szCs w:val="16"/>
                              </w:rPr>
                            </w:pPr>
                            <w:r w:rsidRPr="001A5EBC">
                              <w:rPr>
                                <w:rFonts w:asciiTheme="majorHAnsi" w:hAnsiTheme="majorHAnsi"/>
                                <w:color w:val="009FE3" w:themeColor="accent1"/>
                                <w:sz w:val="16"/>
                                <w:szCs w:val="16"/>
                              </w:rPr>
                              <w:t>www.camecon.com</w:t>
                            </w:r>
                          </w:p>
                          <w:p w14:paraId="1DA820EF" w14:textId="30683F6E" w:rsidR="000628A0" w:rsidRPr="001A5EBC" w:rsidRDefault="000628A0" w:rsidP="000628A0">
                            <w:pPr>
                              <w:spacing w:after="0"/>
                              <w:rPr>
                                <w:color w:val="FFFFFF" w:themeColor="background1"/>
                                <w:sz w:val="16"/>
                                <w:szCs w:val="16"/>
                              </w:rPr>
                            </w:pPr>
                            <w:r w:rsidRPr="001A5EBC">
                              <w:rPr>
                                <w:color w:val="FFFFFF" w:themeColor="background1"/>
                                <w:sz w:val="16"/>
                                <w:szCs w:val="16"/>
                              </w:rPr>
                              <w:t>Cambridge Econometrics Limited is owned by a charitable body,</w:t>
                            </w:r>
                            <w:r w:rsidR="008D0567">
                              <w:rPr>
                                <w:color w:val="FFFFFF" w:themeColor="background1"/>
                                <w:sz w:val="16"/>
                                <w:szCs w:val="16"/>
                              </w:rPr>
                              <w:t xml:space="preserve"> </w:t>
                            </w:r>
                            <w:r w:rsidRPr="001A5EBC">
                              <w:rPr>
                                <w:color w:val="FFFFFF" w:themeColor="background1"/>
                                <w:sz w:val="16"/>
                                <w:szCs w:val="16"/>
                              </w:rPr>
                              <w:t xml:space="preserve">the Cambridge Trust for New Thinking in Economics. </w:t>
                            </w:r>
                          </w:p>
                          <w:p w14:paraId="56043CF3" w14:textId="77777777" w:rsidR="000628A0" w:rsidRPr="001A5EBC" w:rsidRDefault="000628A0" w:rsidP="000628A0">
                            <w:pPr>
                              <w:spacing w:after="120"/>
                              <w:rPr>
                                <w:rFonts w:asciiTheme="majorHAnsi" w:hAnsiTheme="majorHAnsi"/>
                                <w:color w:val="009FE3" w:themeColor="accent1"/>
                                <w:sz w:val="16"/>
                                <w:szCs w:val="16"/>
                              </w:rPr>
                            </w:pPr>
                            <w:r w:rsidRPr="001A5EBC">
                              <w:rPr>
                                <w:rFonts w:asciiTheme="majorHAnsi" w:hAnsiTheme="majorHAnsi"/>
                                <w:color w:val="009FE3" w:themeColor="accent1"/>
                                <w:sz w:val="16"/>
                                <w:szCs w:val="16"/>
                              </w:rPr>
                              <w:t>www.neweconomicthinking.org</w:t>
                            </w:r>
                          </w:p>
                        </w:txbxContent>
                      </wps:txbx>
                      <wps:bodyPr rot="0" spcFirstLastPara="0" vertOverflow="overflow" horzOverflow="overflow" vert="horz" wrap="square" lIns="0" tIns="0" rIns="0" bIns="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A74979" id="Text Box 7" o:spid="_x0000_s1027" type="#_x0000_t202" style="position:absolute;margin-left:.4pt;margin-top:564.7pt;width:525.55pt;height:100.1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" filled="f" stroked="f" strokeweight=".5pt">
                <v:textbox inset="0,0,0,0">
                  <w:txbxContent>
                    <w:p w14:paraId="07215629" w14:textId="77777777" w:rsidR="000628A0" w:rsidRPr="001A5EBC" w:rsidRDefault="000628A0" w:rsidP="000628A0">
                      <w:pPr>
                        <w:spacing w:after="0"/>
                        <w:rPr>
                          <w:color w:val="FFFFFF" w:themeColor="background1"/>
                          <w:sz w:val="16"/>
                          <w:szCs w:val="16"/>
                        </w:rPr>
                      </w:pPr>
                      <w:r w:rsidRPr="001A5EBC">
                        <w:rPr>
                          <w:color w:val="FFFFFF" w:themeColor="background1"/>
                          <w:sz w:val="16"/>
                          <w:szCs w:val="16"/>
                        </w:rPr>
                        <w:t>Cambridge Econometrics’ mission is to provide clear and useful insights, based on rigorous and independent economic analysis, to address the complex challenges facing society.</w:t>
                      </w:r>
                    </w:p>
                    <w:p w14:paraId="24F31CE4" w14:textId="77777777" w:rsidR="000628A0" w:rsidRPr="001A5EBC" w:rsidRDefault="000628A0" w:rsidP="000628A0">
                      <w:pPr>
                        <w:rPr>
                          <w:rFonts w:asciiTheme="majorHAnsi" w:hAnsiTheme="majorHAnsi"/>
                          <w:color w:val="009FE3" w:themeColor="accent1"/>
                          <w:sz w:val="16"/>
                          <w:szCs w:val="16"/>
                        </w:rPr>
                      </w:pPr>
                      <w:r w:rsidRPr="001A5EBC">
                        <w:rPr>
                          <w:rFonts w:asciiTheme="majorHAnsi" w:hAnsiTheme="majorHAnsi"/>
                          <w:color w:val="009FE3" w:themeColor="accent1"/>
                          <w:sz w:val="16"/>
                          <w:szCs w:val="16"/>
                        </w:rPr>
                        <w:t>www.camecon.com</w:t>
                      </w:r>
                    </w:p>
                    <w:p w14:paraId="1DA820EF" w14:textId="30683F6E" w:rsidR="000628A0" w:rsidRPr="001A5EBC" w:rsidRDefault="000628A0" w:rsidP="000628A0">
                      <w:pPr>
                        <w:spacing w:after="0"/>
                        <w:rPr>
                          <w:color w:val="FFFFFF" w:themeColor="background1"/>
                          <w:sz w:val="16"/>
                          <w:szCs w:val="16"/>
                        </w:rPr>
                      </w:pPr>
                      <w:r w:rsidRPr="001A5EBC">
                        <w:rPr>
                          <w:color w:val="FFFFFF" w:themeColor="background1"/>
                          <w:sz w:val="16"/>
                          <w:szCs w:val="16"/>
                        </w:rPr>
                        <w:t>Cambridge Econometrics Limited is owned by a charitable body,</w:t>
                      </w:r>
                      <w:r w:rsidR="008D0567">
                        <w:rPr>
                          <w:color w:val="FFFFFF" w:themeColor="background1"/>
                          <w:sz w:val="16"/>
                          <w:szCs w:val="16"/>
                        </w:rPr>
                        <w:t xml:space="preserve"> </w:t>
                      </w:r>
                      <w:r w:rsidRPr="001A5EBC">
                        <w:rPr>
                          <w:color w:val="FFFFFF" w:themeColor="background1"/>
                          <w:sz w:val="16"/>
                          <w:szCs w:val="16"/>
                        </w:rPr>
                        <w:t xml:space="preserve">the Cambridge Trust for New Thinking in Economics. </w:t>
                      </w:r>
                    </w:p>
                    <w:p w14:paraId="56043CF3" w14:textId="77777777" w:rsidR="000628A0" w:rsidRPr="001A5EBC" w:rsidRDefault="000628A0" w:rsidP="000628A0">
                      <w:pPr>
                        <w:spacing w:after="120"/>
                        <w:rPr>
                          <w:rFonts w:asciiTheme="majorHAnsi" w:hAnsiTheme="majorHAnsi"/>
                          <w:color w:val="009FE3" w:themeColor="accent1"/>
                          <w:sz w:val="16"/>
                          <w:szCs w:val="16"/>
                        </w:rPr>
                      </w:pPr>
                      <w:r w:rsidRPr="001A5EBC">
                        <w:rPr>
                          <w:rFonts w:asciiTheme="majorHAnsi" w:hAnsiTheme="majorHAnsi"/>
                          <w:color w:val="009FE3" w:themeColor="accent1"/>
                          <w:sz w:val="16"/>
                          <w:szCs w:val="16"/>
                        </w:rPr>
                        <w:t>www.neweconomicthinking.org</w:t>
                      </w:r>
                    </w:p>
                  </w:txbxContent>
                </v:textbox>
                <w10:wrap anchory="margin"/>
              </v:shape>
            </w:pict>
          </mc:Fallback>
        </mc:AlternateContent>
      </w:r>
      <w:r w:rsidR="000628A0" w:rsidRPr="001A5EBC">
        <w:rPr>
          <w:noProof/>
        </w:rPr>
        <mc:AlternateContent>
          <mc:Choice Requires="wps">
            <w:drawing>
              <wp:anchor distT="0" distB="0" distL="114300" distR="114300" simplePos="0" relativeHeight="251657218" behindDoc="0" locked="0" layoutInCell="1" allowOverlap="1" wp14:anchorId="4236B517" wp14:editId="794A2F9D">
                <wp:simplePos x="0" y="0"/>
                <wp:positionH relativeFrom="page">
                  <wp:posOffset>3853543</wp:posOffset>
                </wp:positionH>
                <wp:positionV relativeFrom="page">
                  <wp:posOffset>2432957</wp:posOffset>
                </wp:positionV>
                <wp:extent cx="3703955" cy="4057015"/>
                <wp:effectExtent l="0" t="0" r="0" b="635"/>
                <wp:wrapNone/>
                <wp:docPr id="974387172" name="Rectangle 8"/>
                <wp:cNvGraphicFramePr/>
                <a:graphic xmlns:a="http://schemas.openxmlformats.org/drawingml/2006/main">
                  <a:graphicData uri="http://schemas.microsoft.com/office/word/2010/wordprocessingShape">
                    <wps:wsp>
                      <wps:cNvSpPr/>
                      <wps:spPr>
                        <a:xfrm>
                          <a:off x="0" y="0"/>
                          <a:ext cx="3703955" cy="4057015"/>
                        </a:xfrm>
                        <a:prstGeom prst="rect">
                          <a:avLst/>
                        </a:prstGeom>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4581D40A" w14:textId="77777777" w:rsidR="000628A0" w:rsidRPr="001A5EBC" w:rsidRDefault="000628A0" w:rsidP="000628A0">
                            <w:pPr>
                              <w:pStyle w:val="StandardHeading16ptBlack"/>
                            </w:pPr>
                            <w:r w:rsidRPr="001A5EBC">
                              <w:t>Contributors</w:t>
                            </w:r>
                          </w:p>
                          <w:p w14:paraId="36B2D2FB" w14:textId="2ACED4AD" w:rsidR="00024C92" w:rsidRPr="001A5EBC" w:rsidRDefault="00E20EB1" w:rsidP="000628A0">
                            <w:pPr>
                              <w:spacing w:after="120"/>
                            </w:pPr>
                            <w:r w:rsidRPr="001A5EBC">
                              <w:t>Adam Brown</w:t>
                            </w:r>
                            <w:r w:rsidR="00024C92" w:rsidRPr="001A5EBC">
                              <w:t xml:space="preserve"> </w:t>
                            </w:r>
                            <w:r w:rsidR="000628A0" w:rsidRPr="001A5EBC">
                              <w:t xml:space="preserve"> </w:t>
                            </w:r>
                          </w:p>
                          <w:p w14:paraId="671CD360" w14:textId="5018B213" w:rsidR="00024C92" w:rsidRPr="001A5EBC" w:rsidRDefault="00E20EB1" w:rsidP="000628A0">
                            <w:pPr>
                              <w:spacing w:after="120"/>
                            </w:pPr>
                            <w:hyperlink r:id="rId15" w:history="1">
                              <w:r w:rsidRPr="001A5EBC">
                                <w:rPr>
                                  <w:rStyle w:val="Hyperlink"/>
                                </w:rPr>
                                <w:t>alb@camecon.com</w:t>
                              </w:r>
                            </w:hyperlink>
                            <w:r w:rsidRPr="001A5EBC">
                              <w:t xml:space="preserve"> </w:t>
                            </w:r>
                          </w:p>
                          <w:p w14:paraId="1CA4A7FC" w14:textId="5CE3542F" w:rsidR="008E658C" w:rsidRPr="001A5EBC" w:rsidRDefault="008E658C" w:rsidP="000628A0">
                            <w:pPr>
                              <w:spacing w:after="120"/>
                            </w:pPr>
                            <w:r w:rsidRPr="001A5EBC">
                              <w:t>Jen Dicks</w:t>
                            </w:r>
                          </w:p>
                          <w:p w14:paraId="65553784" w14:textId="6F1130F6" w:rsidR="008E658C" w:rsidRPr="001A5EBC" w:rsidRDefault="008E658C" w:rsidP="000628A0">
                            <w:pPr>
                              <w:spacing w:after="120"/>
                            </w:pPr>
                            <w:hyperlink r:id="rId16" w:history="1">
                              <w:r w:rsidRPr="001A5EBC">
                                <w:rPr>
                                  <w:rStyle w:val="Hyperlink"/>
                                </w:rPr>
                                <w:t>jd@camecon.com</w:t>
                              </w:r>
                            </w:hyperlink>
                            <w:r w:rsidRPr="001A5EBC">
                              <w:t xml:space="preserve"> </w:t>
                            </w:r>
                          </w:p>
                          <w:p w14:paraId="20B05F33" w14:textId="7EF3B968" w:rsidR="000628A0" w:rsidRPr="001A5EBC" w:rsidRDefault="000628A0" w:rsidP="000628A0">
                            <w:pPr>
                              <w:spacing w:after="120"/>
                            </w:pPr>
                            <w:r w:rsidRPr="001A5EBC">
                              <w:t>(Cambridge Econometrics)</w:t>
                            </w:r>
                          </w:p>
                          <w:p w14:paraId="2940D9A8" w14:textId="1DC88A6C" w:rsidR="000628A0" w:rsidRPr="001A5EBC" w:rsidRDefault="000628A0" w:rsidP="000628A0"/>
                        </w:txbxContent>
                      </wps:txbx>
                      <wps:bodyPr rot="0" spcFirstLastPara="0" vertOverflow="overflow" horzOverflow="overflow" vert="horz" wrap="square" lIns="216000" tIns="216000" rIns="1224000" bIns="216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236B517" id="Rectangle 8" o:spid="_x0000_s1028" style="position:absolute;margin-left:303.45pt;margin-top:191.55pt;width:291.65pt;height:319.45pt;z-index:25165721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" fillcolor="#009fe3 [3204]" stroked="f" strokeweight="2pt">
                <v:textbox inset="6mm,6mm,34mm,6mm">
                  <w:txbxContent>
                    <w:p w14:paraId="4581D40A" w14:textId="77777777" w:rsidR="000628A0" w:rsidRPr="001A5EBC" w:rsidRDefault="000628A0" w:rsidP="000628A0">
                      <w:pPr>
                        <w:pStyle w:val="StandardHeading16ptBlack"/>
                      </w:pPr>
                      <w:r w:rsidRPr="001A5EBC">
                        <w:t>Contributors</w:t>
                      </w:r>
                    </w:p>
                    <w:p w14:paraId="36B2D2FB" w14:textId="2ACED4AD" w:rsidR="00024C92" w:rsidRPr="001A5EBC" w:rsidRDefault="00E20EB1" w:rsidP="000628A0">
                      <w:pPr>
                        <w:spacing w:after="120"/>
                      </w:pPr>
                      <w:r w:rsidRPr="001A5EBC">
                        <w:t>Adam Brown</w:t>
                      </w:r>
                      <w:r w:rsidR="00024C92" w:rsidRPr="001A5EBC">
                        <w:t xml:space="preserve"> </w:t>
                      </w:r>
                      <w:r w:rsidR="000628A0" w:rsidRPr="001A5EBC">
                        <w:t xml:space="preserve"> </w:t>
                      </w:r>
                    </w:p>
                    <w:p w14:paraId="671CD360" w14:textId="5018B213" w:rsidR="00024C92" w:rsidRPr="001A5EBC" w:rsidRDefault="00E20EB1" w:rsidP="000628A0">
                      <w:pPr>
                        <w:spacing w:after="120"/>
                      </w:pPr>
                      <w:hyperlink r:id="rId17" w:history="1">
                        <w:r w:rsidRPr="001A5EBC">
                          <w:rPr>
                            <w:rStyle w:val="Hyperlink"/>
                          </w:rPr>
                          <w:t>alb@camecon.com</w:t>
                        </w:r>
                      </w:hyperlink>
                      <w:r w:rsidRPr="001A5EBC">
                        <w:t xml:space="preserve"> </w:t>
                      </w:r>
                    </w:p>
                    <w:p w14:paraId="1CA4A7FC" w14:textId="5CE3542F" w:rsidR="008E658C" w:rsidRPr="001A5EBC" w:rsidRDefault="008E658C" w:rsidP="000628A0">
                      <w:pPr>
                        <w:spacing w:after="120"/>
                      </w:pPr>
                      <w:r w:rsidRPr="001A5EBC">
                        <w:t>Jen Dicks</w:t>
                      </w:r>
                    </w:p>
                    <w:p w14:paraId="65553784" w14:textId="6F1130F6" w:rsidR="008E658C" w:rsidRPr="001A5EBC" w:rsidRDefault="008E658C" w:rsidP="000628A0">
                      <w:pPr>
                        <w:spacing w:after="120"/>
                      </w:pPr>
                      <w:hyperlink r:id="rId18" w:history="1">
                        <w:r w:rsidRPr="001A5EBC">
                          <w:rPr>
                            <w:rStyle w:val="Hyperlink"/>
                          </w:rPr>
                          <w:t>jd@camecon.com</w:t>
                        </w:r>
                      </w:hyperlink>
                      <w:r w:rsidRPr="001A5EBC">
                        <w:t xml:space="preserve"> </w:t>
                      </w:r>
                    </w:p>
                    <w:p w14:paraId="20B05F33" w14:textId="7EF3B968" w:rsidR="000628A0" w:rsidRPr="001A5EBC" w:rsidRDefault="000628A0" w:rsidP="000628A0">
                      <w:pPr>
                        <w:spacing w:after="120"/>
                      </w:pPr>
                      <w:r w:rsidRPr="001A5EBC">
                        <w:t>(Cambridge Econometrics)</w:t>
                      </w:r>
                    </w:p>
                    <w:p w14:paraId="2940D9A8" w14:textId="1DC88A6C" w:rsidR="000628A0" w:rsidRPr="001A5EBC" w:rsidRDefault="000628A0" w:rsidP="000628A0"/>
                  </w:txbxContent>
                </v:textbox>
                <w10:wrap anchorx="page" anchory="page"/>
              </v:rect>
            </w:pict>
          </mc:Fallback>
        </mc:AlternateContent>
      </w:r>
      <w:r w:rsidR="000628A0" w:rsidRPr="001A5EBC">
        <w:rPr>
          <w:noProof/>
        </w:rPr>
        <mc:AlternateContent>
          <mc:Choice Requires="wps">
            <w:drawing>
              <wp:anchor distT="0" distB="0" distL="114300" distR="114300" simplePos="0" relativeHeight="251657217" behindDoc="0" locked="0" layoutInCell="1" allowOverlap="1" wp14:anchorId="45505AAF" wp14:editId="686CA519">
                <wp:simplePos x="0" y="0"/>
                <wp:positionH relativeFrom="page">
                  <wp:posOffset>0</wp:posOffset>
                </wp:positionH>
                <wp:positionV relativeFrom="page">
                  <wp:posOffset>2434590</wp:posOffset>
                </wp:positionV>
                <wp:extent cx="3704400" cy="4057200"/>
                <wp:effectExtent l="0" t="0" r="0" b="635"/>
                <wp:wrapNone/>
                <wp:docPr id="868711271" name="Rectangle 8"/>
                <wp:cNvGraphicFramePr/>
                <a:graphic xmlns:a="http://schemas.openxmlformats.org/drawingml/2006/main">
                  <a:graphicData uri="http://schemas.microsoft.com/office/word/2010/wordprocessingShape">
                    <wps:wsp>
                      <wps:cNvSpPr/>
                      <wps:spPr>
                        <a:xfrm>
                          <a:off x="0" y="0"/>
                          <a:ext cx="3704400" cy="4057200"/>
                        </a:xfrm>
                        <a:prstGeom prst="rect">
                          <a:avLst/>
                        </a:prstGeom>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78EC56BD" w14:textId="50EECBCD" w:rsidR="00024C92" w:rsidRPr="001A5EBC" w:rsidRDefault="000628A0" w:rsidP="00E20EB1">
                            <w:pPr>
                              <w:pStyle w:val="StandardHeading16ptBlack"/>
                            </w:pPr>
                            <w:r w:rsidRPr="001A5EBC">
                              <w:t>Authors</w:t>
                            </w:r>
                            <w:r w:rsidR="00024C92" w:rsidRPr="001A5EBC">
                              <w:t xml:space="preserve">  </w:t>
                            </w:r>
                          </w:p>
                          <w:p w14:paraId="3E73B60B" w14:textId="77777777" w:rsidR="00E20EB1" w:rsidRPr="001A5EBC" w:rsidRDefault="00024C92" w:rsidP="00024C92">
                            <w:pPr>
                              <w:spacing w:after="120"/>
                            </w:pPr>
                            <w:r w:rsidRPr="001A5EBC">
                              <w:t xml:space="preserve">Ornella </w:t>
                            </w:r>
                            <w:proofErr w:type="spellStart"/>
                            <w:r w:rsidRPr="001A5EBC">
                              <w:t>Dellaccio</w:t>
                            </w:r>
                            <w:proofErr w:type="spellEnd"/>
                            <w:r w:rsidRPr="001A5EBC">
                              <w:t xml:space="preserve"> </w:t>
                            </w:r>
                            <w:hyperlink r:id="rId19" w:history="1">
                              <w:r w:rsidR="00DC1C92" w:rsidRPr="001A5EBC">
                                <w:rPr>
                                  <w:rStyle w:val="Hyperlink"/>
                                </w:rPr>
                                <w:t>od@camecon.com</w:t>
                              </w:r>
                            </w:hyperlink>
                            <w:r w:rsidRPr="001A5EBC">
                              <w:t xml:space="preserve"> </w:t>
                            </w:r>
                          </w:p>
                          <w:p w14:paraId="21FFA6F9" w14:textId="4BA58E8B" w:rsidR="000628A0" w:rsidRPr="001A5EBC" w:rsidRDefault="00E20EB1" w:rsidP="00024C92">
                            <w:pPr>
                              <w:spacing w:after="120"/>
                            </w:pPr>
                            <w:proofErr w:type="spellStart"/>
                            <w:r w:rsidRPr="001A5EBC">
                              <w:t>Yshabella</w:t>
                            </w:r>
                            <w:proofErr w:type="spellEnd"/>
                            <w:r w:rsidRPr="001A5EBC">
                              <w:t xml:space="preserve"> Reyes </w:t>
                            </w:r>
                            <w:hyperlink r:id="rId20" w:history="1">
                              <w:r w:rsidRPr="001A5EBC">
                                <w:rPr>
                                  <w:rStyle w:val="Hyperlink"/>
                                </w:rPr>
                                <w:t>yr@camecon.com</w:t>
                              </w:r>
                            </w:hyperlink>
                            <w:r w:rsidRPr="001A5EBC">
                              <w:t xml:space="preserve"> </w:t>
                            </w:r>
                            <w:r w:rsidR="000628A0" w:rsidRPr="001A5EBC">
                              <w:br/>
                              <w:t>(Cambridge Econometrics)</w:t>
                            </w:r>
                          </w:p>
                          <w:p w14:paraId="67B55CDF" w14:textId="01C66331" w:rsidR="000628A0" w:rsidRPr="001A5EBC" w:rsidRDefault="000628A0" w:rsidP="00024C92"/>
                        </w:txbxContent>
                      </wps:txbx>
                      <wps:bodyPr rot="0" spcFirstLastPara="0" vertOverflow="overflow" horzOverflow="overflow" vert="horz" wrap="square" lIns="1332000" tIns="216000" rIns="216000" bIns="216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5505AAF" id="_x0000_s1029" style="position:absolute;margin-left:0;margin-top:191.7pt;width:291.7pt;height:319.45pt;z-index:25165721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" fillcolor="#009fe3 [3204]" stroked="f" strokeweight="2pt">
                <v:textbox inset="37mm,6mm,6mm,6mm">
                  <w:txbxContent>
                    <w:p w14:paraId="78EC56BD" w14:textId="50EECBCD" w:rsidR="00024C92" w:rsidRPr="001A5EBC" w:rsidRDefault="000628A0" w:rsidP="00E20EB1">
                      <w:pPr>
                        <w:pStyle w:val="StandardHeading16ptBlack"/>
                      </w:pPr>
                      <w:r w:rsidRPr="001A5EBC">
                        <w:t>Authors</w:t>
                      </w:r>
                      <w:r w:rsidR="00024C92" w:rsidRPr="001A5EBC">
                        <w:t xml:space="preserve">  </w:t>
                      </w:r>
                    </w:p>
                    <w:p w14:paraId="3E73B60B" w14:textId="77777777" w:rsidR="00E20EB1" w:rsidRPr="001A5EBC" w:rsidRDefault="00024C92" w:rsidP="00024C92">
                      <w:pPr>
                        <w:spacing w:after="120"/>
                      </w:pPr>
                      <w:r w:rsidRPr="001A5EBC">
                        <w:t xml:space="preserve">Ornella Dellaccio </w:t>
                      </w:r>
                      <w:hyperlink r:id="rId21" w:history="1">
                        <w:r w:rsidR="00DC1C92" w:rsidRPr="001A5EBC">
                          <w:rPr>
                            <w:rStyle w:val="Hyperlink"/>
                          </w:rPr>
                          <w:t>od@camecon.com</w:t>
                        </w:r>
                      </w:hyperlink>
                      <w:r w:rsidRPr="001A5EBC">
                        <w:t xml:space="preserve"> </w:t>
                      </w:r>
                    </w:p>
                    <w:p w14:paraId="21FFA6F9" w14:textId="4BA58E8B" w:rsidR="000628A0" w:rsidRPr="001A5EBC" w:rsidRDefault="00E20EB1" w:rsidP="00024C92">
                      <w:pPr>
                        <w:spacing w:after="120"/>
                      </w:pPr>
                      <w:r w:rsidRPr="001A5EBC">
                        <w:t xml:space="preserve">Yshabella Reyes </w:t>
                      </w:r>
                      <w:hyperlink r:id="rId22" w:history="1">
                        <w:r w:rsidRPr="001A5EBC">
                          <w:rPr>
                            <w:rStyle w:val="Hyperlink"/>
                          </w:rPr>
                          <w:t>yr@camecon.com</w:t>
                        </w:r>
                      </w:hyperlink>
                      <w:r w:rsidRPr="001A5EBC">
                        <w:t xml:space="preserve"> </w:t>
                      </w:r>
                      <w:r w:rsidR="000628A0" w:rsidRPr="001A5EBC">
                        <w:br/>
                        <w:t>(Cambridge Econometrics)</w:t>
                      </w:r>
                    </w:p>
                    <w:p w14:paraId="67B55CDF" w14:textId="01C66331" w:rsidR="000628A0" w:rsidRPr="001A5EBC" w:rsidRDefault="000628A0" w:rsidP="00024C92"/>
                  </w:txbxContent>
                </v:textbox>
                <w10:wrap anchorx="page" anchory="page"/>
              </v:rect>
            </w:pict>
          </mc:Fallback>
        </mc:AlternateContent>
      </w:r>
    </w:p>
    <w:p w14:paraId="5AC5C64E" w14:textId="697A266C" w:rsidR="000628A0" w:rsidRPr="001A5EBC" w:rsidRDefault="00024C92" w:rsidP="000628A0">
      <w:pPr>
        <w:pStyle w:val="BodyText"/>
      </w:pPr>
      <w:r w:rsidRPr="001A5EBC">
        <w:rPr>
          <w:noProof/>
        </w:rPr>
        <mc:AlternateContent>
          <mc:Choice Requires="wps">
            <w:drawing>
              <wp:anchor distT="0" distB="0" distL="114300" distR="114300" simplePos="0" relativeHeight="251657220" behindDoc="0" locked="0" layoutInCell="1" allowOverlap="1" wp14:anchorId="711C9C73" wp14:editId="21266E3B">
                <wp:simplePos x="0" y="0"/>
                <wp:positionH relativeFrom="page">
                  <wp:posOffset>3856383</wp:posOffset>
                </wp:positionH>
                <wp:positionV relativeFrom="page">
                  <wp:posOffset>6660018</wp:posOffset>
                </wp:positionV>
                <wp:extent cx="3703955" cy="1003852"/>
                <wp:effectExtent l="0" t="0" r="0" b="6350"/>
                <wp:wrapNone/>
                <wp:docPr id="1593977583" name="Rectangle 8"/>
                <wp:cNvGraphicFramePr/>
                <a:graphic xmlns:a="http://schemas.openxmlformats.org/drawingml/2006/main">
                  <a:graphicData uri="http://schemas.microsoft.com/office/word/2010/wordprocessingShape">
                    <wps:wsp>
                      <wps:cNvSpPr/>
                      <wps:spPr>
                        <a:xfrm>
                          <a:off x="0" y="0"/>
                          <a:ext cx="3703955" cy="1003852"/>
                        </a:xfrm>
                        <a:prstGeom prst="rect">
                          <a:avLst/>
                        </a:prstGeom>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2B28EC4B" w14:textId="77777777" w:rsidR="000628A0" w:rsidRPr="001A5EBC" w:rsidRDefault="000628A0" w:rsidP="000628A0">
                            <w:pPr>
                              <w:pStyle w:val="StandardHeadingBlack"/>
                              <w:spacing w:before="0" w:after="120"/>
                              <w:rPr>
                                <w:sz w:val="32"/>
                                <w:szCs w:val="32"/>
                              </w:rPr>
                            </w:pPr>
                            <w:r w:rsidRPr="001A5EBC">
                              <w:rPr>
                                <w:sz w:val="32"/>
                                <w:szCs w:val="32"/>
                              </w:rPr>
                              <w:t>Contact person</w:t>
                            </w:r>
                          </w:p>
                          <w:p w14:paraId="13D4A99C" w14:textId="77777777" w:rsidR="00E20EB1" w:rsidRPr="001A5EBC" w:rsidRDefault="00E20EB1" w:rsidP="00024C92">
                            <w:pPr>
                              <w:spacing w:after="0"/>
                            </w:pPr>
                            <w:r w:rsidRPr="001A5EBC">
                              <w:t>Adam Brown</w:t>
                            </w:r>
                          </w:p>
                          <w:p w14:paraId="5BFDB710" w14:textId="1CB39AA0" w:rsidR="000628A0" w:rsidRPr="001A5EBC" w:rsidRDefault="00E20EB1" w:rsidP="00024C92">
                            <w:pPr>
                              <w:spacing w:after="0"/>
                            </w:pPr>
                            <w:hyperlink r:id="rId23" w:history="1">
                              <w:r w:rsidRPr="001A5EBC">
                                <w:rPr>
                                  <w:rStyle w:val="Hyperlink"/>
                                </w:rPr>
                                <w:t>alb@camecon.com</w:t>
                              </w:r>
                            </w:hyperlink>
                          </w:p>
                        </w:txbxContent>
                      </wps:txbx>
                      <wps:bodyPr rot="0" spcFirstLastPara="0" vertOverflow="overflow" horzOverflow="overflow" vert="horz" wrap="square" lIns="216000" tIns="216000" rIns="1332000" bIns="72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11C9C73" id="_x0000_s1030" style="position:absolute;margin-left:303.65pt;margin-top:524.4pt;width:291.65pt;height:79.05pt;z-index:2516572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" fillcolor="#009fe3 [3204]" stroked="f" strokeweight="2pt">
                <v:textbox inset="6mm,6mm,37mm,2mm">
                  <w:txbxContent>
                    <w:p w14:paraId="2B28EC4B" w14:textId="77777777" w:rsidR="000628A0" w:rsidRPr="001A5EBC" w:rsidRDefault="000628A0" w:rsidP="000628A0">
                      <w:pPr>
                        <w:pStyle w:val="StandardHeadingBlack"/>
                        <w:spacing w:before="0" w:after="120"/>
                        <w:rPr>
                          <w:sz w:val="32"/>
                          <w:szCs w:val="32"/>
                        </w:rPr>
                      </w:pPr>
                      <w:r w:rsidRPr="001A5EBC">
                        <w:rPr>
                          <w:sz w:val="32"/>
                          <w:szCs w:val="32"/>
                        </w:rPr>
                        <w:t>Contact person</w:t>
                      </w:r>
                    </w:p>
                    <w:p w14:paraId="13D4A99C" w14:textId="77777777" w:rsidR="00E20EB1" w:rsidRPr="001A5EBC" w:rsidRDefault="00E20EB1" w:rsidP="00024C92">
                      <w:pPr>
                        <w:spacing w:after="0"/>
                      </w:pPr>
                      <w:r w:rsidRPr="001A5EBC">
                        <w:t>Adam Brown</w:t>
                      </w:r>
                    </w:p>
                    <w:p w14:paraId="5BFDB710" w14:textId="1CB39AA0" w:rsidR="000628A0" w:rsidRPr="001A5EBC" w:rsidRDefault="00AF2DEF" w:rsidP="00024C92">
                      <w:pPr>
                        <w:spacing w:after="0"/>
                      </w:pPr>
                      <w:hyperlink r:id="rId26" w:history="1">
                        <w:r w:rsidR="00E20EB1" w:rsidRPr="001A5EBC">
                          <w:rPr>
                            <w:rStyle w:val="Hyperlink"/>
                          </w:rPr>
                          <w:t>alb@camecon.com</w:t>
                        </w:r>
                      </w:hyperlink>
                    </w:p>
                  </w:txbxContent>
                </v:textbox>
                <w10:wrap anchorx="page" anchory="page"/>
              </v:rect>
            </w:pict>
          </mc:Fallback>
        </mc:AlternateContent>
      </w:r>
      <w:r w:rsidRPr="001A5EBC">
        <w:rPr>
          <w:noProof/>
        </w:rPr>
        <mc:AlternateContent>
          <mc:Choice Requires="wps">
            <w:drawing>
              <wp:anchor distT="0" distB="0" distL="114300" distR="114300" simplePos="0" relativeHeight="251657219" behindDoc="0" locked="0" layoutInCell="1" allowOverlap="1" wp14:anchorId="3710688D" wp14:editId="1DCADB5C">
                <wp:simplePos x="0" y="0"/>
                <wp:positionH relativeFrom="page">
                  <wp:align>left</wp:align>
                </wp:positionH>
                <wp:positionV relativeFrom="page">
                  <wp:posOffset>6660017</wp:posOffset>
                </wp:positionV>
                <wp:extent cx="3703955" cy="1023730"/>
                <wp:effectExtent l="0" t="0" r="0" b="5080"/>
                <wp:wrapNone/>
                <wp:docPr id="226447099" name="Rectangle 8"/>
                <wp:cNvGraphicFramePr/>
                <a:graphic xmlns:a="http://schemas.openxmlformats.org/drawingml/2006/main">
                  <a:graphicData uri="http://schemas.microsoft.com/office/word/2010/wordprocessingShape">
                    <wps:wsp>
                      <wps:cNvSpPr/>
                      <wps:spPr>
                        <a:xfrm>
                          <a:off x="0" y="0"/>
                          <a:ext cx="3703955" cy="1023730"/>
                        </a:xfrm>
                        <a:prstGeom prst="rect">
                          <a:avLst/>
                        </a:prstGeom>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3CD2FC5C" w14:textId="77777777" w:rsidR="000628A0" w:rsidRPr="001A5EBC" w:rsidRDefault="000628A0" w:rsidP="000628A0">
                            <w:pPr>
                              <w:pStyle w:val="StandardHeadingBlack"/>
                              <w:spacing w:before="0" w:after="120"/>
                              <w:rPr>
                                <w:sz w:val="32"/>
                                <w:szCs w:val="32"/>
                              </w:rPr>
                            </w:pPr>
                            <w:r w:rsidRPr="001A5EBC">
                              <w:rPr>
                                <w:sz w:val="32"/>
                                <w:szCs w:val="32"/>
                              </w:rPr>
                              <w:t>Project director</w:t>
                            </w:r>
                          </w:p>
                          <w:p w14:paraId="61FBB0D5" w14:textId="003EA4FD" w:rsidR="00024C92" w:rsidRPr="001A5EBC" w:rsidRDefault="00E20EB1" w:rsidP="00024C92">
                            <w:pPr>
                              <w:spacing w:after="0"/>
                            </w:pPr>
                            <w:r w:rsidRPr="001A5EBC">
                              <w:t>Adam Brown</w:t>
                            </w:r>
                          </w:p>
                          <w:p w14:paraId="05282BF8" w14:textId="2037AFAA" w:rsidR="000628A0" w:rsidRPr="001A5EBC" w:rsidRDefault="00E20EB1" w:rsidP="00024C92">
                            <w:pPr>
                              <w:spacing w:after="0"/>
                            </w:pPr>
                            <w:hyperlink r:id="rId27" w:history="1">
                              <w:r w:rsidRPr="001A5EBC">
                                <w:rPr>
                                  <w:rStyle w:val="Hyperlink"/>
                                </w:rPr>
                                <w:t>alb@camecon.com</w:t>
                              </w:r>
                            </w:hyperlink>
                            <w:r w:rsidR="00024C92" w:rsidRPr="001A5EBC">
                              <w:t xml:space="preserve"> </w:t>
                            </w:r>
                          </w:p>
                        </w:txbxContent>
                      </wps:txbx>
                      <wps:bodyPr rot="0" spcFirstLastPara="0" vertOverflow="overflow" horzOverflow="overflow" vert="horz" wrap="square" lIns="1332000" tIns="216000" rIns="216000" bIns="72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710688D" id="_x0000_s1031" style="position:absolute;margin-left:0;margin-top:524.4pt;width:291.65pt;height:80.6pt;z-index:251657219;visibility:visible;mso-wrap-style:square;mso-width-percent:0;mso-height-percent:0;mso-wrap-distance-left:9pt;mso-wrap-distance-top:0;mso-wrap-distance-right:9pt;mso-wrap-distance-bottom:0;mso-position-horizontal:left;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" fillcolor="#009fe3 [3204]" stroked="f" strokeweight="2pt">
                <v:textbox inset="37mm,6mm,6mm,2mm">
                  <w:txbxContent>
                    <w:p w14:paraId="3CD2FC5C" w14:textId="77777777" w:rsidR="000628A0" w:rsidRPr="001A5EBC" w:rsidRDefault="000628A0" w:rsidP="000628A0">
                      <w:pPr>
                        <w:pStyle w:val="StandardHeadingBlack"/>
                        <w:spacing w:before="0" w:after="120"/>
                        <w:rPr>
                          <w:sz w:val="32"/>
                          <w:szCs w:val="32"/>
                        </w:rPr>
                      </w:pPr>
                      <w:r w:rsidRPr="001A5EBC">
                        <w:rPr>
                          <w:sz w:val="32"/>
                          <w:szCs w:val="32"/>
                        </w:rPr>
                        <w:t>Project director</w:t>
                      </w:r>
                    </w:p>
                    <w:p w14:paraId="61FBB0D5" w14:textId="003EA4FD" w:rsidR="00024C92" w:rsidRPr="001A5EBC" w:rsidRDefault="00E20EB1" w:rsidP="00024C92">
                      <w:pPr>
                        <w:spacing w:after="0"/>
                      </w:pPr>
                      <w:r w:rsidRPr="001A5EBC">
                        <w:t>Adam Brown</w:t>
                      </w:r>
                    </w:p>
                    <w:p w14:paraId="05282BF8" w14:textId="2037AFAA" w:rsidR="000628A0" w:rsidRPr="001A5EBC" w:rsidRDefault="00E20EB1" w:rsidP="00024C92">
                      <w:pPr>
                        <w:spacing w:after="0"/>
                      </w:pPr>
                      <w:hyperlink r:id="rId28" w:history="1">
                        <w:r w:rsidRPr="001A5EBC">
                          <w:rPr>
                            <w:rStyle w:val="Hyperlink"/>
                          </w:rPr>
                          <w:t>alb@camecon.com</w:t>
                        </w:r>
                      </w:hyperlink>
                      <w:r w:rsidR="00024C92" w:rsidRPr="001A5EBC">
                        <w:t xml:space="preserve"> </w:t>
                      </w:r>
                    </w:p>
                  </w:txbxContent>
                </v:textbox>
                <w10:wrap anchorx="page" anchory="page"/>
              </v:rect>
            </w:pict>
          </mc:Fallback>
        </mc:AlternateContent>
      </w:r>
    </w:p>
    <w:p w14:paraId="7055739A" w14:textId="77777777" w:rsidR="000628A0" w:rsidRPr="001A5EBC" w:rsidRDefault="000628A0" w:rsidP="000628A0">
      <w:pPr>
        <w:rPr>
          <w:sz w:val="16"/>
        </w:rPr>
        <w:sectPr w:rsidR="000628A0" w:rsidRPr="001A5EBC" w:rsidSect="0004725A">
          <w:headerReference w:type="default" r:id="rId29"/>
          <w:footerReference w:type="default" r:id="rId30"/>
          <w:pgSz w:w="11910" w:h="16840"/>
          <w:pgMar w:top="2155" w:right="680" w:bottom="1361" w:left="686" w:header="539" w:footer="369" w:gutter="0"/>
          <w:pgNumType w:start="0"/>
          <w:cols w:space="720"/>
          <w:docGrid w:linePitch="299"/>
        </w:sectPr>
      </w:pPr>
    </w:p>
    <w:p w14:paraId="3D79E36F" w14:textId="59840973" w:rsidR="00F84948" w:rsidRPr="001A5EBC" w:rsidRDefault="00D43CB8" w:rsidP="00F23C64">
      <w:pPr>
        <w:pStyle w:val="StandardHeadingBlack"/>
      </w:pPr>
      <w:r w:rsidRPr="001A5EBC">
        <w:lastRenderedPageBreak/>
        <w:t>Contents</w:t>
      </w:r>
    </w:p>
    <w:p w14:paraId="752C0949" w14:textId="68C8295E" w:rsidR="005A543F" w:rsidRPr="001A5EBC" w:rsidRDefault="008064F8">
      <w:pPr>
        <w:pStyle w:val="TOC1"/>
        <w:tabs>
          <w:tab w:val="right" w:pos="10534"/>
        </w:tabs>
        <w:rPr>
          <w:rFonts w:eastAsiaTheme="minorEastAsia"/>
          <w:noProof/>
          <w:kern w:val="2"/>
          <w:sz w:val="24"/>
          <w:szCs w:val="24"/>
          <w:lang w:eastAsia="en-GB"/>
          <w14:ligatures w14:val="standardContextual"/>
        </w:rPr>
      </w:pPr>
      <w:r w:rsidRPr="001A5EBC">
        <w:fldChar w:fldCharType="begin"/>
      </w:r>
      <w:r w:rsidRPr="001A5EBC">
        <w:instrText xml:space="preserve"> TOC \h \z \t "Heading 1,1,Heading 5,1" </w:instrText>
      </w:r>
      <w:r w:rsidRPr="001A5EBC">
        <w:fldChar w:fldCharType="separate"/>
      </w:r>
      <w:hyperlink w:anchor="_Toc169011861" w:history="1">
        <w:r w:rsidR="005A543F" w:rsidRPr="001A5EBC">
          <w:rPr>
            <w:rStyle w:val="Hyperlink"/>
            <w:noProof/>
          </w:rPr>
          <w:t>1.</w:t>
        </w:r>
        <w:r w:rsidR="005A543F" w:rsidRPr="001A5EBC">
          <w:rPr>
            <w:rFonts w:eastAsiaTheme="minorEastAsia"/>
            <w:noProof/>
            <w:kern w:val="2"/>
            <w:sz w:val="24"/>
            <w:szCs w:val="24"/>
            <w:lang w:eastAsia="en-GB"/>
            <w14:ligatures w14:val="standardContextual"/>
          </w:rPr>
          <w:tab/>
        </w:r>
        <w:r w:rsidR="005A543F" w:rsidRPr="001A5EBC">
          <w:rPr>
            <w:rStyle w:val="Hyperlink"/>
            <w:noProof/>
          </w:rPr>
          <w:t xml:space="preserve">Background and </w:t>
        </w:r>
        <w:r w:rsidR="00495CB7">
          <w:rPr>
            <w:rStyle w:val="Hyperlink"/>
            <w:noProof/>
          </w:rPr>
          <w:t>A</w:t>
        </w:r>
        <w:r w:rsidR="005A543F" w:rsidRPr="001A5EBC">
          <w:rPr>
            <w:rStyle w:val="Hyperlink"/>
            <w:noProof/>
          </w:rPr>
          <w:t xml:space="preserve">im of the </w:t>
        </w:r>
        <w:r w:rsidR="00495CB7">
          <w:rPr>
            <w:rStyle w:val="Hyperlink"/>
            <w:noProof/>
          </w:rPr>
          <w:t>S</w:t>
        </w:r>
        <w:r w:rsidR="005A543F" w:rsidRPr="001A5EBC">
          <w:rPr>
            <w:rStyle w:val="Hyperlink"/>
            <w:noProof/>
          </w:rPr>
          <w:t>tudy</w:t>
        </w:r>
        <w:r w:rsidR="005A543F" w:rsidRPr="001A5EBC">
          <w:rPr>
            <w:noProof/>
            <w:webHidden/>
          </w:rPr>
          <w:tab/>
        </w:r>
        <w:r w:rsidR="005A543F" w:rsidRPr="001A5EBC">
          <w:rPr>
            <w:noProof/>
            <w:webHidden/>
          </w:rPr>
          <w:fldChar w:fldCharType="begin"/>
        </w:r>
        <w:r w:rsidR="005A543F" w:rsidRPr="001A5EBC">
          <w:rPr>
            <w:noProof/>
            <w:webHidden/>
          </w:rPr>
          <w:instrText xml:space="preserve"> PAGEREF _Toc169011861 \h </w:instrText>
        </w:r>
        <w:r w:rsidR="005A543F" w:rsidRPr="001A5EBC">
          <w:rPr>
            <w:noProof/>
            <w:webHidden/>
          </w:rPr>
        </w:r>
        <w:r w:rsidR="005A543F" w:rsidRPr="001A5EBC">
          <w:rPr>
            <w:noProof/>
            <w:webHidden/>
          </w:rPr>
          <w:fldChar w:fldCharType="separate"/>
        </w:r>
        <w:r w:rsidR="009E362B">
          <w:rPr>
            <w:noProof/>
            <w:webHidden/>
          </w:rPr>
          <w:t>2</w:t>
        </w:r>
        <w:r w:rsidR="005A543F" w:rsidRPr="001A5EBC">
          <w:rPr>
            <w:noProof/>
            <w:webHidden/>
          </w:rPr>
          <w:fldChar w:fldCharType="end"/>
        </w:r>
      </w:hyperlink>
    </w:p>
    <w:p w14:paraId="356D2098" w14:textId="56D1F746" w:rsidR="005A543F" w:rsidRPr="001A5EBC" w:rsidRDefault="005A543F">
      <w:pPr>
        <w:pStyle w:val="TOC1"/>
        <w:tabs>
          <w:tab w:val="right" w:pos="10534"/>
        </w:tabs>
        <w:rPr>
          <w:rFonts w:eastAsiaTheme="minorEastAsia"/>
          <w:noProof/>
          <w:kern w:val="2"/>
          <w:sz w:val="24"/>
          <w:szCs w:val="24"/>
          <w:lang w:eastAsia="en-GB"/>
          <w14:ligatures w14:val="standardContextual"/>
        </w:rPr>
      </w:pPr>
      <w:hyperlink w:anchor="_Toc169011862" w:history="1">
        <w:r w:rsidRPr="001A5EBC">
          <w:rPr>
            <w:rStyle w:val="Hyperlink"/>
            <w:noProof/>
          </w:rPr>
          <w:t>2.</w:t>
        </w:r>
        <w:r w:rsidRPr="001A5EBC">
          <w:rPr>
            <w:rFonts w:eastAsiaTheme="minorEastAsia"/>
            <w:noProof/>
            <w:kern w:val="2"/>
            <w:sz w:val="24"/>
            <w:szCs w:val="24"/>
            <w:lang w:eastAsia="en-GB"/>
            <w14:ligatures w14:val="standardContextual"/>
          </w:rPr>
          <w:tab/>
        </w:r>
        <w:r w:rsidRPr="001A5EBC">
          <w:rPr>
            <w:rStyle w:val="Hyperlink"/>
            <w:noProof/>
          </w:rPr>
          <w:t>Energy</w:t>
        </w:r>
        <w:r w:rsidRPr="001A5EBC">
          <w:rPr>
            <w:noProof/>
            <w:webHidden/>
          </w:rPr>
          <w:tab/>
        </w:r>
        <w:r w:rsidRPr="001A5EBC">
          <w:rPr>
            <w:noProof/>
            <w:webHidden/>
          </w:rPr>
          <w:fldChar w:fldCharType="begin"/>
        </w:r>
        <w:r w:rsidRPr="001A5EBC">
          <w:rPr>
            <w:noProof/>
            <w:webHidden/>
          </w:rPr>
          <w:instrText xml:space="preserve"> PAGEREF _Toc169011862 \h </w:instrText>
        </w:r>
        <w:r w:rsidRPr="001A5EBC">
          <w:rPr>
            <w:noProof/>
            <w:webHidden/>
          </w:rPr>
        </w:r>
        <w:r w:rsidRPr="001A5EBC">
          <w:rPr>
            <w:noProof/>
            <w:webHidden/>
          </w:rPr>
          <w:fldChar w:fldCharType="separate"/>
        </w:r>
        <w:r w:rsidR="009E362B">
          <w:rPr>
            <w:noProof/>
            <w:webHidden/>
          </w:rPr>
          <w:t>3</w:t>
        </w:r>
        <w:r w:rsidRPr="001A5EBC">
          <w:rPr>
            <w:noProof/>
            <w:webHidden/>
          </w:rPr>
          <w:fldChar w:fldCharType="end"/>
        </w:r>
      </w:hyperlink>
    </w:p>
    <w:p w14:paraId="3688306D" w14:textId="5921C760" w:rsidR="005A543F" w:rsidRPr="001A5EBC" w:rsidRDefault="005A543F">
      <w:pPr>
        <w:pStyle w:val="TOC1"/>
        <w:tabs>
          <w:tab w:val="right" w:pos="10534"/>
        </w:tabs>
        <w:rPr>
          <w:rFonts w:eastAsiaTheme="minorEastAsia"/>
          <w:noProof/>
          <w:kern w:val="2"/>
          <w:sz w:val="24"/>
          <w:szCs w:val="24"/>
          <w:lang w:eastAsia="en-GB"/>
          <w14:ligatures w14:val="standardContextual"/>
        </w:rPr>
      </w:pPr>
      <w:hyperlink w:anchor="_Toc169011863" w:history="1">
        <w:r w:rsidRPr="001A5EBC">
          <w:rPr>
            <w:rStyle w:val="Hyperlink"/>
            <w:noProof/>
          </w:rPr>
          <w:t>3.</w:t>
        </w:r>
        <w:r w:rsidRPr="001A5EBC">
          <w:rPr>
            <w:rFonts w:eastAsiaTheme="minorEastAsia"/>
            <w:noProof/>
            <w:kern w:val="2"/>
            <w:sz w:val="24"/>
            <w:szCs w:val="24"/>
            <w:lang w:eastAsia="en-GB"/>
            <w14:ligatures w14:val="standardContextual"/>
          </w:rPr>
          <w:tab/>
        </w:r>
        <w:r w:rsidRPr="001A5EBC">
          <w:rPr>
            <w:rStyle w:val="Hyperlink"/>
            <w:noProof/>
          </w:rPr>
          <w:t xml:space="preserve">Built </w:t>
        </w:r>
        <w:r w:rsidR="00495CB7">
          <w:rPr>
            <w:rStyle w:val="Hyperlink"/>
            <w:noProof/>
          </w:rPr>
          <w:t>E</w:t>
        </w:r>
        <w:r w:rsidRPr="001A5EBC">
          <w:rPr>
            <w:rStyle w:val="Hyperlink"/>
            <w:noProof/>
          </w:rPr>
          <w:t>nvironment</w:t>
        </w:r>
        <w:r w:rsidRPr="001A5EBC">
          <w:rPr>
            <w:noProof/>
            <w:webHidden/>
          </w:rPr>
          <w:tab/>
        </w:r>
        <w:r w:rsidRPr="001A5EBC">
          <w:rPr>
            <w:noProof/>
            <w:webHidden/>
          </w:rPr>
          <w:fldChar w:fldCharType="begin"/>
        </w:r>
        <w:r w:rsidRPr="001A5EBC">
          <w:rPr>
            <w:noProof/>
            <w:webHidden/>
          </w:rPr>
          <w:instrText xml:space="preserve"> PAGEREF _Toc169011863 \h </w:instrText>
        </w:r>
        <w:r w:rsidRPr="001A5EBC">
          <w:rPr>
            <w:noProof/>
            <w:webHidden/>
          </w:rPr>
        </w:r>
        <w:r w:rsidRPr="001A5EBC">
          <w:rPr>
            <w:noProof/>
            <w:webHidden/>
          </w:rPr>
          <w:fldChar w:fldCharType="separate"/>
        </w:r>
        <w:r w:rsidR="009E362B">
          <w:rPr>
            <w:noProof/>
            <w:webHidden/>
          </w:rPr>
          <w:t>5</w:t>
        </w:r>
        <w:r w:rsidRPr="001A5EBC">
          <w:rPr>
            <w:noProof/>
            <w:webHidden/>
          </w:rPr>
          <w:fldChar w:fldCharType="end"/>
        </w:r>
      </w:hyperlink>
    </w:p>
    <w:p w14:paraId="21B68AD5" w14:textId="7C0659E9" w:rsidR="005A543F" w:rsidRPr="001A5EBC" w:rsidRDefault="005A543F">
      <w:pPr>
        <w:pStyle w:val="TOC1"/>
        <w:tabs>
          <w:tab w:val="right" w:pos="10534"/>
        </w:tabs>
        <w:rPr>
          <w:rFonts w:eastAsiaTheme="minorEastAsia"/>
          <w:noProof/>
          <w:kern w:val="2"/>
          <w:sz w:val="24"/>
          <w:szCs w:val="24"/>
          <w:lang w:eastAsia="en-GB"/>
          <w14:ligatures w14:val="standardContextual"/>
        </w:rPr>
      </w:pPr>
      <w:hyperlink w:anchor="_Toc169011864" w:history="1">
        <w:r w:rsidRPr="001A5EBC">
          <w:rPr>
            <w:rStyle w:val="Hyperlink"/>
            <w:noProof/>
          </w:rPr>
          <w:t>4.</w:t>
        </w:r>
        <w:r w:rsidRPr="001A5EBC">
          <w:rPr>
            <w:rFonts w:eastAsiaTheme="minorEastAsia"/>
            <w:noProof/>
            <w:kern w:val="2"/>
            <w:sz w:val="24"/>
            <w:szCs w:val="24"/>
            <w:lang w:eastAsia="en-GB"/>
            <w14:ligatures w14:val="standardContextual"/>
          </w:rPr>
          <w:tab/>
        </w:r>
        <w:r w:rsidRPr="001A5EBC">
          <w:rPr>
            <w:rStyle w:val="Hyperlink"/>
            <w:noProof/>
          </w:rPr>
          <w:t>Transport</w:t>
        </w:r>
        <w:r w:rsidRPr="001A5EBC">
          <w:rPr>
            <w:noProof/>
            <w:webHidden/>
          </w:rPr>
          <w:tab/>
        </w:r>
        <w:r w:rsidRPr="001A5EBC">
          <w:rPr>
            <w:noProof/>
            <w:webHidden/>
          </w:rPr>
          <w:fldChar w:fldCharType="begin"/>
        </w:r>
        <w:r w:rsidRPr="001A5EBC">
          <w:rPr>
            <w:noProof/>
            <w:webHidden/>
          </w:rPr>
          <w:instrText xml:space="preserve"> PAGEREF _Toc169011864 \h </w:instrText>
        </w:r>
        <w:r w:rsidRPr="001A5EBC">
          <w:rPr>
            <w:noProof/>
            <w:webHidden/>
          </w:rPr>
        </w:r>
        <w:r w:rsidRPr="001A5EBC">
          <w:rPr>
            <w:noProof/>
            <w:webHidden/>
          </w:rPr>
          <w:fldChar w:fldCharType="separate"/>
        </w:r>
        <w:r w:rsidR="009E362B">
          <w:rPr>
            <w:noProof/>
            <w:webHidden/>
          </w:rPr>
          <w:t>7</w:t>
        </w:r>
        <w:r w:rsidRPr="001A5EBC">
          <w:rPr>
            <w:noProof/>
            <w:webHidden/>
          </w:rPr>
          <w:fldChar w:fldCharType="end"/>
        </w:r>
      </w:hyperlink>
    </w:p>
    <w:p w14:paraId="72F8E0EC" w14:textId="6261A6DC" w:rsidR="005A543F" w:rsidRPr="001A5EBC" w:rsidRDefault="005A543F">
      <w:pPr>
        <w:pStyle w:val="TOC1"/>
        <w:tabs>
          <w:tab w:val="right" w:pos="10534"/>
        </w:tabs>
        <w:rPr>
          <w:rFonts w:eastAsiaTheme="minorEastAsia"/>
          <w:noProof/>
          <w:kern w:val="2"/>
          <w:sz w:val="24"/>
          <w:szCs w:val="24"/>
          <w:lang w:eastAsia="en-GB"/>
          <w14:ligatures w14:val="standardContextual"/>
        </w:rPr>
      </w:pPr>
      <w:hyperlink w:anchor="_Toc169011865" w:history="1">
        <w:r w:rsidRPr="001A5EBC">
          <w:rPr>
            <w:rStyle w:val="Hyperlink"/>
            <w:noProof/>
          </w:rPr>
          <w:t>5.</w:t>
        </w:r>
        <w:r w:rsidRPr="001A5EBC">
          <w:rPr>
            <w:rFonts w:eastAsiaTheme="minorEastAsia"/>
            <w:noProof/>
            <w:kern w:val="2"/>
            <w:sz w:val="24"/>
            <w:szCs w:val="24"/>
            <w:lang w:eastAsia="en-GB"/>
            <w14:ligatures w14:val="standardContextual"/>
          </w:rPr>
          <w:tab/>
        </w:r>
        <w:r w:rsidRPr="001A5EBC">
          <w:rPr>
            <w:rStyle w:val="Hyperlink"/>
            <w:noProof/>
          </w:rPr>
          <w:t>Industry</w:t>
        </w:r>
        <w:r w:rsidRPr="001A5EBC">
          <w:rPr>
            <w:noProof/>
            <w:webHidden/>
          </w:rPr>
          <w:tab/>
        </w:r>
        <w:r w:rsidRPr="001A5EBC">
          <w:rPr>
            <w:noProof/>
            <w:webHidden/>
          </w:rPr>
          <w:fldChar w:fldCharType="begin"/>
        </w:r>
        <w:r w:rsidRPr="001A5EBC">
          <w:rPr>
            <w:noProof/>
            <w:webHidden/>
          </w:rPr>
          <w:instrText xml:space="preserve"> PAGEREF _Toc169011865 \h </w:instrText>
        </w:r>
        <w:r w:rsidRPr="001A5EBC">
          <w:rPr>
            <w:noProof/>
            <w:webHidden/>
          </w:rPr>
        </w:r>
        <w:r w:rsidRPr="001A5EBC">
          <w:rPr>
            <w:noProof/>
            <w:webHidden/>
          </w:rPr>
          <w:fldChar w:fldCharType="separate"/>
        </w:r>
        <w:r w:rsidR="009E362B">
          <w:rPr>
            <w:noProof/>
            <w:webHidden/>
          </w:rPr>
          <w:t>10</w:t>
        </w:r>
        <w:r w:rsidRPr="001A5EBC">
          <w:rPr>
            <w:noProof/>
            <w:webHidden/>
          </w:rPr>
          <w:fldChar w:fldCharType="end"/>
        </w:r>
      </w:hyperlink>
    </w:p>
    <w:p w14:paraId="50D9ABE1" w14:textId="6CD34870" w:rsidR="005A543F" w:rsidRPr="001A5EBC" w:rsidRDefault="005A543F">
      <w:pPr>
        <w:pStyle w:val="TOC1"/>
        <w:tabs>
          <w:tab w:val="right" w:pos="10534"/>
        </w:tabs>
        <w:rPr>
          <w:rFonts w:eastAsiaTheme="minorEastAsia"/>
          <w:noProof/>
          <w:kern w:val="2"/>
          <w:sz w:val="24"/>
          <w:szCs w:val="24"/>
          <w:lang w:eastAsia="en-GB"/>
          <w14:ligatures w14:val="standardContextual"/>
        </w:rPr>
      </w:pPr>
      <w:hyperlink w:anchor="_Toc169011866" w:history="1">
        <w:r w:rsidRPr="001A5EBC">
          <w:rPr>
            <w:rStyle w:val="Hyperlink"/>
            <w:noProof/>
          </w:rPr>
          <w:t>6.</w:t>
        </w:r>
        <w:r w:rsidRPr="001A5EBC">
          <w:rPr>
            <w:rFonts w:eastAsiaTheme="minorEastAsia"/>
            <w:noProof/>
            <w:kern w:val="2"/>
            <w:sz w:val="24"/>
            <w:szCs w:val="24"/>
            <w:lang w:eastAsia="en-GB"/>
            <w14:ligatures w14:val="standardContextual"/>
          </w:rPr>
          <w:tab/>
        </w:r>
        <w:r w:rsidRPr="001A5EBC">
          <w:rPr>
            <w:rStyle w:val="Hyperlink"/>
            <w:noProof/>
          </w:rPr>
          <w:t>Land</w:t>
        </w:r>
        <w:r w:rsidRPr="001A5EBC">
          <w:rPr>
            <w:noProof/>
            <w:webHidden/>
          </w:rPr>
          <w:tab/>
        </w:r>
        <w:r w:rsidRPr="001A5EBC">
          <w:rPr>
            <w:noProof/>
            <w:webHidden/>
          </w:rPr>
          <w:fldChar w:fldCharType="begin"/>
        </w:r>
        <w:r w:rsidRPr="001A5EBC">
          <w:rPr>
            <w:noProof/>
            <w:webHidden/>
          </w:rPr>
          <w:instrText xml:space="preserve"> PAGEREF _Toc169011866 \h </w:instrText>
        </w:r>
        <w:r w:rsidRPr="001A5EBC">
          <w:rPr>
            <w:noProof/>
            <w:webHidden/>
          </w:rPr>
        </w:r>
        <w:r w:rsidRPr="001A5EBC">
          <w:rPr>
            <w:noProof/>
            <w:webHidden/>
          </w:rPr>
          <w:fldChar w:fldCharType="separate"/>
        </w:r>
        <w:r w:rsidR="009E362B">
          <w:rPr>
            <w:noProof/>
            <w:webHidden/>
          </w:rPr>
          <w:t>12</w:t>
        </w:r>
        <w:r w:rsidRPr="001A5EBC">
          <w:rPr>
            <w:noProof/>
            <w:webHidden/>
          </w:rPr>
          <w:fldChar w:fldCharType="end"/>
        </w:r>
      </w:hyperlink>
    </w:p>
    <w:p w14:paraId="27D0EE68" w14:textId="38FC1A31" w:rsidR="005A543F" w:rsidRPr="001A5EBC" w:rsidRDefault="005A543F" w:rsidP="005A543F">
      <w:pPr>
        <w:pStyle w:val="TOC1"/>
        <w:tabs>
          <w:tab w:val="right" w:pos="10534"/>
        </w:tabs>
        <w:rPr>
          <w:rFonts w:eastAsiaTheme="minorEastAsia"/>
          <w:noProof/>
          <w:kern w:val="2"/>
          <w:sz w:val="24"/>
          <w:szCs w:val="24"/>
          <w:lang w:eastAsia="en-GB"/>
          <w14:ligatures w14:val="standardContextual"/>
        </w:rPr>
      </w:pPr>
      <w:hyperlink w:anchor="_Toc169011867" w:history="1">
        <w:r w:rsidRPr="001A5EBC">
          <w:rPr>
            <w:rStyle w:val="Hyperlink"/>
            <w:noProof/>
          </w:rPr>
          <w:t>7.</w:t>
        </w:r>
        <w:r w:rsidRPr="001A5EBC">
          <w:rPr>
            <w:rFonts w:eastAsiaTheme="minorEastAsia"/>
            <w:noProof/>
            <w:kern w:val="2"/>
            <w:sz w:val="24"/>
            <w:szCs w:val="24"/>
            <w:lang w:eastAsia="en-GB"/>
            <w14:ligatures w14:val="standardContextual"/>
          </w:rPr>
          <w:tab/>
        </w:r>
        <w:r w:rsidRPr="001A5EBC">
          <w:rPr>
            <w:rStyle w:val="Hyperlink"/>
            <w:noProof/>
          </w:rPr>
          <w:t>Conclusions</w:t>
        </w:r>
        <w:r w:rsidRPr="001A5EBC">
          <w:rPr>
            <w:noProof/>
            <w:webHidden/>
          </w:rPr>
          <w:tab/>
        </w:r>
        <w:r w:rsidRPr="001A5EBC">
          <w:rPr>
            <w:noProof/>
            <w:webHidden/>
          </w:rPr>
          <w:fldChar w:fldCharType="begin"/>
        </w:r>
        <w:r w:rsidRPr="001A5EBC">
          <w:rPr>
            <w:noProof/>
            <w:webHidden/>
          </w:rPr>
          <w:instrText xml:space="preserve"> PAGEREF _Toc169011867 \h </w:instrText>
        </w:r>
        <w:r w:rsidRPr="001A5EBC">
          <w:rPr>
            <w:noProof/>
            <w:webHidden/>
          </w:rPr>
        </w:r>
        <w:r w:rsidRPr="001A5EBC">
          <w:rPr>
            <w:noProof/>
            <w:webHidden/>
          </w:rPr>
          <w:fldChar w:fldCharType="separate"/>
        </w:r>
        <w:r w:rsidR="009E362B">
          <w:rPr>
            <w:noProof/>
            <w:webHidden/>
          </w:rPr>
          <w:t>14</w:t>
        </w:r>
        <w:r w:rsidRPr="001A5EBC">
          <w:rPr>
            <w:noProof/>
            <w:webHidden/>
          </w:rPr>
          <w:fldChar w:fldCharType="end"/>
        </w:r>
      </w:hyperlink>
    </w:p>
    <w:p w14:paraId="1556C435" w14:textId="2E589F7A" w:rsidR="005A543F" w:rsidRPr="001A5EBC" w:rsidRDefault="005A543F">
      <w:pPr>
        <w:pStyle w:val="TOC1"/>
        <w:tabs>
          <w:tab w:val="right" w:pos="10534"/>
        </w:tabs>
        <w:rPr>
          <w:rFonts w:eastAsiaTheme="minorEastAsia"/>
          <w:noProof/>
          <w:kern w:val="2"/>
          <w:sz w:val="24"/>
          <w:szCs w:val="24"/>
          <w:lang w:eastAsia="en-GB"/>
          <w14:ligatures w14:val="standardContextual"/>
        </w:rPr>
      </w:pPr>
      <w:hyperlink w:anchor="_Toc169011869" w:history="1">
        <w:r w:rsidRPr="001A5EBC">
          <w:rPr>
            <w:rStyle w:val="Hyperlink"/>
            <w:noProof/>
          </w:rPr>
          <w:t>8.</w:t>
        </w:r>
        <w:r w:rsidRPr="001A5EBC">
          <w:rPr>
            <w:rFonts w:eastAsiaTheme="minorEastAsia"/>
            <w:noProof/>
            <w:kern w:val="2"/>
            <w:sz w:val="24"/>
            <w:szCs w:val="24"/>
            <w:lang w:eastAsia="en-GB"/>
            <w14:ligatures w14:val="standardContextual"/>
          </w:rPr>
          <w:tab/>
        </w:r>
        <w:r w:rsidRPr="001A5EBC">
          <w:rPr>
            <w:rStyle w:val="Hyperlink"/>
            <w:noProof/>
          </w:rPr>
          <w:t>References</w:t>
        </w:r>
        <w:r w:rsidRPr="001A5EBC">
          <w:rPr>
            <w:noProof/>
            <w:webHidden/>
          </w:rPr>
          <w:tab/>
        </w:r>
        <w:r w:rsidRPr="001A5EBC">
          <w:rPr>
            <w:noProof/>
            <w:webHidden/>
          </w:rPr>
          <w:fldChar w:fldCharType="begin"/>
        </w:r>
        <w:r w:rsidRPr="001A5EBC">
          <w:rPr>
            <w:noProof/>
            <w:webHidden/>
          </w:rPr>
          <w:instrText xml:space="preserve"> PAGEREF _Toc169011869 \h </w:instrText>
        </w:r>
        <w:r w:rsidRPr="001A5EBC">
          <w:rPr>
            <w:noProof/>
            <w:webHidden/>
          </w:rPr>
        </w:r>
        <w:r w:rsidRPr="001A5EBC">
          <w:rPr>
            <w:noProof/>
            <w:webHidden/>
          </w:rPr>
          <w:fldChar w:fldCharType="separate"/>
        </w:r>
        <w:r w:rsidR="009E362B">
          <w:rPr>
            <w:noProof/>
            <w:webHidden/>
          </w:rPr>
          <w:t>16</w:t>
        </w:r>
        <w:r w:rsidRPr="001A5EBC">
          <w:rPr>
            <w:noProof/>
            <w:webHidden/>
          </w:rPr>
          <w:fldChar w:fldCharType="end"/>
        </w:r>
      </w:hyperlink>
    </w:p>
    <w:p w14:paraId="7EDB1D48" w14:textId="43078E68" w:rsidR="00F84948" w:rsidRPr="001A5EBC" w:rsidRDefault="008064F8" w:rsidP="0004725A">
      <w:pPr>
        <w:pStyle w:val="BodyText"/>
        <w:sectPr w:rsidR="00F84948" w:rsidRPr="001A5EBC" w:rsidSect="0004725A">
          <w:headerReference w:type="default" r:id="rId31"/>
          <w:footerReference w:type="default" r:id="rId32"/>
          <w:pgSz w:w="11910" w:h="16840"/>
          <w:pgMar w:top="2155" w:right="680" w:bottom="1361" w:left="686" w:header="539" w:footer="512" w:gutter="0"/>
          <w:cols w:space="720"/>
        </w:sectPr>
      </w:pPr>
      <w:r w:rsidRPr="001A5EBC">
        <w:rPr>
          <w:sz w:val="28"/>
          <w:szCs w:val="28"/>
        </w:rPr>
        <w:fldChar w:fldCharType="end"/>
      </w:r>
    </w:p>
    <w:p w14:paraId="1E58C447" w14:textId="7ABD88B2" w:rsidR="00F84948" w:rsidRPr="001A5EBC" w:rsidRDefault="0004725A" w:rsidP="001E1429">
      <w:pPr>
        <w:pStyle w:val="Heading1"/>
        <w:numPr>
          <w:ilvl w:val="0"/>
          <w:numId w:val="47"/>
        </w:numPr>
      </w:pPr>
      <w:bookmarkStart w:id="0" w:name="_Toc169011861"/>
      <w:r w:rsidRPr="001A5EBC">
        <w:lastRenderedPageBreak/>
        <w:t xml:space="preserve">Background and </w:t>
      </w:r>
      <w:r w:rsidR="00495CB7">
        <w:t>A</w:t>
      </w:r>
      <w:r w:rsidRPr="001A5EBC">
        <w:t xml:space="preserve">im of the </w:t>
      </w:r>
      <w:r w:rsidR="00495CB7">
        <w:t>S</w:t>
      </w:r>
      <w:r w:rsidRPr="001A5EBC">
        <w:t>tudy</w:t>
      </w:r>
      <w:bookmarkEnd w:id="0"/>
    </w:p>
    <w:p w14:paraId="49142249" w14:textId="23EA3B2E" w:rsidR="00BF5BC5" w:rsidRPr="001A5EBC" w:rsidRDefault="00BF5BC5" w:rsidP="00BF5BC5">
      <w:pPr>
        <w:jc w:val="both"/>
      </w:pPr>
      <w:r w:rsidRPr="001A5EBC">
        <w:t>In</w:t>
      </w:r>
      <w:r w:rsidR="00D50820">
        <w:t xml:space="preserve"> </w:t>
      </w:r>
      <w:r w:rsidRPr="001A5EBC">
        <w:t>2023 Cambridge Econometrics produced a set of modelled</w:t>
      </w:r>
      <w:r w:rsidR="00677F00">
        <w:t xml:space="preserve"> scenarios</w:t>
      </w:r>
      <w:r w:rsidRPr="001A5EBC">
        <w:t xml:space="preserve"> </w:t>
      </w:r>
      <w:r w:rsidR="007A0E4A" w:rsidRPr="001A5EBC">
        <w:t>describing</w:t>
      </w:r>
      <w:r w:rsidRPr="001A5EBC">
        <w:t xml:space="preserve"> the</w:t>
      </w:r>
      <w:r w:rsidR="00495CB7">
        <w:t xml:space="preserve"> </w:t>
      </w:r>
      <w:r w:rsidRPr="001A5EBC">
        <w:t xml:space="preserve">future evolution of the </w:t>
      </w:r>
      <w:r w:rsidRPr="00677F00">
        <w:t>North of England between 2025 and 2050</w:t>
      </w:r>
      <w:r w:rsidR="00677F00">
        <w:t xml:space="preserve"> (Cambridge Econometrics, 2023)</w:t>
      </w:r>
      <w:r w:rsidR="00677F00" w:rsidRPr="00677F00">
        <w:t xml:space="preserve">. </w:t>
      </w:r>
      <w:r w:rsidRPr="00677F00">
        <w:t>To do this, we took investment figures from the UK Gov</w:t>
      </w:r>
      <w:r w:rsidR="00892347" w:rsidRPr="00677F00">
        <w:t>ernment</w:t>
      </w:r>
      <w:r w:rsidR="00495CB7" w:rsidRPr="00677F00">
        <w:t>’s</w:t>
      </w:r>
      <w:r w:rsidRPr="00677F00">
        <w:t xml:space="preserve"> “Build Back Greener” Net Zero plan</w:t>
      </w:r>
      <w:r w:rsidR="00EB20A3" w:rsidRPr="00677F00">
        <w:t xml:space="preserve"> (HM </w:t>
      </w:r>
      <w:r w:rsidR="00CE092F" w:rsidRPr="00677F00">
        <w:t>Government, 2021)</w:t>
      </w:r>
      <w:r w:rsidRPr="00677F00">
        <w:t xml:space="preserve"> for each component</w:t>
      </w:r>
      <w:r w:rsidR="00DC70E6" w:rsidRPr="00677F00">
        <w:t xml:space="preserve"> of Net Zero</w:t>
      </w:r>
      <w:r w:rsidR="00495CB7" w:rsidRPr="00677F00">
        <w:t xml:space="preserve">, </w:t>
      </w:r>
      <w:r w:rsidRPr="00677F00">
        <w:t>broadly described as</w:t>
      </w:r>
      <w:r w:rsidR="00495CB7" w:rsidRPr="00677F00">
        <w:t>:</w:t>
      </w:r>
      <w:r w:rsidRPr="00677F00">
        <w:t xml:space="preserve"> Energy, Buil</w:t>
      </w:r>
      <w:r w:rsidR="00DC70E6" w:rsidRPr="00677F00">
        <w:t>t</w:t>
      </w:r>
      <w:r w:rsidRPr="00677F00">
        <w:t xml:space="preserve"> Environment,</w:t>
      </w:r>
      <w:r w:rsidR="001F12A9" w:rsidRPr="00677F00">
        <w:t xml:space="preserve"> </w:t>
      </w:r>
      <w:r w:rsidRPr="00677F00">
        <w:t>Transport, Industry</w:t>
      </w:r>
      <w:r w:rsidR="00677F00" w:rsidRPr="00677F00">
        <w:t>,</w:t>
      </w:r>
      <w:r w:rsidRPr="00677F00">
        <w:t xml:space="preserve"> and Land</w:t>
      </w:r>
      <w:r w:rsidR="00495CB7" w:rsidRPr="00677F00">
        <w:t xml:space="preserve">. We then </w:t>
      </w:r>
      <w:r w:rsidR="0041303A" w:rsidRPr="00677F00">
        <w:t>distributed</w:t>
      </w:r>
      <w:r w:rsidR="009A2207" w:rsidRPr="00677F00">
        <w:t xml:space="preserve"> these figures</w:t>
      </w:r>
      <w:r w:rsidRPr="00677F00">
        <w:t xml:space="preserve"> over the </w:t>
      </w:r>
      <w:r w:rsidR="00495CB7" w:rsidRPr="00677F00">
        <w:t>25-year</w:t>
      </w:r>
      <w:r w:rsidRPr="00677F00">
        <w:t xml:space="preserve"> period</w:t>
      </w:r>
      <w:r w:rsidR="002A25D8" w:rsidRPr="00677F00">
        <w:t xml:space="preserve"> with a suitable ramp-up </w:t>
      </w:r>
      <w:r w:rsidR="00732999" w:rsidRPr="00677F00">
        <w:t xml:space="preserve">phase </w:t>
      </w:r>
      <w:r w:rsidRPr="00677F00">
        <w:t>and estimated, using a range of heuristics, how much of this investment would</w:t>
      </w:r>
      <w:r w:rsidR="002A25D8" w:rsidRPr="00732999">
        <w:t xml:space="preserve"> </w:t>
      </w:r>
      <w:r w:rsidR="00732999" w:rsidRPr="00732999">
        <w:t>be</w:t>
      </w:r>
      <w:r w:rsidRPr="00732999">
        <w:t xml:space="preserve"> spent in the North of England and </w:t>
      </w:r>
      <w:r w:rsidR="00732999">
        <w:t xml:space="preserve">into </w:t>
      </w:r>
      <w:r w:rsidRPr="00732999">
        <w:t xml:space="preserve">which </w:t>
      </w:r>
      <w:r w:rsidR="005B23DF" w:rsidRPr="00732999">
        <w:t xml:space="preserve">of its </w:t>
      </w:r>
      <w:r w:rsidRPr="00732999">
        <w:t>economic sectors.</w:t>
      </w:r>
    </w:p>
    <w:p w14:paraId="187DF9C2" w14:textId="37B93B61" w:rsidR="00BF5BC5" w:rsidRPr="00677F00" w:rsidRDefault="00BF5BC5" w:rsidP="00BF5BC5">
      <w:pPr>
        <w:jc w:val="both"/>
      </w:pPr>
      <w:r w:rsidRPr="001A5EBC">
        <w:t xml:space="preserve">The resulting figures were </w:t>
      </w:r>
      <w:r w:rsidR="00140D5F" w:rsidRPr="001A5EBC">
        <w:t xml:space="preserve">used as </w:t>
      </w:r>
      <w:r w:rsidRPr="001A5EBC">
        <w:t xml:space="preserve">input </w:t>
      </w:r>
      <w:r w:rsidR="00732999">
        <w:t>for</w:t>
      </w:r>
      <w:r w:rsidRPr="001A5EBC">
        <w:t xml:space="preserve"> </w:t>
      </w:r>
      <w:r w:rsidR="00140D5F" w:rsidRPr="001A5EBC">
        <w:t>the “Net Zero” scenario</w:t>
      </w:r>
      <w:r w:rsidRPr="001A5EBC">
        <w:t xml:space="preserve"> </w:t>
      </w:r>
      <w:r w:rsidR="00140D5F" w:rsidRPr="001A5EBC">
        <w:t>in</w:t>
      </w:r>
      <w:r w:rsidR="007A0E4A" w:rsidRPr="001A5EBC">
        <w:t xml:space="preserve"> our Local Economy Forecasting Model</w:t>
      </w:r>
      <w:r w:rsidR="00140D5F" w:rsidRPr="001A5EBC">
        <w:t xml:space="preserve"> </w:t>
      </w:r>
      <w:r w:rsidR="007A0E4A" w:rsidRPr="00677F00">
        <w:t>(</w:t>
      </w:r>
      <w:r w:rsidR="00140D5F" w:rsidRPr="00677F00">
        <w:t>LEFM</w:t>
      </w:r>
      <w:r w:rsidR="007A0E4A" w:rsidRPr="00677F00">
        <w:t>)</w:t>
      </w:r>
      <w:r w:rsidRPr="00677F00">
        <w:t>,</w:t>
      </w:r>
      <w:r w:rsidR="00140D5F" w:rsidRPr="00677F00">
        <w:t xml:space="preserve"> and as a component of the later “New Transformational” Scenario</w:t>
      </w:r>
      <w:r w:rsidR="00732999" w:rsidRPr="00677F00">
        <w:t>,</w:t>
      </w:r>
      <w:r w:rsidR="00140D5F" w:rsidRPr="00677F00">
        <w:t xml:space="preserve"> which brought in other </w:t>
      </w:r>
      <w:r w:rsidR="007A0E4A" w:rsidRPr="00677F00">
        <w:t xml:space="preserve">policy </w:t>
      </w:r>
      <w:r w:rsidR="00140D5F" w:rsidRPr="00677F00">
        <w:t>elements.</w:t>
      </w:r>
      <w:r w:rsidRPr="00677F00">
        <w:t xml:space="preserve"> </w:t>
      </w:r>
      <w:r w:rsidR="00140D5F" w:rsidRPr="00677F00">
        <w:t>T</w:t>
      </w:r>
      <w:r w:rsidRPr="00677F00">
        <w:t xml:space="preserve">he outputs of </w:t>
      </w:r>
      <w:r w:rsidR="00140D5F" w:rsidRPr="00677F00">
        <w:t>the modelling estimated</w:t>
      </w:r>
      <w:r w:rsidRPr="00677F00">
        <w:t xml:space="preserve"> </w:t>
      </w:r>
      <w:r w:rsidR="00732999" w:rsidRPr="00677F00">
        <w:t>the</w:t>
      </w:r>
      <w:r w:rsidRPr="00677F00">
        <w:t xml:space="preserve"> </w:t>
      </w:r>
      <w:r w:rsidR="007A0E4A" w:rsidRPr="00677F00">
        <w:t>investment</w:t>
      </w:r>
      <w:r w:rsidR="00732999" w:rsidRPr="00677F00">
        <w:t>’s economic and social impacts</w:t>
      </w:r>
      <w:r w:rsidR="00140D5F" w:rsidRPr="00677F00">
        <w:t xml:space="preserve"> over time</w:t>
      </w:r>
      <w:r w:rsidR="00732999" w:rsidRPr="00677F00">
        <w:t>,</w:t>
      </w:r>
      <w:r w:rsidR="005B23DF" w:rsidRPr="00677F00">
        <w:t xml:space="preserve"> </w:t>
      </w:r>
      <w:r w:rsidR="00732999" w:rsidRPr="00677F00">
        <w:t xml:space="preserve">including </w:t>
      </w:r>
      <w:r w:rsidR="005B23DF" w:rsidRPr="00677F00">
        <w:t xml:space="preserve">impact on </w:t>
      </w:r>
      <w:r w:rsidRPr="00677F00">
        <w:t xml:space="preserve">GDP, employment, productivity, </w:t>
      </w:r>
      <w:r w:rsidR="00140D5F" w:rsidRPr="00677F00">
        <w:t>wages</w:t>
      </w:r>
      <w:r w:rsidR="00732999" w:rsidRPr="00677F00">
        <w:t>,</w:t>
      </w:r>
      <w:r w:rsidR="00203CE3" w:rsidRPr="00677F00">
        <w:t xml:space="preserve"> etc.,</w:t>
      </w:r>
      <w:r w:rsidR="00732999" w:rsidRPr="00677F00">
        <w:t xml:space="preserve"> as well as</w:t>
      </w:r>
      <w:r w:rsidRPr="00677F00">
        <w:t xml:space="preserve"> the environmental impacts</w:t>
      </w:r>
      <w:r w:rsidR="00732999" w:rsidRPr="00677F00">
        <w:t xml:space="preserve"> in terms of reduced emissions</w:t>
      </w:r>
      <w:r w:rsidRPr="00677F00">
        <w:t>. As part of th</w:t>
      </w:r>
      <w:r w:rsidR="00BC28D6" w:rsidRPr="00677F00">
        <w:t xml:space="preserve">is </w:t>
      </w:r>
      <w:r w:rsidRPr="00677F00">
        <w:t xml:space="preserve">work, we </w:t>
      </w:r>
      <w:r w:rsidR="00BC28D6" w:rsidRPr="00677F00">
        <w:t xml:space="preserve">also </w:t>
      </w:r>
      <w:r w:rsidRPr="00677F00">
        <w:t xml:space="preserve">calculated the public-private share of investment </w:t>
      </w:r>
      <w:r w:rsidR="00BC28D6" w:rsidRPr="00677F00">
        <w:t xml:space="preserve">for </w:t>
      </w:r>
      <w:r w:rsidRPr="00677F00">
        <w:t xml:space="preserve">each Net Zero component. Although this wasn’t required </w:t>
      </w:r>
      <w:r w:rsidR="00E8407D" w:rsidRPr="00677F00">
        <w:t>as a model input</w:t>
      </w:r>
      <w:r w:rsidRPr="00677F00">
        <w:t xml:space="preserve">, it was </w:t>
      </w:r>
      <w:r w:rsidR="00E8407D" w:rsidRPr="00677F00">
        <w:t>necessary</w:t>
      </w:r>
      <w:r w:rsidRPr="00677F00">
        <w:t xml:space="preserve"> </w:t>
      </w:r>
      <w:r w:rsidR="00BC28D6" w:rsidRPr="00677F00">
        <w:t>for</w:t>
      </w:r>
      <w:r w:rsidRPr="00677F00">
        <w:t xml:space="preserve"> estimat</w:t>
      </w:r>
      <w:r w:rsidR="00BC28D6" w:rsidRPr="00677F00">
        <w:t>ing</w:t>
      </w:r>
      <w:r w:rsidRPr="00677F00">
        <w:t xml:space="preserve"> public cost and</w:t>
      </w:r>
      <w:r w:rsidR="00BC28D6" w:rsidRPr="00677F00">
        <w:t xml:space="preserve"> thus</w:t>
      </w:r>
      <w:r w:rsidR="00E8407D" w:rsidRPr="00677F00">
        <w:t xml:space="preserve"> </w:t>
      </w:r>
      <w:r w:rsidRPr="00677F00">
        <w:t>B</w:t>
      </w:r>
      <w:r w:rsidR="003B0DAC" w:rsidRPr="00677F00">
        <w:t>enefit-</w:t>
      </w:r>
      <w:r w:rsidRPr="00677F00">
        <w:t>C</w:t>
      </w:r>
      <w:r w:rsidR="003B0DAC" w:rsidRPr="00677F00">
        <w:t>ost</w:t>
      </w:r>
      <w:r w:rsidR="00BC28D6" w:rsidRPr="00677F00">
        <w:t xml:space="preserve"> </w:t>
      </w:r>
      <w:r w:rsidRPr="00677F00">
        <w:t>R</w:t>
      </w:r>
      <w:r w:rsidR="003B0DAC" w:rsidRPr="00677F00">
        <w:t>atio</w:t>
      </w:r>
      <w:r w:rsidRPr="00677F00">
        <w:t>s</w:t>
      </w:r>
      <w:r w:rsidR="005B23DF" w:rsidRPr="00677F00">
        <w:t xml:space="preserve"> (BCR)</w:t>
      </w:r>
      <w:r w:rsidRPr="00677F00">
        <w:t xml:space="preserve"> </w:t>
      </w:r>
      <w:r w:rsidR="00BC28D6" w:rsidRPr="00677F00">
        <w:t>for the scenario.</w:t>
      </w:r>
      <w:r w:rsidR="00203CE3" w:rsidRPr="00677F00">
        <w:t xml:space="preserve"> </w:t>
      </w:r>
      <w:r w:rsidR="00BC28D6" w:rsidRPr="00677F00">
        <w:t xml:space="preserve">This </w:t>
      </w:r>
      <w:r w:rsidR="00203CE3" w:rsidRPr="00677F00">
        <w:t xml:space="preserve">allows us </w:t>
      </w:r>
      <w:r w:rsidR="00BC28D6" w:rsidRPr="00677F00">
        <w:t xml:space="preserve">to understand the extent to which </w:t>
      </w:r>
      <w:r w:rsidR="005B23DF" w:rsidRPr="00677F00">
        <w:t xml:space="preserve">investments </w:t>
      </w:r>
      <w:r w:rsidRPr="00677F00">
        <w:t>would “pay for themselves” over the long</w:t>
      </w:r>
      <w:r w:rsidR="00F52110" w:rsidRPr="00677F00">
        <w:t xml:space="preserve"> </w:t>
      </w:r>
      <w:r w:rsidRPr="00677F00">
        <w:t>run.</w:t>
      </w:r>
    </w:p>
    <w:p w14:paraId="133CC551" w14:textId="6F63AAB9" w:rsidR="00203CE3" w:rsidRPr="00677F00" w:rsidRDefault="00BF5BC5" w:rsidP="00BF5BC5">
      <w:pPr>
        <w:jc w:val="both"/>
      </w:pPr>
      <w:r w:rsidRPr="00677F00">
        <w:t xml:space="preserve">Given time and resource constraints, we applied the </w:t>
      </w:r>
      <w:r w:rsidR="00203CE3" w:rsidRPr="00677F00">
        <w:t>P</w:t>
      </w:r>
      <w:r w:rsidRPr="00677F00">
        <w:t xml:space="preserve">roportionality </w:t>
      </w:r>
      <w:r w:rsidR="00203CE3" w:rsidRPr="00677F00">
        <w:t>P</w:t>
      </w:r>
      <w:r w:rsidRPr="00677F00">
        <w:t>rinciple</w:t>
      </w:r>
      <w:r w:rsidR="00203CE3" w:rsidRPr="00677F00">
        <w:t xml:space="preserve">: we </w:t>
      </w:r>
      <w:r w:rsidRPr="00677F00">
        <w:t>broadly estimat</w:t>
      </w:r>
      <w:r w:rsidR="00203CE3" w:rsidRPr="00677F00">
        <w:t>ed</w:t>
      </w:r>
      <w:r w:rsidRPr="00677F00">
        <w:t xml:space="preserve"> the likely necessary public sector contributions into individual sub-components </w:t>
      </w:r>
      <w:r w:rsidR="00710CCA" w:rsidRPr="00677F00">
        <w:t>of each decarboni</w:t>
      </w:r>
      <w:r w:rsidR="001A5EBC" w:rsidRPr="00677F00">
        <w:t>s</w:t>
      </w:r>
      <w:r w:rsidR="00710CCA" w:rsidRPr="00677F00">
        <w:t xml:space="preserve">ation </w:t>
      </w:r>
      <w:r w:rsidRPr="00677F00">
        <w:t>(</w:t>
      </w:r>
      <w:r w:rsidR="00417170" w:rsidRPr="00677F00">
        <w:t>e.g.</w:t>
      </w:r>
      <w:r w:rsidRPr="00677F00">
        <w:t xml:space="preserve"> </w:t>
      </w:r>
      <w:r w:rsidR="009D4FEA" w:rsidRPr="00677F00">
        <w:t xml:space="preserve">costs of </w:t>
      </w:r>
      <w:r w:rsidRPr="00677F00">
        <w:t xml:space="preserve">grid upgrading, or </w:t>
      </w:r>
      <w:r w:rsidR="009D4FEA" w:rsidRPr="00677F00">
        <w:t xml:space="preserve">incentives for </w:t>
      </w:r>
      <w:r w:rsidRPr="00677F00">
        <w:t>heat pump rollout) and then add</w:t>
      </w:r>
      <w:r w:rsidR="00203CE3" w:rsidRPr="00677F00">
        <w:t>ed</w:t>
      </w:r>
      <w:r w:rsidRPr="00677F00">
        <w:t xml:space="preserve"> these together to give an overall </w:t>
      </w:r>
      <w:r w:rsidR="009D4FEA" w:rsidRPr="00677F00">
        <w:t xml:space="preserve">estimate of </w:t>
      </w:r>
      <w:r w:rsidR="005B23DF" w:rsidRPr="00677F00">
        <w:t xml:space="preserve">the </w:t>
      </w:r>
      <w:r w:rsidRPr="00677F00">
        <w:t>public sector contribution.</w:t>
      </w:r>
      <w:r w:rsidR="009D4FEA" w:rsidRPr="00677F00">
        <w:t xml:space="preserve"> </w:t>
      </w:r>
      <w:r w:rsidR="00203CE3" w:rsidRPr="00677F00">
        <w:t xml:space="preserve">This approach is </w:t>
      </w:r>
      <w:r w:rsidR="005777E0" w:rsidRPr="00677F00">
        <w:t xml:space="preserve">deliberately conservative </w:t>
      </w:r>
      <w:r w:rsidR="00203CE3" w:rsidRPr="00677F00">
        <w:t>to</w:t>
      </w:r>
      <w:r w:rsidR="00F93CBC" w:rsidRPr="00677F00">
        <w:t xml:space="preserve"> avoid overplaying the economic impacts and BCR</w:t>
      </w:r>
      <w:r w:rsidR="00203CE3" w:rsidRPr="00677F00">
        <w:t>. T</w:t>
      </w:r>
      <w:r w:rsidR="009D4FEA" w:rsidRPr="00677F00">
        <w:t xml:space="preserve">he final figure </w:t>
      </w:r>
      <w:r w:rsidR="000A486A" w:rsidRPr="00677F00">
        <w:t xml:space="preserve">estimated was a 45:55 public to private ratio, </w:t>
      </w:r>
      <w:r w:rsidR="00203CE3" w:rsidRPr="00677F00">
        <w:t>or</w:t>
      </w:r>
      <w:r w:rsidR="000A486A" w:rsidRPr="00677F00">
        <w:t xml:space="preserve"> expressed another way, </w:t>
      </w:r>
      <w:r w:rsidR="00AF3732" w:rsidRPr="00677F00">
        <w:t>a 1.22 leverage ratio</w:t>
      </w:r>
      <w:r w:rsidR="00203CE3" w:rsidRPr="00677F00">
        <w:t xml:space="preserve"> (</w:t>
      </w:r>
      <w:r w:rsidR="00AF3732" w:rsidRPr="00677F00">
        <w:t>for every £ the public sector invested, the private sector would invest £1.22)</w:t>
      </w:r>
      <w:r w:rsidR="005B23DF" w:rsidRPr="00677F00">
        <w:t>.</w:t>
      </w:r>
    </w:p>
    <w:p w14:paraId="50DBEEE7" w14:textId="77777777" w:rsidR="002F776E" w:rsidRDefault="00BF5BC5" w:rsidP="00BF5BC5">
      <w:pPr>
        <w:jc w:val="both"/>
      </w:pPr>
      <w:r w:rsidRPr="00677F00">
        <w:t xml:space="preserve">The aim of this </w:t>
      </w:r>
      <w:r w:rsidR="005B23DF" w:rsidRPr="00677F00">
        <w:t xml:space="preserve">new </w:t>
      </w:r>
      <w:r w:rsidR="00417170" w:rsidRPr="00677F00">
        <w:t>study</w:t>
      </w:r>
      <w:r w:rsidRPr="00677F00">
        <w:t xml:space="preserve"> is to re-examine these assumptions in </w:t>
      </w:r>
      <w:r w:rsidR="00203CE3" w:rsidRPr="00677F00">
        <w:t>considerably</w:t>
      </w:r>
      <w:r w:rsidRPr="00677F00">
        <w:t xml:space="preserve"> more detail, by </w:t>
      </w:r>
      <w:r w:rsidR="005B23DF" w:rsidRPr="00677F00">
        <w:t>examining</w:t>
      </w:r>
      <w:r w:rsidRPr="00677F00">
        <w:t xml:space="preserve"> both the overall public-private split and the split over time</w:t>
      </w:r>
      <w:r w:rsidR="009D4FEA" w:rsidRPr="00677F00">
        <w:t>.</w:t>
      </w:r>
      <w:r w:rsidR="009D4FEA" w:rsidRPr="00677F00" w:rsidDel="009D4FEA">
        <w:t xml:space="preserve"> </w:t>
      </w:r>
      <w:r w:rsidR="00203CE3" w:rsidRPr="00677F00">
        <w:t>T</w:t>
      </w:r>
      <w:r w:rsidR="00AF3732" w:rsidRPr="00677F00">
        <w:t>his will not affect the overall scale of the investment</w:t>
      </w:r>
      <w:r w:rsidR="00AF3732" w:rsidRPr="001A5EBC">
        <w:t xml:space="preserve"> required or the sectors involved</w:t>
      </w:r>
      <w:r w:rsidR="00203CE3">
        <w:t>, and so</w:t>
      </w:r>
      <w:r w:rsidR="00AF3732" w:rsidRPr="001A5EBC">
        <w:t xml:space="preserve"> will</w:t>
      </w:r>
      <w:r w:rsidR="00203CE3">
        <w:t xml:space="preserve"> </w:t>
      </w:r>
      <w:r w:rsidR="00AF3732" w:rsidRPr="001A5EBC">
        <w:t xml:space="preserve">not impact the model results, the economic impact </w:t>
      </w:r>
      <w:r w:rsidR="005B23DF" w:rsidRPr="001A5EBC">
        <w:t xml:space="preserve">estimated for </w:t>
      </w:r>
      <w:r w:rsidR="00AF3732" w:rsidRPr="001A5EBC">
        <w:t>the North</w:t>
      </w:r>
      <w:r w:rsidR="005B23DF" w:rsidRPr="001A5EBC">
        <w:t xml:space="preserve"> of England</w:t>
      </w:r>
      <w:r w:rsidR="00AF3732" w:rsidRPr="001A5EBC">
        <w:t xml:space="preserve">, or </w:t>
      </w:r>
      <w:r w:rsidR="005B23DF" w:rsidRPr="001A5EBC">
        <w:t xml:space="preserve">the </w:t>
      </w:r>
      <w:r w:rsidR="00AF3732" w:rsidRPr="001A5EBC">
        <w:t>pathway to Net Zero. However</w:t>
      </w:r>
      <w:r w:rsidR="00203CE3">
        <w:t>,</w:t>
      </w:r>
      <w:r w:rsidR="00AF3732" w:rsidRPr="001A5EBC">
        <w:t xml:space="preserve"> it will impact the likely estimated cost to the public sector and resulting </w:t>
      </w:r>
      <w:r w:rsidR="00C96507">
        <w:t>BCR</w:t>
      </w:r>
      <w:r w:rsidR="00AF3732" w:rsidRPr="001A5EBC">
        <w:t>.</w:t>
      </w:r>
      <w:r w:rsidR="002F776E">
        <w:t xml:space="preserve"> </w:t>
      </w:r>
    </w:p>
    <w:p w14:paraId="73974792" w14:textId="58550634" w:rsidR="00AF3732" w:rsidRPr="001A5EBC" w:rsidRDefault="00AF3732" w:rsidP="00BF5BC5">
      <w:pPr>
        <w:jc w:val="both"/>
      </w:pPr>
      <w:r w:rsidRPr="001A5EBC">
        <w:t>In the following sections</w:t>
      </w:r>
      <w:r w:rsidR="00203CE3">
        <w:t xml:space="preserve"> </w:t>
      </w:r>
      <w:r w:rsidRPr="001A5EBC">
        <w:t>we discuss the evidence for each of the five broad decarboni</w:t>
      </w:r>
      <w:r w:rsidR="001A5EBC" w:rsidRPr="001A5EBC">
        <w:t>s</w:t>
      </w:r>
      <w:r w:rsidRPr="001A5EBC">
        <w:t>ation areas in turn,</w:t>
      </w:r>
      <w:r w:rsidR="00203CE3">
        <w:t xml:space="preserve"> </w:t>
      </w:r>
      <w:r w:rsidR="00CA7F85">
        <w:t xml:space="preserve">and </w:t>
      </w:r>
      <w:r w:rsidR="00203CE3">
        <w:t>then</w:t>
      </w:r>
      <w:r w:rsidRPr="001A5EBC">
        <w:t xml:space="preserve"> conclud</w:t>
      </w:r>
      <w:r w:rsidR="00203CE3">
        <w:t>e</w:t>
      </w:r>
      <w:r w:rsidRPr="001A5EBC">
        <w:t xml:space="preserve"> by using these updated estimates to provide an overall estimate of public-private sector investment ratios.</w:t>
      </w:r>
    </w:p>
    <w:p w14:paraId="467C7718" w14:textId="77777777" w:rsidR="00BF5BC5" w:rsidRPr="001A5EBC" w:rsidRDefault="00BF5BC5" w:rsidP="003A7A44">
      <w:pPr>
        <w:jc w:val="both"/>
      </w:pPr>
    </w:p>
    <w:p w14:paraId="05679BFA" w14:textId="57C5264A" w:rsidR="0004725A" w:rsidRPr="001A5EBC" w:rsidRDefault="00155C68" w:rsidP="001E1429">
      <w:pPr>
        <w:pStyle w:val="Heading1"/>
        <w:numPr>
          <w:ilvl w:val="0"/>
          <w:numId w:val="47"/>
        </w:numPr>
      </w:pPr>
      <w:bookmarkStart w:id="1" w:name="_Toc169011862"/>
      <w:r w:rsidRPr="001A5EBC">
        <w:lastRenderedPageBreak/>
        <w:t>Energy</w:t>
      </w:r>
      <w:bookmarkEnd w:id="1"/>
    </w:p>
    <w:p w14:paraId="6C42E59B" w14:textId="74F19796" w:rsidR="008E6598" w:rsidRPr="001A5EBC" w:rsidRDefault="00155C68" w:rsidP="008E6598">
      <w:pPr>
        <w:pStyle w:val="Heading2"/>
      </w:pPr>
      <w:r w:rsidRPr="001A5EBC">
        <w:t xml:space="preserve">Evidence </w:t>
      </w:r>
      <w:r w:rsidR="002F776E">
        <w:t>R</w:t>
      </w:r>
      <w:r w:rsidRPr="001A5EBC">
        <w:t>eviewed</w:t>
      </w:r>
    </w:p>
    <w:p w14:paraId="6439D001" w14:textId="6098F7C2" w:rsidR="0092022B" w:rsidRPr="001A5EBC" w:rsidRDefault="00EA62BA" w:rsidP="00EA62BA">
      <w:pPr>
        <w:pStyle w:val="BodyText"/>
      </w:pPr>
      <w:r w:rsidRPr="001A5EBC">
        <w:t>In 2019</w:t>
      </w:r>
      <w:r w:rsidR="002F776E">
        <w:t xml:space="preserve"> n</w:t>
      </w:r>
      <w:r w:rsidRPr="001A5EBC">
        <w:t xml:space="preserve">et UK </w:t>
      </w:r>
      <w:r w:rsidR="00CF4CD0" w:rsidRPr="001A5EBC">
        <w:t>greenhouse gas (GHG)</w:t>
      </w:r>
      <w:r w:rsidRPr="001A5EBC">
        <w:t xml:space="preserve"> emissions from the energy sector </w:t>
      </w:r>
      <w:r w:rsidR="00C80B21" w:rsidRPr="001A5EBC">
        <w:t xml:space="preserve">reached </w:t>
      </w:r>
      <w:r w:rsidRPr="001A5EBC">
        <w:t>58 MtCO2e</w:t>
      </w:r>
      <w:r w:rsidR="002F776E">
        <w:t xml:space="preserve">, </w:t>
      </w:r>
      <w:r w:rsidRPr="001A5EBC">
        <w:t>account</w:t>
      </w:r>
      <w:r w:rsidR="002F776E">
        <w:t>ing</w:t>
      </w:r>
      <w:r w:rsidRPr="001A5EBC">
        <w:t xml:space="preserve"> for 11% of total net UK GHG emissions</w:t>
      </w:r>
      <w:r w:rsidR="00B4517B" w:rsidRPr="001A5EBC">
        <w:t xml:space="preserve"> (DESNZ, 2022)</w:t>
      </w:r>
      <w:r w:rsidRPr="001A5EBC">
        <w:t xml:space="preserve">. </w:t>
      </w:r>
      <w:r w:rsidR="0092022B" w:rsidRPr="001A5EBC">
        <w:t xml:space="preserve">Achieving a </w:t>
      </w:r>
      <w:r w:rsidR="002F776E">
        <w:t>n</w:t>
      </w:r>
      <w:r w:rsidR="0092022B" w:rsidRPr="001A5EBC">
        <w:t>et</w:t>
      </w:r>
      <w:r w:rsidR="002F776E">
        <w:t xml:space="preserve"> ze</w:t>
      </w:r>
      <w:r w:rsidR="0092022B" w:rsidRPr="001A5EBC">
        <w:t xml:space="preserve">ro </w:t>
      </w:r>
      <w:r w:rsidR="00A952E5" w:rsidRPr="001A5EBC">
        <w:t>energy sector, as highlighted in the Net</w:t>
      </w:r>
      <w:r w:rsidR="0009255E">
        <w:t xml:space="preserve"> </w:t>
      </w:r>
      <w:r w:rsidR="00A952E5" w:rsidRPr="001A5EBC">
        <w:t>Zero Strategy</w:t>
      </w:r>
      <w:r w:rsidR="00A031ED" w:rsidRPr="001A5EBC">
        <w:t xml:space="preserve"> (DESNZ, 2022)</w:t>
      </w:r>
      <w:r w:rsidR="00A952E5" w:rsidRPr="001A5EBC">
        <w:t xml:space="preserve">, requires </w:t>
      </w:r>
      <w:r w:rsidR="0059371D" w:rsidRPr="001A5EBC">
        <w:t>substantial decarbonisation of the power sector</w:t>
      </w:r>
      <w:r w:rsidR="002F776E">
        <w:t xml:space="preserve"> </w:t>
      </w:r>
      <w:r w:rsidR="00EE765B" w:rsidRPr="001A5EBC">
        <w:t>through a</w:t>
      </w:r>
      <w:r w:rsidR="00801325" w:rsidRPr="001A5EBC">
        <w:t xml:space="preserve"> shift from</w:t>
      </w:r>
      <w:r w:rsidR="00EE765B" w:rsidRPr="001A5EBC">
        <w:t xml:space="preserve"> the use of</w:t>
      </w:r>
      <w:r w:rsidR="00801325" w:rsidRPr="001A5EBC">
        <w:t xml:space="preserve"> fossil fuel</w:t>
      </w:r>
      <w:r w:rsidR="00787078" w:rsidRPr="001A5EBC">
        <w:t>s</w:t>
      </w:r>
      <w:r w:rsidR="0084520C" w:rsidRPr="001A5EBC">
        <w:t xml:space="preserve"> </w:t>
      </w:r>
      <w:r w:rsidR="00801325" w:rsidRPr="001A5EBC">
        <w:t xml:space="preserve">towards low carbon </w:t>
      </w:r>
      <w:r w:rsidR="00545C95" w:rsidRPr="001A5EBC">
        <w:t>energy generation</w:t>
      </w:r>
      <w:r w:rsidR="007718A1" w:rsidRPr="001A5EBC">
        <w:t>.</w:t>
      </w:r>
      <w:r w:rsidR="00512AF8" w:rsidRPr="001A5EBC">
        <w:t xml:space="preserve"> Specifically, </w:t>
      </w:r>
      <w:r w:rsidR="00742F94" w:rsidRPr="001A5EBC">
        <w:t xml:space="preserve">decarbonisation of the energy sector entails </w:t>
      </w:r>
      <w:r w:rsidR="00B24D15" w:rsidRPr="001A5EBC">
        <w:t>upscal</w:t>
      </w:r>
      <w:r w:rsidR="003363F5" w:rsidRPr="001A5EBC">
        <w:t>ing</w:t>
      </w:r>
      <w:r w:rsidR="00742F94" w:rsidRPr="001A5EBC">
        <w:t xml:space="preserve"> </w:t>
      </w:r>
      <w:r w:rsidR="00736F2E" w:rsidRPr="001A5EBC">
        <w:t xml:space="preserve">renewable </w:t>
      </w:r>
      <w:r w:rsidR="00545C95" w:rsidRPr="001A5EBC">
        <w:t xml:space="preserve">energy </w:t>
      </w:r>
      <w:r w:rsidR="00736F2E" w:rsidRPr="001A5EBC">
        <w:t xml:space="preserve">capacity, </w:t>
      </w:r>
      <w:r w:rsidR="003363F5" w:rsidRPr="001A5EBC">
        <w:t>upgrading</w:t>
      </w:r>
      <w:r w:rsidR="003C290B" w:rsidRPr="001A5EBC">
        <w:t xml:space="preserve"> the UK electricity network (including transmission and distribution infrastructure)</w:t>
      </w:r>
      <w:r w:rsidR="002F776E">
        <w:t xml:space="preserve">, </w:t>
      </w:r>
      <w:r w:rsidR="0050568A" w:rsidRPr="001A5EBC">
        <w:t>and</w:t>
      </w:r>
      <w:r w:rsidR="00221923" w:rsidRPr="001A5EBC">
        <w:t xml:space="preserve"> </w:t>
      </w:r>
      <w:r w:rsidR="002F776E">
        <w:t xml:space="preserve">the </w:t>
      </w:r>
      <w:r w:rsidR="00545C95" w:rsidRPr="001A5EBC">
        <w:t>develop</w:t>
      </w:r>
      <w:r w:rsidR="002F776E">
        <w:t xml:space="preserve">ment of </w:t>
      </w:r>
      <w:r w:rsidR="0050568A" w:rsidRPr="001A5EBC">
        <w:t>supporting technolog</w:t>
      </w:r>
      <w:r w:rsidR="00DE2AAC" w:rsidRPr="001A5EBC">
        <w:t>ies</w:t>
      </w:r>
      <w:r w:rsidR="0050568A" w:rsidRPr="001A5EBC">
        <w:t xml:space="preserve">, </w:t>
      </w:r>
      <w:proofErr w:type="gramStart"/>
      <w:r w:rsidR="002F776E" w:rsidRPr="001A5EBC">
        <w:t>including</w:t>
      </w:r>
      <w:r w:rsidR="002F776E">
        <w:t>:</w:t>
      </w:r>
      <w:proofErr w:type="gramEnd"/>
      <w:r w:rsidR="002F776E">
        <w:t xml:space="preserve"> </w:t>
      </w:r>
      <w:r w:rsidR="0050568A" w:rsidRPr="001A5EBC">
        <w:t xml:space="preserve">nuclear, power </w:t>
      </w:r>
      <w:r w:rsidR="00B4517B" w:rsidRPr="001A5EBC">
        <w:t>Carbon Capture and Utilisation Storage (</w:t>
      </w:r>
      <w:r w:rsidR="0050568A" w:rsidRPr="001A5EBC">
        <w:t>CCUS</w:t>
      </w:r>
      <w:r w:rsidR="00B4517B" w:rsidRPr="001A5EBC">
        <w:t>)</w:t>
      </w:r>
      <w:r w:rsidR="0050568A" w:rsidRPr="001A5EBC">
        <w:t>, interconnectors, electricity storage, and demand-side response</w:t>
      </w:r>
      <w:r w:rsidR="003314C8" w:rsidRPr="001A5EBC">
        <w:t xml:space="preserve"> mechanisms</w:t>
      </w:r>
      <w:r w:rsidR="00787078" w:rsidRPr="001A5EBC">
        <w:t>.</w:t>
      </w:r>
    </w:p>
    <w:p w14:paraId="53F9AC41" w14:textId="0858DB8D" w:rsidR="001D04B1" w:rsidRPr="00677F00" w:rsidRDefault="00787078" w:rsidP="001D04B1">
      <w:pPr>
        <w:pStyle w:val="BodyText"/>
      </w:pPr>
      <w:r w:rsidRPr="001A5EBC">
        <w:t>To fully decarbonise the power sector at the required pace</w:t>
      </w:r>
      <w:r w:rsidR="002F776E">
        <w:t xml:space="preserve">, </w:t>
      </w:r>
      <w:r w:rsidRPr="001A5EBC">
        <w:t>both public and private investment</w:t>
      </w:r>
      <w:r w:rsidR="00523D64" w:rsidRPr="001A5EBC">
        <w:t>s</w:t>
      </w:r>
      <w:r w:rsidRPr="001A5EBC">
        <w:t xml:space="preserve"> need to </w:t>
      </w:r>
      <w:r w:rsidR="00080946" w:rsidRPr="001A5EBC">
        <w:t>be raised</w:t>
      </w:r>
      <w:r w:rsidRPr="001A5EBC">
        <w:t>.</w:t>
      </w:r>
      <w:r w:rsidR="001D04B1" w:rsidRPr="001A5EBC">
        <w:t xml:space="preserve"> Given the scale of investment</w:t>
      </w:r>
      <w:r w:rsidR="00A91015" w:rsidRPr="001A5EBC">
        <w:t>s</w:t>
      </w:r>
      <w:r w:rsidR="008C5CB8" w:rsidRPr="001A5EBC">
        <w:t xml:space="preserve"> </w:t>
      </w:r>
      <w:r w:rsidR="001D04B1" w:rsidRPr="001A5EBC">
        <w:t xml:space="preserve">required to </w:t>
      </w:r>
      <w:r w:rsidR="00ED7EF4" w:rsidRPr="001A5EBC">
        <w:t xml:space="preserve">develop </w:t>
      </w:r>
      <w:r w:rsidR="001D04B1" w:rsidRPr="001A5EBC">
        <w:t>a decarbonised power system and the current pressure on public finances, leveraging private investment</w:t>
      </w:r>
      <w:r w:rsidR="00E8549A" w:rsidRPr="001A5EBC">
        <w:t xml:space="preserve">s </w:t>
      </w:r>
      <w:r w:rsidR="001D04B1" w:rsidRPr="001A5EBC">
        <w:t>is essential to achie</w:t>
      </w:r>
      <w:r w:rsidR="0064180C" w:rsidRPr="001A5EBC">
        <w:t>ve</w:t>
      </w:r>
      <w:r w:rsidR="001D04B1" w:rsidRPr="001A5EBC">
        <w:t xml:space="preserve"> </w:t>
      </w:r>
      <w:r w:rsidR="00FB3932" w:rsidRPr="001A5EBC">
        <w:t>n</w:t>
      </w:r>
      <w:r w:rsidR="001D04B1" w:rsidRPr="001A5EBC">
        <w:t xml:space="preserve">et </w:t>
      </w:r>
      <w:r w:rsidR="00FB3932" w:rsidRPr="001A5EBC">
        <w:t>z</w:t>
      </w:r>
      <w:r w:rsidR="001D04B1" w:rsidRPr="001A5EBC">
        <w:t xml:space="preserve">ero goals in this </w:t>
      </w:r>
      <w:r w:rsidR="001D04B1" w:rsidRPr="00677F00">
        <w:t xml:space="preserve">sector in an efficient and timely way. </w:t>
      </w:r>
    </w:p>
    <w:p w14:paraId="299388FB" w14:textId="32EA514C" w:rsidR="001D04B1" w:rsidRPr="001A5EBC" w:rsidRDefault="00B4517B" w:rsidP="001D04B1">
      <w:pPr>
        <w:pStyle w:val="BodyText"/>
      </w:pPr>
      <w:r w:rsidRPr="00677F00">
        <w:t>Based on figures from the</w:t>
      </w:r>
      <w:r w:rsidR="001D04B1" w:rsidRPr="00677F00">
        <w:t xml:space="preserve"> </w:t>
      </w:r>
      <w:r w:rsidR="00231ECC" w:rsidRPr="00677F00">
        <w:t>UK Office for Budget Responsibility (</w:t>
      </w:r>
      <w:r w:rsidR="001D04B1" w:rsidRPr="00677F00">
        <w:t>OBR</w:t>
      </w:r>
      <w:r w:rsidR="00231ECC" w:rsidRPr="00677F00">
        <w:t>)</w:t>
      </w:r>
      <w:r w:rsidRPr="00677F00">
        <w:t xml:space="preserve">, Energy UK &amp; Oxford Economics </w:t>
      </w:r>
      <w:r w:rsidR="00133C9F" w:rsidRPr="00677F00">
        <w:t xml:space="preserve">(2023) </w:t>
      </w:r>
      <w:r w:rsidR="001D04B1" w:rsidRPr="00677F00">
        <w:t>approximate</w:t>
      </w:r>
      <w:r w:rsidR="001D04B1" w:rsidRPr="001A5EBC">
        <w:t xml:space="preserve"> that </w:t>
      </w:r>
      <w:r w:rsidR="004F356B" w:rsidRPr="001A5EBC">
        <w:t xml:space="preserve">in the UK </w:t>
      </w:r>
      <w:r w:rsidR="001D04B1" w:rsidRPr="001A5EBC">
        <w:t>over 70% of clean energy investment will have to come from the private sector</w:t>
      </w:r>
      <w:r w:rsidR="00133C9F">
        <w:t xml:space="preserve">, </w:t>
      </w:r>
      <w:r w:rsidR="004F356B" w:rsidRPr="001A5EBC">
        <w:t>whil</w:t>
      </w:r>
      <w:r w:rsidR="002F776E">
        <w:t>st</w:t>
      </w:r>
      <w:r w:rsidR="004F356B" w:rsidRPr="001A5EBC">
        <w:t xml:space="preserve"> </w:t>
      </w:r>
      <w:r w:rsidR="00C81D5B" w:rsidRPr="001A5EBC">
        <w:t>the remaining 30% will be covered by public finances</w:t>
      </w:r>
      <w:r w:rsidR="009B5A8C" w:rsidRPr="001A5EBC">
        <w:t xml:space="preserve">. </w:t>
      </w:r>
    </w:p>
    <w:p w14:paraId="67F55FA0" w14:textId="61640573" w:rsidR="00B4517B" w:rsidRPr="001A5EBC" w:rsidRDefault="0009255E" w:rsidP="00710CCA">
      <w:pPr>
        <w:pStyle w:val="Caption"/>
        <w:jc w:val="center"/>
      </w:pPr>
      <w:r w:rsidRPr="00CB4A51">
        <w:rPr>
          <w:b/>
          <w:bCs/>
          <w:noProof/>
        </w:rPr>
        <mc:AlternateContent>
          <mc:Choice Requires="wpg">
            <w:drawing>
              <wp:anchor distT="0" distB="0" distL="114300" distR="114300" simplePos="0" relativeHeight="251660308" behindDoc="0" locked="0" layoutInCell="1" allowOverlap="1" wp14:anchorId="007E525F" wp14:editId="74446D32">
                <wp:simplePos x="0" y="0"/>
                <wp:positionH relativeFrom="margin">
                  <wp:posOffset>231140</wp:posOffset>
                </wp:positionH>
                <wp:positionV relativeFrom="paragraph">
                  <wp:posOffset>363855</wp:posOffset>
                </wp:positionV>
                <wp:extent cx="6057900" cy="2292350"/>
                <wp:effectExtent l="0" t="0" r="0" b="0"/>
                <wp:wrapTopAndBottom/>
                <wp:docPr id="141599618" name="Group 31"/>
                <wp:cNvGraphicFramePr/>
                <a:graphic xmlns:a="http://schemas.openxmlformats.org/drawingml/2006/main">
                  <a:graphicData uri="http://schemas.microsoft.com/office/word/2010/wordprocessingGroup">
                    <wpg:wgp>
                      <wpg:cNvGrpSpPr/>
                      <wpg:grpSpPr>
                        <a:xfrm>
                          <a:off x="0" y="0"/>
                          <a:ext cx="6057900" cy="2292350"/>
                          <a:chOff x="0" y="0"/>
                          <a:chExt cx="6512400" cy="2775071"/>
                        </a:xfrm>
                      </wpg:grpSpPr>
                      <pic:pic xmlns:pic="http://schemas.openxmlformats.org/drawingml/2006/picture">
                        <pic:nvPicPr>
                          <pic:cNvPr id="717148626" name="Picture 28" descr="A graph of green and orange bars&#10;&#10;Description automatically generated"/>
                          <pic:cNvPicPr>
                            <a:picLocks noChangeAspect="1"/>
                          </pic:cNvPicPr>
                        </pic:nvPicPr>
                        <pic:blipFill>
                          <a:blip r:embed="rId33">
                            <a:extLst>
                              <a:ext uri="{28A0092B-C50C-407E-A947-70E740481C1C}">
                                <a14:useLocalDpi xmlns:a14="http://schemas.microsoft.com/office/drawing/2010/main" val="0"/>
                              </a:ext>
                            </a:extLst>
                          </a:blip>
                          <a:stretch>
                            <a:fillRect/>
                          </a:stretch>
                        </pic:blipFill>
                        <pic:spPr>
                          <a:xfrm>
                            <a:off x="0" y="0"/>
                            <a:ext cx="5043805" cy="2643505"/>
                          </a:xfrm>
                          <a:prstGeom prst="rect">
                            <a:avLst/>
                          </a:prstGeom>
                        </pic:spPr>
                      </pic:pic>
                      <wpg:grpSp>
                        <wpg:cNvPr id="366747501" name="Group 31"/>
                        <wpg:cNvGrpSpPr/>
                        <wpg:grpSpPr>
                          <a:xfrm>
                            <a:off x="5601810" y="26633"/>
                            <a:ext cx="910590" cy="2748438"/>
                            <a:chOff x="0" y="0"/>
                            <a:chExt cx="910590" cy="2748438"/>
                          </a:xfrm>
                        </wpg:grpSpPr>
                        <pic:pic xmlns:pic="http://schemas.openxmlformats.org/drawingml/2006/picture">
                          <pic:nvPicPr>
                            <pic:cNvPr id="964112523" name="Picture 28" descr="A graph of a number of people&#10;&#10;Description automatically generated with medium confidence"/>
                            <pic:cNvPicPr>
                              <a:picLocks noChangeAspect="1"/>
                            </pic:cNvPicPr>
                          </pic:nvPicPr>
                          <pic:blipFill>
                            <a:blip r:embed="rId34" cstate="print">
                              <a:extLst>
                                <a:ext uri="{28A0092B-C50C-407E-A947-70E740481C1C}">
                                  <a14:useLocalDpi xmlns:a14="http://schemas.microsoft.com/office/drawing/2010/main" val="0"/>
                                </a:ext>
                              </a:extLst>
                            </a:blip>
                            <a:stretch>
                              <a:fillRect/>
                            </a:stretch>
                          </pic:blipFill>
                          <pic:spPr>
                            <a:xfrm>
                              <a:off x="0" y="0"/>
                              <a:ext cx="910590" cy="2591435"/>
                            </a:xfrm>
                            <a:prstGeom prst="rect">
                              <a:avLst/>
                            </a:prstGeom>
                          </pic:spPr>
                        </pic:pic>
                        <pic:pic xmlns:pic="http://schemas.openxmlformats.org/drawingml/2006/picture">
                          <pic:nvPicPr>
                            <pic:cNvPr id="1090803649" name="Picture 1"/>
                            <pic:cNvPicPr>
                              <a:picLocks noChangeAspect="1"/>
                            </pic:cNvPicPr>
                          </pic:nvPicPr>
                          <pic:blipFill>
                            <a:blip r:embed="rId35">
                              <a:extLst>
                                <a:ext uri="{28A0092B-C50C-407E-A947-70E740481C1C}">
                                  <a14:useLocalDpi xmlns:a14="http://schemas.microsoft.com/office/drawing/2010/main" val="0"/>
                                </a:ext>
                              </a:extLst>
                            </a:blip>
                            <a:stretch>
                              <a:fillRect/>
                            </a:stretch>
                          </pic:blipFill>
                          <pic:spPr>
                            <a:xfrm>
                              <a:off x="0" y="2589688"/>
                              <a:ext cx="910590" cy="158750"/>
                            </a:xfrm>
                            <a:prstGeom prst="rect">
                              <a:avLst/>
                            </a:prstGeom>
                          </pic:spPr>
                        </pic:pic>
                      </wpg:grpSp>
                    </wpg:wgp>
                  </a:graphicData>
                </a:graphic>
                <wp14:sizeRelH relativeFrom="margin">
                  <wp14:pctWidth>0</wp14:pctWidth>
                </wp14:sizeRelH>
                <wp14:sizeRelV relativeFrom="margin">
                  <wp14:pctHeight>0</wp14:pctHeight>
                </wp14:sizeRelV>
              </wp:anchor>
            </w:drawing>
          </mc:Choice>
          <mc:Fallback>
            <w:pict>
              <v:group w14:anchorId="1711088E" id="Group 31" o:spid="_x0000_s1026" style="position:absolute;margin-left:18.2pt;margin-top:28.65pt;width:477pt;height:180.5pt;z-index:251660308;mso-position-horizontal-relative:margin;mso-width-relative:margin;mso-height-relative:margin" coordsize="65124,2775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8" o:spid="_x0000_s1027" type="#_x0000_t75" alt="A graph of green and orange bars&#10;&#10;Description automatically generated" style="position:absolute;width:50438;height:264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">
                  <v:imagedata r:id="rId36" o:title="A graph of green and orange bars&#10;&#10;Description automatically generated"/>
                </v:shape>
                <v:group id="_x0000_s1028" style="position:absolute;left:56018;top:266;width:9106;height:27484" coordsize="9105,274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">
                  <v:shape id="Picture 28" o:spid="_x0000_s1029" type="#_x0000_t75" alt="A graph of a number of people&#10;&#10;Description automatically generated with medium confidence" style="position:absolute;width:9105;height:259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">
                    <v:imagedata r:id="rId37" o:title="A graph of a number of people&#10;&#10;Description automatically generated with medium confidence"/>
                  </v:shape>
                  <v:shape id="Picture 1" o:spid="_x0000_s1030" type="#_x0000_t75" style="position:absolute;top:25896;width:9105;height:15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">
                    <v:imagedata r:id="rId38" o:title=""/>
                  </v:shape>
                </v:group>
                <w10:wrap type="topAndBottom" anchorx="margin"/>
              </v:group>
            </w:pict>
          </mc:Fallback>
        </mc:AlternateContent>
      </w:r>
      <w:r w:rsidR="00B4517B" w:rsidRPr="00CB4A51">
        <w:rPr>
          <w:b/>
          <w:bCs/>
        </w:rPr>
        <w:t>Figure 1</w:t>
      </w:r>
      <w:r w:rsidR="00133C9F" w:rsidRPr="00CB4A51">
        <w:rPr>
          <w:b/>
          <w:bCs/>
        </w:rPr>
        <w:t>:</w:t>
      </w:r>
      <w:r w:rsidR="00B4517B" w:rsidRPr="00CB4A51">
        <w:t xml:space="preserve"> Estimated </w:t>
      </w:r>
      <w:r w:rsidR="00133C9F" w:rsidRPr="00CB4A51">
        <w:t>S</w:t>
      </w:r>
      <w:r w:rsidR="00B4517B" w:rsidRPr="00CB4A51">
        <w:t>ources</w:t>
      </w:r>
      <w:r w:rsidR="00B4517B" w:rsidRPr="001A5EBC">
        <w:t xml:space="preserve"> of </w:t>
      </w:r>
      <w:r w:rsidR="00133C9F">
        <w:t>Fi</w:t>
      </w:r>
      <w:r w:rsidR="00B4517B" w:rsidRPr="001A5EBC">
        <w:t xml:space="preserve">nance from IEA (left) and IRENA (right) </w:t>
      </w:r>
      <w:r w:rsidR="00133C9F">
        <w:t>S</w:t>
      </w:r>
      <w:r w:rsidR="00B4517B" w:rsidRPr="001A5EBC">
        <w:t>tudies</w:t>
      </w:r>
    </w:p>
    <w:p w14:paraId="007A9878" w14:textId="3AB8DF87" w:rsidR="00B4517B" w:rsidRPr="001A5EBC" w:rsidRDefault="00B4517B" w:rsidP="0009255E">
      <w:pPr>
        <w:pStyle w:val="Source"/>
        <w:ind w:left="4320"/>
      </w:pPr>
      <w:r w:rsidRPr="001A5EBC">
        <w:t xml:space="preserve">Sources: </w:t>
      </w:r>
      <w:r w:rsidR="00014DFF" w:rsidRPr="001A5EBC">
        <w:t>Left: IEA</w:t>
      </w:r>
      <w:r w:rsidRPr="001A5EBC">
        <w:t>, (2022);</w:t>
      </w:r>
      <w:r w:rsidR="00014DFF" w:rsidRPr="001A5EBC">
        <w:t xml:space="preserve"> Right:</w:t>
      </w:r>
      <w:r w:rsidRPr="001A5EBC">
        <w:t xml:space="preserve"> IRENA (2023)</w:t>
      </w:r>
    </w:p>
    <w:p w14:paraId="25C0B10F" w14:textId="187D69DB" w:rsidR="00D36592" w:rsidRPr="001A5EBC" w:rsidRDefault="00687592" w:rsidP="0073392B">
      <w:pPr>
        <w:pStyle w:val="BodyText"/>
      </w:pPr>
      <w:r w:rsidRPr="001A5EBC">
        <w:t xml:space="preserve">Likewise, a </w:t>
      </w:r>
      <w:r w:rsidR="00B26F31" w:rsidRPr="001A5EBC">
        <w:t xml:space="preserve">global </w:t>
      </w:r>
      <w:r w:rsidRPr="001A5EBC">
        <w:t xml:space="preserve">study conducted by the International Energy Agency (IEA) </w:t>
      </w:r>
      <w:r w:rsidR="002C712D" w:rsidRPr="001A5EBC">
        <w:t xml:space="preserve">shows </w:t>
      </w:r>
      <w:r w:rsidR="00133C9F">
        <w:t xml:space="preserve">that </w:t>
      </w:r>
      <w:proofErr w:type="gramStart"/>
      <w:r w:rsidR="00133C9F">
        <w:t>the majority of</w:t>
      </w:r>
      <w:proofErr w:type="gramEnd"/>
      <w:r w:rsidR="00133C9F">
        <w:t xml:space="preserve"> financ</w:t>
      </w:r>
      <w:r w:rsidR="00A30884">
        <w:t>ing</w:t>
      </w:r>
      <w:r w:rsidRPr="001A5EBC">
        <w:t xml:space="preserve"> needs in the energy sector are expected to be met by the private sector</w:t>
      </w:r>
      <w:r w:rsidR="00133C9F">
        <w:t xml:space="preserve"> (IEA, 2022).</w:t>
      </w:r>
      <w:r w:rsidRPr="001A5EBC">
        <w:t xml:space="preserve"> </w:t>
      </w:r>
      <w:r w:rsidR="005A16E9" w:rsidRPr="001A5EBC">
        <w:t>In a “Net Zero Emissions by 2050”</w:t>
      </w:r>
      <w:r w:rsidR="003F6DE7" w:rsidRPr="001A5EBC">
        <w:t xml:space="preserve"> scenario private investments are expected to account for </w:t>
      </w:r>
      <w:r w:rsidRPr="001A5EBC">
        <w:t xml:space="preserve">62% of the necessary investments between 2025 and 2035 (IEA, 2022). As </w:t>
      </w:r>
      <w:r w:rsidR="00B65006" w:rsidRPr="00677F00">
        <w:t>illustrated</w:t>
      </w:r>
      <w:r w:rsidRPr="00677F00">
        <w:t xml:space="preserve"> in </w:t>
      </w:r>
      <w:r w:rsidR="00B65006" w:rsidRPr="00677F00">
        <w:fldChar w:fldCharType="begin"/>
      </w:r>
      <w:r w:rsidR="00B65006" w:rsidRPr="00677F00">
        <w:instrText xml:space="preserve"> REF _Ref168586626 \h </w:instrText>
      </w:r>
      <w:r w:rsidR="0078525E" w:rsidRPr="00677F00">
        <w:instrText xml:space="preserve"> \* MERGEFORMAT </w:instrText>
      </w:r>
      <w:r w:rsidR="00B65006" w:rsidRPr="00677F00">
        <w:fldChar w:fldCharType="end"/>
      </w:r>
      <w:r w:rsidR="00133C9F" w:rsidRPr="00677F00">
        <w:t>Figure 1</w:t>
      </w:r>
      <w:r w:rsidR="00417E1E" w:rsidRPr="00677F00">
        <w:t>.</w:t>
      </w:r>
      <w:r w:rsidR="0078525E" w:rsidRPr="00677F00">
        <w:t xml:space="preserve">, </w:t>
      </w:r>
      <w:r w:rsidRPr="00677F00">
        <w:t>this</w:t>
      </w:r>
      <w:r w:rsidRPr="001A5EBC">
        <w:t xml:space="preserve"> suggests an accelerated growth rate in private investment</w:t>
      </w:r>
      <w:r w:rsidR="00D7504B" w:rsidRPr="001A5EBC">
        <w:t>.</w:t>
      </w:r>
      <w:r w:rsidR="00DC76ED" w:rsidRPr="001A5EBC">
        <w:t xml:space="preserve"> </w:t>
      </w:r>
    </w:p>
    <w:p w14:paraId="20BEF30E" w14:textId="77777777" w:rsidR="0078525E" w:rsidRPr="00677F00" w:rsidRDefault="00806C42" w:rsidP="0073392B">
      <w:pPr>
        <w:pStyle w:val="BodyText"/>
      </w:pPr>
      <w:r w:rsidRPr="001A5EBC">
        <w:lastRenderedPageBreak/>
        <w:t xml:space="preserve">Shifting the focus to renewable energy capacity, data from the International Renewable Energy Agency </w:t>
      </w:r>
      <w:r w:rsidR="00EC33E2" w:rsidRPr="001A5EBC">
        <w:t xml:space="preserve">illustrates </w:t>
      </w:r>
      <w:r w:rsidRPr="001A5EBC">
        <w:t xml:space="preserve">that the private sector is the </w:t>
      </w:r>
      <w:r w:rsidRPr="00677F00">
        <w:t xml:space="preserve">primary contributor to global investments in this field, accounting for approximately 75% of the total from 2013 to 2020 </w:t>
      </w:r>
      <w:r w:rsidR="00804E36" w:rsidRPr="00677F00">
        <w:t>(IRENA, 2023)</w:t>
      </w:r>
      <w:r w:rsidR="0078525E" w:rsidRPr="00677F00">
        <w:t>, this is shown in Figure 1. The</w:t>
      </w:r>
      <w:r w:rsidR="0073392B" w:rsidRPr="00677F00">
        <w:t xml:space="preserve"> share of public versus private investments varies by context and technology. Typically, lower shares of public finance are devoted to renewable energy technologies that are commercially viable and highly competitive, which makes them attractive for private investors.</w:t>
      </w:r>
      <w:r w:rsidR="0078525E" w:rsidRPr="00677F00">
        <w:t xml:space="preserve"> </w:t>
      </w:r>
    </w:p>
    <w:p w14:paraId="628F3E94" w14:textId="766F23D7" w:rsidR="00B65006" w:rsidRPr="001A5EBC" w:rsidRDefault="0073392B" w:rsidP="0073392B">
      <w:pPr>
        <w:pStyle w:val="BodyText"/>
      </w:pPr>
      <w:r w:rsidRPr="00677F00">
        <w:t xml:space="preserve">For example, in 2020 83% of </w:t>
      </w:r>
      <w:r w:rsidR="00B4517B" w:rsidRPr="00677F00">
        <w:t>investment</w:t>
      </w:r>
      <w:r w:rsidRPr="00677F00">
        <w:t xml:space="preserve"> in solar PV came from private finance</w:t>
      </w:r>
      <w:r w:rsidR="0078525E" w:rsidRPr="00677F00">
        <w:t>, m</w:t>
      </w:r>
      <w:r w:rsidRPr="00677F00">
        <w:t>eanwhile</w:t>
      </w:r>
      <w:r w:rsidR="0078525E" w:rsidRPr="00677F00">
        <w:t xml:space="preserve"> </w:t>
      </w:r>
      <w:r w:rsidRPr="00677F00">
        <w:t>geothermal and hydropower rel</w:t>
      </w:r>
      <w:r w:rsidR="0078525E" w:rsidRPr="00677F00">
        <w:t>ied</w:t>
      </w:r>
      <w:r w:rsidRPr="00677F00">
        <w:t xml:space="preserve"> mostly on public finance; only 32% and 3% of investments in these technologies, respectively, came from private investors in 2020</w:t>
      </w:r>
      <w:r w:rsidR="0078525E" w:rsidRPr="00677F00">
        <w:t xml:space="preserve"> (IRENA, 2023).</w:t>
      </w:r>
    </w:p>
    <w:p w14:paraId="0EBCE8E3" w14:textId="051A8925" w:rsidR="00155C68" w:rsidRPr="001A5EBC" w:rsidRDefault="00155C68" w:rsidP="00155C68">
      <w:pPr>
        <w:pStyle w:val="Heading2"/>
      </w:pPr>
      <w:r w:rsidRPr="001A5EBC">
        <w:t xml:space="preserve">Key </w:t>
      </w:r>
      <w:r w:rsidR="00133C9F">
        <w:t>T</w:t>
      </w:r>
      <w:r w:rsidRPr="001A5EBC">
        <w:t>akeaways</w:t>
      </w:r>
    </w:p>
    <w:p w14:paraId="369AC071" w14:textId="4ACC8261" w:rsidR="00A0372A" w:rsidRPr="001A5EBC" w:rsidRDefault="00A0372A" w:rsidP="0073392B">
      <w:pPr>
        <w:pStyle w:val="BodyText"/>
      </w:pPr>
      <w:r w:rsidRPr="001A5EBC">
        <w:t xml:space="preserve">Every data source examined for the energy sector </w:t>
      </w:r>
      <w:r w:rsidR="00600F25">
        <w:t xml:space="preserve">highlights </w:t>
      </w:r>
      <w:r w:rsidRPr="001A5EBC">
        <w:t xml:space="preserve">the significant role of private </w:t>
      </w:r>
      <w:r w:rsidR="00EF1453" w:rsidRPr="001A5EBC">
        <w:t xml:space="preserve">investment </w:t>
      </w:r>
      <w:r w:rsidR="00600F25">
        <w:t xml:space="preserve">in </w:t>
      </w:r>
      <w:r w:rsidRPr="001A5EBC">
        <w:t xml:space="preserve">meeting the </w:t>
      </w:r>
      <w:r w:rsidR="00600F25">
        <w:t xml:space="preserve">required funding </w:t>
      </w:r>
      <w:r w:rsidR="00EF1453" w:rsidRPr="001A5EBC">
        <w:t>to decarbonise the energy sector</w:t>
      </w:r>
      <w:r w:rsidRPr="001A5EBC">
        <w:t>. For the context of this study,</w:t>
      </w:r>
      <w:r w:rsidR="00600F25">
        <w:t xml:space="preserve"> we expect</w:t>
      </w:r>
      <w:r w:rsidRPr="001A5EBC">
        <w:t xml:space="preserve"> </w:t>
      </w:r>
      <w:r w:rsidR="004D4192" w:rsidRPr="001A5EBC">
        <w:t xml:space="preserve">public and </w:t>
      </w:r>
      <w:r w:rsidRPr="001A5EBC">
        <w:t xml:space="preserve">private investments to account for </w:t>
      </w:r>
      <w:r w:rsidR="00363A6D" w:rsidRPr="001A5EBC">
        <w:t>3</w:t>
      </w:r>
      <w:r w:rsidRPr="001A5EBC">
        <w:t xml:space="preserve">0% and </w:t>
      </w:r>
      <w:r w:rsidR="00363A6D" w:rsidRPr="001A5EBC">
        <w:t>7</w:t>
      </w:r>
      <w:r w:rsidRPr="001A5EBC">
        <w:t>0% of the required investments</w:t>
      </w:r>
      <w:r w:rsidR="00600F25">
        <w:t xml:space="preserve">, </w:t>
      </w:r>
      <w:r w:rsidRPr="001A5EBC">
        <w:t>respectively, as stated by Energy UK &amp; Oxford Economics (2023). Whil</w:t>
      </w:r>
      <w:r w:rsidR="00600F25">
        <w:t>st</w:t>
      </w:r>
      <w:r w:rsidRPr="001A5EBC">
        <w:t xml:space="preserve"> other data sources present comparable figures, we deem it crucial to reference a UK-specific source. </w:t>
      </w:r>
      <w:r w:rsidR="007B15F0" w:rsidRPr="001A5EBC">
        <w:t>Moreover, the chose</w:t>
      </w:r>
      <w:r w:rsidR="00A1697D" w:rsidRPr="001A5EBC">
        <w:t>n</w:t>
      </w:r>
      <w:r w:rsidR="007B15F0" w:rsidRPr="001A5EBC">
        <w:t xml:space="preserve"> data</w:t>
      </w:r>
      <w:r w:rsidRPr="001A5EBC">
        <w:t xml:space="preserve"> source provides a holistic view of the energy sector, rather than </w:t>
      </w:r>
      <w:r w:rsidR="00600F25">
        <w:t xml:space="preserve">concentrating solely </w:t>
      </w:r>
      <w:r w:rsidRPr="001A5EBC">
        <w:t>on individual components.</w:t>
      </w:r>
    </w:p>
    <w:p w14:paraId="4C0028C7" w14:textId="62FDBA4C" w:rsidR="006A7ED8" w:rsidRPr="001A5EBC" w:rsidRDefault="009645A0" w:rsidP="0073392B">
      <w:pPr>
        <w:pStyle w:val="BodyText"/>
        <w:rPr>
          <w:b/>
          <w:bCs/>
        </w:rPr>
      </w:pPr>
      <w:r>
        <w:rPr>
          <w:b/>
          <w:bCs/>
        </w:rPr>
        <w:t xml:space="preserve">Of </w:t>
      </w:r>
      <w:r w:rsidRPr="00417E1E">
        <w:rPr>
          <w:b/>
          <w:bCs/>
        </w:rPr>
        <w:t>the</w:t>
      </w:r>
      <w:r w:rsidR="006A7ED8" w:rsidRPr="00417E1E">
        <w:rPr>
          <w:b/>
          <w:bCs/>
        </w:rPr>
        <w:t xml:space="preserve"> £1</w:t>
      </w:r>
      <w:r w:rsidR="00B977A5" w:rsidRPr="00417E1E">
        <w:rPr>
          <w:b/>
          <w:bCs/>
        </w:rPr>
        <w:t>0bn</w:t>
      </w:r>
      <w:r w:rsidR="006A7ED8" w:rsidRPr="00417E1E">
        <w:rPr>
          <w:b/>
          <w:bCs/>
        </w:rPr>
        <w:t xml:space="preserve"> pa </w:t>
      </w:r>
      <w:r w:rsidR="005E4E44" w:rsidRPr="00417E1E">
        <w:rPr>
          <w:b/>
          <w:bCs/>
        </w:rPr>
        <w:t>of investments in the energy sector allocated to</w:t>
      </w:r>
      <w:r w:rsidR="006A7ED8" w:rsidRPr="00417E1E">
        <w:rPr>
          <w:b/>
          <w:bCs/>
        </w:rPr>
        <w:t xml:space="preserve"> the North</w:t>
      </w:r>
      <w:r w:rsidR="007B15F0" w:rsidRPr="00417E1E">
        <w:rPr>
          <w:b/>
          <w:bCs/>
        </w:rPr>
        <w:t xml:space="preserve"> of England</w:t>
      </w:r>
      <w:r w:rsidR="006A7ED8" w:rsidRPr="00417E1E">
        <w:rPr>
          <w:b/>
          <w:bCs/>
        </w:rPr>
        <w:t xml:space="preserve">, </w:t>
      </w:r>
      <w:r w:rsidRPr="00417E1E">
        <w:rPr>
          <w:b/>
          <w:bCs/>
        </w:rPr>
        <w:t>we assume</w:t>
      </w:r>
      <w:r w:rsidR="006A7ED8" w:rsidRPr="00417E1E">
        <w:rPr>
          <w:b/>
          <w:bCs/>
        </w:rPr>
        <w:t xml:space="preserve"> £</w:t>
      </w:r>
      <w:r w:rsidR="00363A6D" w:rsidRPr="00417E1E">
        <w:rPr>
          <w:b/>
          <w:bCs/>
        </w:rPr>
        <w:t>3</w:t>
      </w:r>
      <w:r w:rsidR="006A7ED8" w:rsidRPr="00417E1E">
        <w:rPr>
          <w:b/>
          <w:bCs/>
        </w:rPr>
        <w:t xml:space="preserve">bn is </w:t>
      </w:r>
      <w:r w:rsidR="00754191" w:rsidRPr="00417E1E">
        <w:rPr>
          <w:b/>
          <w:bCs/>
        </w:rPr>
        <w:t>p</w:t>
      </w:r>
      <w:r w:rsidR="00363A6D" w:rsidRPr="00417E1E">
        <w:rPr>
          <w:b/>
          <w:bCs/>
        </w:rPr>
        <w:t>ublic</w:t>
      </w:r>
      <w:r w:rsidR="006A7ED8" w:rsidRPr="00417E1E">
        <w:rPr>
          <w:b/>
          <w:bCs/>
        </w:rPr>
        <w:t xml:space="preserve"> investment</w:t>
      </w:r>
      <w:r w:rsidR="006A7ED8" w:rsidRPr="001A5EBC">
        <w:rPr>
          <w:b/>
          <w:bCs/>
        </w:rPr>
        <w:t xml:space="preserve"> </w:t>
      </w:r>
      <w:r w:rsidR="00363A6D" w:rsidRPr="001A5EBC">
        <w:rPr>
          <w:b/>
          <w:bCs/>
        </w:rPr>
        <w:t>(primarily in direct funding of national energy generation</w:t>
      </w:r>
      <w:r w:rsidR="00615903" w:rsidRPr="001A5EBC">
        <w:rPr>
          <w:b/>
          <w:bCs/>
        </w:rPr>
        <w:t xml:space="preserve"> and supporting low-income households in the </w:t>
      </w:r>
      <w:r w:rsidR="006E7B5E" w:rsidRPr="001A5EBC">
        <w:rPr>
          <w:b/>
          <w:bCs/>
        </w:rPr>
        <w:t>energy transition</w:t>
      </w:r>
      <w:r w:rsidR="00363A6D" w:rsidRPr="001A5EBC">
        <w:rPr>
          <w:b/>
          <w:bCs/>
        </w:rPr>
        <w:t xml:space="preserve">) </w:t>
      </w:r>
      <w:r w:rsidR="006E7B5E" w:rsidRPr="001A5EBC">
        <w:rPr>
          <w:b/>
          <w:bCs/>
        </w:rPr>
        <w:t>a</w:t>
      </w:r>
      <w:r w:rsidR="00754191" w:rsidRPr="001A5EBC">
        <w:rPr>
          <w:b/>
          <w:bCs/>
        </w:rPr>
        <w:t>nd £</w:t>
      </w:r>
      <w:r w:rsidR="00363A6D" w:rsidRPr="001A5EBC">
        <w:rPr>
          <w:b/>
          <w:bCs/>
        </w:rPr>
        <w:t>7</w:t>
      </w:r>
      <w:r w:rsidR="00F538A4" w:rsidRPr="001A5EBC">
        <w:rPr>
          <w:b/>
          <w:bCs/>
        </w:rPr>
        <w:t xml:space="preserve">bn is </w:t>
      </w:r>
      <w:r w:rsidR="00363A6D" w:rsidRPr="001A5EBC">
        <w:rPr>
          <w:b/>
          <w:bCs/>
        </w:rPr>
        <w:t>private</w:t>
      </w:r>
      <w:r w:rsidR="00F538A4" w:rsidRPr="001A5EBC">
        <w:rPr>
          <w:b/>
          <w:bCs/>
        </w:rPr>
        <w:t xml:space="preserve"> investment</w:t>
      </w:r>
      <w:r w:rsidR="00363A6D" w:rsidRPr="001A5EBC">
        <w:rPr>
          <w:b/>
          <w:bCs/>
        </w:rPr>
        <w:t>.</w:t>
      </w:r>
    </w:p>
    <w:p w14:paraId="2F947FCB" w14:textId="2A28B42C" w:rsidR="00155C68" w:rsidRPr="001A5EBC" w:rsidRDefault="00155C68" w:rsidP="001E1429">
      <w:pPr>
        <w:pStyle w:val="Heading1"/>
        <w:numPr>
          <w:ilvl w:val="0"/>
          <w:numId w:val="47"/>
        </w:numPr>
      </w:pPr>
      <w:bookmarkStart w:id="2" w:name="_Toc169011863"/>
      <w:r w:rsidRPr="001A5EBC">
        <w:lastRenderedPageBreak/>
        <w:t>Buil</w:t>
      </w:r>
      <w:r w:rsidR="005A543F" w:rsidRPr="001A5EBC">
        <w:t>t</w:t>
      </w:r>
      <w:r w:rsidRPr="001A5EBC">
        <w:t xml:space="preserve"> </w:t>
      </w:r>
      <w:r w:rsidR="0078525E">
        <w:t>E</w:t>
      </w:r>
      <w:r w:rsidRPr="001A5EBC">
        <w:t>nvironment</w:t>
      </w:r>
      <w:bookmarkEnd w:id="2"/>
    </w:p>
    <w:p w14:paraId="6EF74C09" w14:textId="3D6B79BD" w:rsidR="00155C68" w:rsidRPr="001A5EBC" w:rsidRDefault="00155C68" w:rsidP="00155C68">
      <w:pPr>
        <w:pStyle w:val="Heading2"/>
      </w:pPr>
      <w:r w:rsidRPr="001A5EBC">
        <w:t xml:space="preserve">Evidence </w:t>
      </w:r>
      <w:r w:rsidR="00D50820">
        <w:t>R</w:t>
      </w:r>
      <w:r w:rsidRPr="001A5EBC">
        <w:t>eviewed</w:t>
      </w:r>
    </w:p>
    <w:p w14:paraId="09435F91" w14:textId="000C83FF" w:rsidR="00923709" w:rsidRPr="001A5EBC" w:rsidRDefault="00BD713C" w:rsidP="00DA55D1">
      <w:pPr>
        <w:pStyle w:val="BodyText"/>
      </w:pPr>
      <w:r w:rsidRPr="001A5EBC">
        <w:t xml:space="preserve">According to </w:t>
      </w:r>
      <w:r w:rsidR="00763B06" w:rsidRPr="001A5EBC">
        <w:t xml:space="preserve">the Net Zero </w:t>
      </w:r>
      <w:r w:rsidR="00763B06" w:rsidRPr="00677F00">
        <w:t>Strategy</w:t>
      </w:r>
      <w:r w:rsidR="0009255E" w:rsidRPr="00677F00">
        <w:t xml:space="preserve"> (DESNZ, 2022),</w:t>
      </w:r>
      <w:r w:rsidR="00763B06" w:rsidRPr="00677F00">
        <w:t xml:space="preserve"> </w:t>
      </w:r>
      <w:r w:rsidR="004E2824" w:rsidRPr="00677F00">
        <w:t>t</w:t>
      </w:r>
      <w:r w:rsidRPr="00677F00">
        <w:t>he UK</w:t>
      </w:r>
      <w:r w:rsidRPr="001A5EBC">
        <w:t xml:space="preserve"> has around 30 million buildings</w:t>
      </w:r>
      <w:r w:rsidR="00614CE7" w:rsidRPr="001A5EBC">
        <w:t xml:space="preserve"> </w:t>
      </w:r>
      <w:r w:rsidRPr="001A5EBC">
        <w:t>and includes some of the oldest building stock in Europe</w:t>
      </w:r>
      <w:r w:rsidR="00102AF3" w:rsidRPr="001A5EBC">
        <w:t>.</w:t>
      </w:r>
      <w:r w:rsidRPr="001A5EBC">
        <w:t xml:space="preserve"> </w:t>
      </w:r>
      <w:r w:rsidR="00FB3932" w:rsidRPr="001A5EBC">
        <w:t xml:space="preserve">Overall, buildings account for approximately 17% of total UK greenhouse gas emissions, with </w:t>
      </w:r>
      <w:proofErr w:type="gramStart"/>
      <w:r w:rsidR="00FB3932" w:rsidRPr="001A5EBC">
        <w:t>the majority of</w:t>
      </w:r>
      <w:proofErr w:type="gramEnd"/>
      <w:r w:rsidR="00FB3932" w:rsidRPr="001A5EBC">
        <w:t xml:space="preserve"> these emissions stemming from heating systems. When considering</w:t>
      </w:r>
      <w:r w:rsidR="0009255E">
        <w:t xml:space="preserve"> the</w:t>
      </w:r>
      <w:r w:rsidR="00FB3932" w:rsidRPr="001A5EBC">
        <w:t xml:space="preserve"> emissions from producing the energy used for heating buildings, the overall emissions related to the built environment reach about 21% of all UK emissions (DESNZ, 2022). </w:t>
      </w:r>
      <w:r w:rsidR="009E7807" w:rsidRPr="001A5EBC">
        <w:t>Decarbonis</w:t>
      </w:r>
      <w:r w:rsidR="00BA4B95" w:rsidRPr="001A5EBC">
        <w:t xml:space="preserve">ing the UK building sector </w:t>
      </w:r>
      <w:r w:rsidR="004875EE" w:rsidRPr="001A5EBC">
        <w:t>will require phasing out polluting heating systems,</w:t>
      </w:r>
      <w:r w:rsidR="0009255E">
        <w:t xml:space="preserve"> and</w:t>
      </w:r>
      <w:r w:rsidR="004875EE" w:rsidRPr="001A5EBC">
        <w:t xml:space="preserve"> replacing them with clean heating technolog</w:t>
      </w:r>
      <w:r w:rsidR="007749CD" w:rsidRPr="001A5EBC">
        <w:t>ies</w:t>
      </w:r>
      <w:r w:rsidR="004875EE" w:rsidRPr="001A5EBC">
        <w:t>, improv</w:t>
      </w:r>
      <w:r w:rsidR="007749CD" w:rsidRPr="001A5EBC">
        <w:t>ing</w:t>
      </w:r>
      <w:r w:rsidR="004875EE" w:rsidRPr="001A5EBC">
        <w:t xml:space="preserve"> the fabric efficiency of both residential and commercial buildings. </w:t>
      </w:r>
    </w:p>
    <w:p w14:paraId="64509B41" w14:textId="6EE81E5E" w:rsidR="00AD6C00" w:rsidRPr="001A5EBC" w:rsidRDefault="00D13486" w:rsidP="00DA55D1">
      <w:pPr>
        <w:pStyle w:val="BodyText"/>
      </w:pPr>
      <w:r w:rsidRPr="001A5EBC">
        <w:t>Given the scale of th</w:t>
      </w:r>
      <w:r w:rsidR="00C175E1" w:rsidRPr="001A5EBC">
        <w:t>e decarbonisation challenge and</w:t>
      </w:r>
      <w:r w:rsidR="00DA55D1" w:rsidRPr="001A5EBC">
        <w:t xml:space="preserve"> the </w:t>
      </w:r>
      <w:r w:rsidR="00B86364" w:rsidRPr="001A5EBC">
        <w:t xml:space="preserve">relatively short </w:t>
      </w:r>
      <w:r w:rsidRPr="001A5EBC">
        <w:t xml:space="preserve">timeframe </w:t>
      </w:r>
      <w:r w:rsidR="00B86364" w:rsidRPr="001A5EBC">
        <w:t>available to deploy efficiency improvement</w:t>
      </w:r>
      <w:r w:rsidR="00D72612" w:rsidRPr="001A5EBC">
        <w:t>s</w:t>
      </w:r>
      <w:r w:rsidR="00B86364" w:rsidRPr="001A5EBC">
        <w:t xml:space="preserve"> in the </w:t>
      </w:r>
      <w:r w:rsidR="00AD6C00" w:rsidRPr="001A5EBC">
        <w:t>built environment sector</w:t>
      </w:r>
      <w:r w:rsidR="00B86364" w:rsidRPr="001A5EBC">
        <w:t xml:space="preserve">, </w:t>
      </w:r>
      <w:r w:rsidR="00C47B13" w:rsidRPr="001A5EBC">
        <w:t xml:space="preserve">both public and private finances will need to be raised </w:t>
      </w:r>
      <w:r w:rsidR="00047C22" w:rsidRPr="001A5EBC">
        <w:t xml:space="preserve">to ensure </w:t>
      </w:r>
      <w:r w:rsidR="00FB3932" w:rsidRPr="001A5EBC">
        <w:t>net zero</w:t>
      </w:r>
      <w:r w:rsidR="00047C22" w:rsidRPr="001A5EBC">
        <w:t xml:space="preserve"> </w:t>
      </w:r>
      <w:r w:rsidR="00C175E1" w:rsidRPr="001A5EBC">
        <w:t>goals</w:t>
      </w:r>
      <w:r w:rsidR="00D72612" w:rsidRPr="001A5EBC">
        <w:t xml:space="preserve"> </w:t>
      </w:r>
      <w:r w:rsidR="00482202" w:rsidRPr="001A5EBC">
        <w:t xml:space="preserve">are achieved </w:t>
      </w:r>
      <w:r w:rsidR="00D72612" w:rsidRPr="001A5EBC">
        <w:t>in a timely manner</w:t>
      </w:r>
      <w:r w:rsidR="00C175E1" w:rsidRPr="001A5EBC">
        <w:t xml:space="preserve">. </w:t>
      </w:r>
      <w:r w:rsidR="00F501F0" w:rsidRPr="001A5EBC">
        <w:t xml:space="preserve">Fabric efficiency and replacement of polluting heating systems can be expected to account </w:t>
      </w:r>
      <w:r w:rsidR="00482202" w:rsidRPr="001A5EBC">
        <w:t xml:space="preserve">for </w:t>
      </w:r>
      <w:r w:rsidR="00F501F0" w:rsidRPr="001A5EBC">
        <w:t>around 80% of investments in the sector</w:t>
      </w:r>
      <w:r w:rsidR="00FB3932" w:rsidRPr="001A5EBC">
        <w:t>, with the remaining 20% referring to efficiency appliances</w:t>
      </w:r>
      <w:r w:rsidR="00F501F0" w:rsidRPr="001A5EBC">
        <w:t xml:space="preserve"> (UNFCC, 2022).</w:t>
      </w:r>
      <w:r w:rsidR="00AD6C00" w:rsidRPr="001A5EBC">
        <w:t xml:space="preserve"> </w:t>
      </w:r>
    </w:p>
    <w:p w14:paraId="108D419B" w14:textId="048831B6" w:rsidR="00DA55D1" w:rsidRPr="001A5EBC" w:rsidRDefault="00AD6C00" w:rsidP="00DA55D1">
      <w:pPr>
        <w:pStyle w:val="BodyText"/>
      </w:pPr>
      <w:r w:rsidRPr="001A5EBC">
        <w:t>However, efforts to decarbonise the built environment sector in the UK are significantly off track. The UK has recorded the lowest number of heat pumps installed per capita in 2022 compared to neighbouring countries (CCC, 2023)</w:t>
      </w:r>
      <w:r w:rsidR="0009255E">
        <w:t xml:space="preserve">, this </w:t>
      </w:r>
      <w:r w:rsidRPr="001A5EBC">
        <w:t>is partly attributable to the fact that, due to their high upfront costs, only a minority of homeowners can afford the installations of energy efficiency measures (Citizens Advise, 2023).</w:t>
      </w:r>
      <w:r w:rsidR="0043161A">
        <w:t xml:space="preserve"> </w:t>
      </w:r>
      <w:r w:rsidRPr="001A5EBC">
        <w:t xml:space="preserve">Therefore, it will be crucial for the UK Government to accelerate initial investments in retrofits and clean heating technologies, </w:t>
      </w:r>
      <w:proofErr w:type="gramStart"/>
      <w:r w:rsidRPr="001A5EBC">
        <w:t>in order to</w:t>
      </w:r>
      <w:proofErr w:type="gramEnd"/>
      <w:r w:rsidRPr="001A5EBC">
        <w:t xml:space="preserve"> leverage further private resources. Alongside financial incentive, the UK Government is expected to leverage further private finance through the role of regulation, namely</w:t>
      </w:r>
      <w:r w:rsidR="0009255E">
        <w:t>,</w:t>
      </w:r>
      <w:r w:rsidRPr="001A5EBC">
        <w:t xml:space="preserve"> mandating energy efficiency standards and phasing out polluting heating systems.</w:t>
      </w:r>
    </w:p>
    <w:p w14:paraId="7979E351" w14:textId="53A99662" w:rsidR="00E22FA3" w:rsidRPr="001A5EBC" w:rsidRDefault="00014DFF" w:rsidP="00305E0B">
      <w:pPr>
        <w:pStyle w:val="BodyText"/>
      </w:pPr>
      <w:r w:rsidRPr="001A5EBC">
        <w:t xml:space="preserve">When considering the residential </w:t>
      </w:r>
      <w:r w:rsidR="00AD6C00" w:rsidRPr="001A5EBC">
        <w:t>built environment sector</w:t>
      </w:r>
      <w:r w:rsidRPr="001A5EBC">
        <w:t>, t</w:t>
      </w:r>
      <w:r w:rsidR="00305E0B" w:rsidRPr="001A5EBC">
        <w:t xml:space="preserve">he Energy Efficiency Infrastructure Group (EEIG, 2019) has estimated that public </w:t>
      </w:r>
      <w:r w:rsidRPr="001A5EBC">
        <w:t>investment</w:t>
      </w:r>
      <w:r w:rsidR="00305E0B" w:rsidRPr="001A5EBC">
        <w:t xml:space="preserve"> </w:t>
      </w:r>
      <w:r w:rsidR="0009255E">
        <w:t xml:space="preserve">will </w:t>
      </w:r>
      <w:r w:rsidR="00305E0B" w:rsidRPr="001A5EBC">
        <w:t xml:space="preserve">play a </w:t>
      </w:r>
      <w:r w:rsidR="004E02DD" w:rsidRPr="001A5EBC">
        <w:t>crucial</w:t>
      </w:r>
      <w:r w:rsidR="00305E0B" w:rsidRPr="001A5EBC">
        <w:t xml:space="preserve"> role in ensuring that individuals with the least ability to pay can afford the transition to greener and warmer buildings</w:t>
      </w:r>
      <w:r w:rsidR="004E02DD" w:rsidRPr="001A5EBC">
        <w:t>, whil</w:t>
      </w:r>
      <w:r w:rsidR="0009255E">
        <w:t xml:space="preserve">e </w:t>
      </w:r>
      <w:r w:rsidR="004E02DD" w:rsidRPr="001A5EBC">
        <w:t xml:space="preserve">also leveraging substantial private </w:t>
      </w:r>
      <w:r w:rsidR="00EC01E4" w:rsidRPr="001A5EBC">
        <w:t>funds</w:t>
      </w:r>
      <w:r w:rsidR="00305E0B" w:rsidRPr="001A5EBC">
        <w:t xml:space="preserve">. </w:t>
      </w:r>
      <w:r w:rsidR="007F4E79" w:rsidRPr="001A5EBC">
        <w:t xml:space="preserve">They claim that </w:t>
      </w:r>
      <w:proofErr w:type="gramStart"/>
      <w:r w:rsidR="007F4E79" w:rsidRPr="001A5EBC">
        <w:t>i</w:t>
      </w:r>
      <w:r w:rsidR="004353FF" w:rsidRPr="001A5EBC">
        <w:t>n order to</w:t>
      </w:r>
      <w:proofErr w:type="gramEnd"/>
      <w:r w:rsidR="004353FF" w:rsidRPr="001A5EBC">
        <w:t xml:space="preserve"> achieve </w:t>
      </w:r>
      <w:r w:rsidR="00FB3932" w:rsidRPr="001A5EBC">
        <w:t>net zero</w:t>
      </w:r>
      <w:r w:rsidR="004353FF" w:rsidRPr="001A5EBC">
        <w:t xml:space="preserve"> goals, </w:t>
      </w:r>
      <w:r w:rsidR="00305E0B" w:rsidRPr="001A5EBC">
        <w:t>additional public capital investment</w:t>
      </w:r>
      <w:r w:rsidR="00051218" w:rsidRPr="001A5EBC">
        <w:t>s</w:t>
      </w:r>
      <w:r w:rsidR="00305E0B" w:rsidRPr="001A5EBC">
        <w:t xml:space="preserve"> of £1.7</w:t>
      </w:r>
      <w:r w:rsidR="00B977A5" w:rsidRPr="001A5EBC">
        <w:t>bn</w:t>
      </w:r>
      <w:r w:rsidR="00305E0B" w:rsidRPr="001A5EBC">
        <w:t xml:space="preserve"> should be allocated to fully support low-income households in the net-zero challenge within the </w:t>
      </w:r>
      <w:r w:rsidR="00AD6C00" w:rsidRPr="001A5EBC">
        <w:t>built environment sector</w:t>
      </w:r>
      <w:r w:rsidR="00305E0B" w:rsidRPr="001A5EBC">
        <w:t>. Furthermore, an additional £3.5</w:t>
      </w:r>
      <w:r w:rsidR="00B977A5" w:rsidRPr="001A5EBC">
        <w:t>bn</w:t>
      </w:r>
      <w:r w:rsidR="00305E0B" w:rsidRPr="001A5EBC">
        <w:t xml:space="preserve"> </w:t>
      </w:r>
      <w:r w:rsidR="00482202" w:rsidRPr="001A5EBC">
        <w:t xml:space="preserve">is </w:t>
      </w:r>
      <w:r w:rsidR="00305E0B" w:rsidRPr="001A5EBC">
        <w:t xml:space="preserve">expected to be raised from private investments, particularly from private landlords and those </w:t>
      </w:r>
      <w:r w:rsidR="00051218" w:rsidRPr="001A5EBC">
        <w:t>able to pay</w:t>
      </w:r>
      <w:r w:rsidR="00305E0B" w:rsidRPr="001A5EBC">
        <w:t xml:space="preserve">. This results in a 1:2 ratio for public to private investments. In other words, it </w:t>
      </w:r>
      <w:r w:rsidR="005A1B08" w:rsidRPr="001A5EBC">
        <w:t>can be expected</w:t>
      </w:r>
      <w:r w:rsidR="00305E0B" w:rsidRPr="001A5EBC">
        <w:t xml:space="preserve"> that 33% of the investment will be covered by the UK government, while 67% will be contributed by households and businesses</w:t>
      </w:r>
      <w:r w:rsidR="0009255E">
        <w:t xml:space="preserve">, </w:t>
      </w:r>
      <w:r w:rsidR="0009255E" w:rsidRPr="00677F00">
        <w:t>this is illustrated in Figure 2.</w:t>
      </w:r>
    </w:p>
    <w:p w14:paraId="0BAE135F" w14:textId="5C9EB51B" w:rsidR="003B78A5" w:rsidRPr="001A5EBC" w:rsidRDefault="0009255E" w:rsidP="0009255E">
      <w:pPr>
        <w:pStyle w:val="Caption"/>
        <w:jc w:val="center"/>
      </w:pPr>
      <w:bookmarkStart w:id="3" w:name="_Ref168665545"/>
      <w:r w:rsidRPr="0009255E">
        <w:rPr>
          <w:b/>
          <w:bCs/>
          <w:noProof/>
        </w:rPr>
        <w:lastRenderedPageBreak/>
        <w:drawing>
          <wp:anchor distT="0" distB="0" distL="114300" distR="114300" simplePos="0" relativeHeight="251657227" behindDoc="0" locked="0" layoutInCell="1" allowOverlap="1" wp14:anchorId="6F7A1C46" wp14:editId="51D78627">
            <wp:simplePos x="0" y="0"/>
            <wp:positionH relativeFrom="margin">
              <wp:posOffset>-158115</wp:posOffset>
            </wp:positionH>
            <wp:positionV relativeFrom="paragraph">
              <wp:posOffset>259080</wp:posOffset>
            </wp:positionV>
            <wp:extent cx="3964940" cy="2844800"/>
            <wp:effectExtent l="0" t="0" r="0" b="0"/>
            <wp:wrapSquare wrapText="bothSides"/>
            <wp:docPr id="158206018" name="Picture 29" descr="A pie chart with numbers and a pie char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206018" name="Picture 29" descr="A pie chart with numbers and a pie chart&#10;&#10;Description automatically generated with medium confidence"/>
                    <pic:cNvPicPr/>
                  </pic:nvPicPr>
                  <pic:blipFill>
                    <a:blip r:embed="rId39" cstate="print">
                      <a:extLst>
                        <a:ext uri="{28A0092B-C50C-407E-A947-70E740481C1C}">
                          <a14:useLocalDpi xmlns:a14="http://schemas.microsoft.com/office/drawing/2010/main" val="0"/>
                        </a:ext>
                      </a:extLst>
                    </a:blip>
                    <a:stretch>
                      <a:fillRect/>
                    </a:stretch>
                  </pic:blipFill>
                  <pic:spPr>
                    <a:xfrm>
                      <a:off x="0" y="0"/>
                      <a:ext cx="3964940" cy="2844800"/>
                    </a:xfrm>
                    <a:prstGeom prst="rect">
                      <a:avLst/>
                    </a:prstGeom>
                  </pic:spPr>
                </pic:pic>
              </a:graphicData>
            </a:graphic>
          </wp:anchor>
        </w:drawing>
      </w:r>
      <w:r w:rsidR="003B78A5" w:rsidRPr="0009255E">
        <w:rPr>
          <w:b/>
          <w:bCs/>
          <w:noProof/>
        </w:rPr>
        <w:drawing>
          <wp:anchor distT="0" distB="0" distL="114300" distR="114300" simplePos="0" relativeHeight="251657226" behindDoc="0" locked="0" layoutInCell="1" allowOverlap="1" wp14:anchorId="5323374F" wp14:editId="6BA527B5">
            <wp:simplePos x="0" y="0"/>
            <wp:positionH relativeFrom="margin">
              <wp:align>right</wp:align>
            </wp:positionH>
            <wp:positionV relativeFrom="paragraph">
              <wp:posOffset>398030</wp:posOffset>
            </wp:positionV>
            <wp:extent cx="2734945" cy="2766060"/>
            <wp:effectExtent l="0" t="0" r="8255" b="0"/>
            <wp:wrapTopAndBottom/>
            <wp:docPr id="1086140480" name="Picture 28" descr="A diagram of a bar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6140480" name="Picture 28" descr="A diagram of a bar chart&#10;&#10;Description automatically generated"/>
                    <pic:cNvPicPr/>
                  </pic:nvPicPr>
                  <pic:blipFill>
                    <a:blip r:embed="rId40">
                      <a:extLst>
                        <a:ext uri="{28A0092B-C50C-407E-A947-70E740481C1C}">
                          <a14:useLocalDpi xmlns:a14="http://schemas.microsoft.com/office/drawing/2010/main" val="0"/>
                        </a:ext>
                      </a:extLst>
                    </a:blip>
                    <a:stretch>
                      <a:fillRect/>
                    </a:stretch>
                  </pic:blipFill>
                  <pic:spPr>
                    <a:xfrm>
                      <a:off x="0" y="0"/>
                      <a:ext cx="2734945" cy="2766060"/>
                    </a:xfrm>
                    <a:prstGeom prst="rect">
                      <a:avLst/>
                    </a:prstGeom>
                  </pic:spPr>
                </pic:pic>
              </a:graphicData>
            </a:graphic>
            <wp14:sizeRelH relativeFrom="margin">
              <wp14:pctWidth>0</wp14:pctWidth>
            </wp14:sizeRelH>
            <wp14:sizeRelV relativeFrom="margin">
              <wp14:pctHeight>0</wp14:pctHeight>
            </wp14:sizeRelV>
          </wp:anchor>
        </w:drawing>
      </w:r>
      <w:r w:rsidR="003B78A5" w:rsidRPr="0009255E">
        <w:rPr>
          <w:b/>
          <w:bCs/>
        </w:rPr>
        <w:t xml:space="preserve">Figure </w:t>
      </w:r>
      <w:bookmarkEnd w:id="3"/>
      <w:r w:rsidR="00D50820" w:rsidRPr="0009255E">
        <w:rPr>
          <w:b/>
          <w:bCs/>
        </w:rPr>
        <w:t>2:</w:t>
      </w:r>
      <w:r w:rsidR="003B78A5" w:rsidRPr="001A5EBC">
        <w:t xml:space="preserve"> Evidence </w:t>
      </w:r>
      <w:r w:rsidR="00D50820">
        <w:t>R</w:t>
      </w:r>
      <w:r w:rsidR="003B78A5" w:rsidRPr="001A5EBC">
        <w:t xml:space="preserve">eviewed on </w:t>
      </w:r>
      <w:r w:rsidR="00D50820">
        <w:t>P</w:t>
      </w:r>
      <w:r w:rsidR="003B78A5" w:rsidRPr="001A5EBC">
        <w:t xml:space="preserve">ublic and </w:t>
      </w:r>
      <w:r w:rsidR="00D50820">
        <w:t>P</w:t>
      </w:r>
      <w:r w:rsidR="003B78A5" w:rsidRPr="001A5EBC">
        <w:t xml:space="preserve">rivate </w:t>
      </w:r>
      <w:r w:rsidR="00D50820">
        <w:t>F</w:t>
      </w:r>
      <w:r w:rsidR="003B78A5" w:rsidRPr="001A5EBC">
        <w:t xml:space="preserve">inances </w:t>
      </w:r>
      <w:r w:rsidR="00014DFF" w:rsidRPr="001A5EBC">
        <w:t>in the UK</w:t>
      </w:r>
      <w:r w:rsidR="003B78A5" w:rsidRPr="001A5EBC">
        <w:t xml:space="preserve"> (left) and </w:t>
      </w:r>
      <w:r w:rsidR="00014DFF" w:rsidRPr="001A5EBC">
        <w:t>in Eurasia</w:t>
      </w:r>
      <w:r w:rsidR="003B78A5" w:rsidRPr="001A5EBC">
        <w:t xml:space="preserve"> (right)</w:t>
      </w:r>
    </w:p>
    <w:p w14:paraId="60183A31" w14:textId="553CB841" w:rsidR="003C6D32" w:rsidRPr="001A5EBC" w:rsidRDefault="00014DFF" w:rsidP="00710CCA">
      <w:pPr>
        <w:pStyle w:val="Source"/>
        <w:ind w:left="2880" w:firstLine="720"/>
      </w:pPr>
      <w:r w:rsidRPr="001A5EBC">
        <w:t>Sources: Left: EEIG (2019); Right: UNFCC (2022)</w:t>
      </w:r>
    </w:p>
    <w:p w14:paraId="17B2D01A" w14:textId="5F1025F0" w:rsidR="009A6D75" w:rsidRPr="00677F00" w:rsidRDefault="00E57136" w:rsidP="00305E0B">
      <w:pPr>
        <w:pStyle w:val="BodyText"/>
      </w:pPr>
      <w:r>
        <w:t xml:space="preserve">There are limited studies specifically on commercial buildings, but it would be expected that the public sector covers the cost of decarbonising public buildings. </w:t>
      </w:r>
      <w:r w:rsidR="00AD6C00" w:rsidRPr="001A5EBC">
        <w:t>When considering both residential and commercial buildings, a</w:t>
      </w:r>
      <w:r w:rsidR="001622DC" w:rsidRPr="001A5EBC">
        <w:t xml:space="preserve">s </w:t>
      </w:r>
      <w:r w:rsidR="001622DC" w:rsidRPr="00677F00">
        <w:t>illustrate</w:t>
      </w:r>
      <w:r w:rsidR="009F4319" w:rsidRPr="00677F00">
        <w:t>d</w:t>
      </w:r>
      <w:r w:rsidR="001622DC" w:rsidRPr="00677F00">
        <w:t xml:space="preserve"> i</w:t>
      </w:r>
      <w:r w:rsidR="00417E1E" w:rsidRPr="00677F00">
        <w:t>n Figure 2.</w:t>
      </w:r>
      <w:r w:rsidR="00F665C2" w:rsidRPr="00677F00">
        <w:t>,</w:t>
      </w:r>
      <w:r w:rsidR="00601B74" w:rsidRPr="00677F00">
        <w:t xml:space="preserve"> currently</w:t>
      </w:r>
      <w:r w:rsidR="0026507B" w:rsidRPr="00677F00">
        <w:t xml:space="preserve"> in Eurasia</w:t>
      </w:r>
      <w:r w:rsidR="00D12934" w:rsidRPr="00677F00">
        <w:t xml:space="preserve"> </w:t>
      </w:r>
      <w:proofErr w:type="gramStart"/>
      <w:r w:rsidR="00D12934" w:rsidRPr="00677F00">
        <w:t>the majority of</w:t>
      </w:r>
      <w:proofErr w:type="gramEnd"/>
      <w:r w:rsidR="00D12934" w:rsidRPr="00677F00">
        <w:t xml:space="preserve"> financing for buildings retrofits comes from households </w:t>
      </w:r>
      <w:r w:rsidR="00601B74" w:rsidRPr="00677F00">
        <w:t>and</w:t>
      </w:r>
      <w:r w:rsidR="00D12934" w:rsidRPr="00677F00">
        <w:t xml:space="preserve"> </w:t>
      </w:r>
      <w:r w:rsidR="00601B74" w:rsidRPr="00677F00">
        <w:t>businesses</w:t>
      </w:r>
      <w:r w:rsidR="00D12934" w:rsidRPr="00677F00">
        <w:t xml:space="preserve">, which either own the buildings or carry out retrofits on behalf of other building owners. In the years leading up to 2050, </w:t>
      </w:r>
      <w:r w:rsidR="00601B74" w:rsidRPr="00677F00">
        <w:t xml:space="preserve">private funds </w:t>
      </w:r>
      <w:r w:rsidR="00D12934" w:rsidRPr="00677F00">
        <w:t xml:space="preserve">are </w:t>
      </w:r>
      <w:r w:rsidR="00601B74" w:rsidRPr="00677F00">
        <w:t>expected</w:t>
      </w:r>
      <w:r w:rsidR="00D12934" w:rsidRPr="00677F00">
        <w:t xml:space="preserve"> to remain the most significant financing </w:t>
      </w:r>
      <w:r w:rsidR="00601B74" w:rsidRPr="00677F00">
        <w:t>sources</w:t>
      </w:r>
      <w:r w:rsidR="00D12934" w:rsidRPr="00677F00">
        <w:t>, and the relative p</w:t>
      </w:r>
      <w:r w:rsidR="00E41312" w:rsidRPr="00677F00">
        <w:t>ublic</w:t>
      </w:r>
      <w:r w:rsidR="001D578A" w:rsidRPr="00677F00">
        <w:t xml:space="preserve"> versus p</w:t>
      </w:r>
      <w:r w:rsidR="00E41312" w:rsidRPr="00677F00">
        <w:t>rivate</w:t>
      </w:r>
      <w:r w:rsidR="00D12934" w:rsidRPr="00677F00">
        <w:t xml:space="preserve"> investment split </w:t>
      </w:r>
      <w:r w:rsidR="00B071CC" w:rsidRPr="00677F00">
        <w:t>is</w:t>
      </w:r>
      <w:r w:rsidR="006C7CAD" w:rsidRPr="00677F00">
        <w:t xml:space="preserve"> expected</w:t>
      </w:r>
      <w:r w:rsidR="00B071CC" w:rsidRPr="00677F00">
        <w:t xml:space="preserve"> </w:t>
      </w:r>
      <w:r w:rsidR="00D12934" w:rsidRPr="00677F00">
        <w:t xml:space="preserve">to remain the same at about </w:t>
      </w:r>
      <w:r w:rsidR="00E41312" w:rsidRPr="00677F00">
        <w:t>2</w:t>
      </w:r>
      <w:r w:rsidR="00D12934" w:rsidRPr="00677F00">
        <w:t xml:space="preserve">0% to </w:t>
      </w:r>
      <w:r w:rsidR="00E41312" w:rsidRPr="00677F00">
        <w:t>8</w:t>
      </w:r>
      <w:r w:rsidR="00D12934" w:rsidRPr="00677F00">
        <w:t>0%</w:t>
      </w:r>
      <w:r w:rsidR="000E2FD7" w:rsidRPr="00677F00">
        <w:t xml:space="preserve"> </w:t>
      </w:r>
      <w:r w:rsidR="0026507B" w:rsidRPr="00677F00">
        <w:t>(UNFCC, 2019).</w:t>
      </w:r>
      <w:r w:rsidR="00D12934" w:rsidRPr="00677F00">
        <w:t xml:space="preserve"> </w:t>
      </w:r>
    </w:p>
    <w:p w14:paraId="3494249A" w14:textId="0783FECB" w:rsidR="00AD6C00" w:rsidRPr="00677F00" w:rsidRDefault="00F20B55" w:rsidP="00720B3A">
      <w:pPr>
        <w:pStyle w:val="BodyText"/>
      </w:pPr>
      <w:r w:rsidRPr="00677F00">
        <w:t xml:space="preserve">Further examples from Europe </w:t>
      </w:r>
      <w:r w:rsidR="00417E1E" w:rsidRPr="00677F00">
        <w:t xml:space="preserve">show </w:t>
      </w:r>
      <w:r w:rsidRPr="00677F00">
        <w:t xml:space="preserve">that </w:t>
      </w:r>
      <w:r w:rsidR="00720B3A" w:rsidRPr="00677F00">
        <w:t>France’s zero interest loan for home energy improvements is costing €40 million in interest rate subsidy over the lifetime of loans issued in 2016 and has supported</w:t>
      </w:r>
      <w:r w:rsidR="00C47ACE" w:rsidRPr="00677F00">
        <w:t xml:space="preserve"> </w:t>
      </w:r>
      <w:r w:rsidR="00720B3A" w:rsidRPr="00677F00">
        <w:t>€400 million of</w:t>
      </w:r>
      <w:r w:rsidR="00C47ACE" w:rsidRPr="00677F00">
        <w:t xml:space="preserve"> additional</w:t>
      </w:r>
      <w:r w:rsidR="00720B3A" w:rsidRPr="00677F00">
        <w:t xml:space="preserve"> private investment</w:t>
      </w:r>
      <w:r w:rsidR="000950BE" w:rsidRPr="00677F00">
        <w:t xml:space="preserve"> – </w:t>
      </w:r>
      <w:r w:rsidR="00720B3A" w:rsidRPr="00677F00">
        <w:t>a ratio of 1 to 10.</w:t>
      </w:r>
      <w:r w:rsidRPr="00677F00">
        <w:t xml:space="preserve"> Similarly in </w:t>
      </w:r>
      <w:r w:rsidR="00720B3A" w:rsidRPr="00677F00">
        <w:t>Germany</w:t>
      </w:r>
      <w:r w:rsidR="00417E1E" w:rsidRPr="00677F00">
        <w:t xml:space="preserve"> in</w:t>
      </w:r>
      <w:r w:rsidR="00720B3A" w:rsidRPr="00677F00">
        <w:t xml:space="preserve"> 2016, the federal cost of interest rate subsidy for renovation loans issued through the </w:t>
      </w:r>
      <w:proofErr w:type="spellStart"/>
      <w:r w:rsidR="00720B3A" w:rsidRPr="00677F00">
        <w:t>KfW</w:t>
      </w:r>
      <w:proofErr w:type="spellEnd"/>
      <w:r w:rsidR="00720B3A" w:rsidRPr="00677F00">
        <w:t xml:space="preserve"> bank and associated capital subsidies amounted to €1.7</w:t>
      </w:r>
      <w:r w:rsidR="00B977A5" w:rsidRPr="00677F00">
        <w:t>bn</w:t>
      </w:r>
      <w:r w:rsidR="00720B3A" w:rsidRPr="00677F00">
        <w:t xml:space="preserve"> and drove €10.1</w:t>
      </w:r>
      <w:r w:rsidR="00B977A5" w:rsidRPr="00677F00">
        <w:t xml:space="preserve">bn </w:t>
      </w:r>
      <w:r w:rsidR="00720B3A" w:rsidRPr="00677F00">
        <w:t xml:space="preserve">in energy renovation that year – a ratio of 1 </w:t>
      </w:r>
      <w:r w:rsidR="004D4192" w:rsidRPr="00677F00">
        <w:t>to</w:t>
      </w:r>
      <w:r w:rsidR="00720B3A" w:rsidRPr="00677F00">
        <w:t xml:space="preserve"> 6</w:t>
      </w:r>
      <w:r w:rsidR="000950BE" w:rsidRPr="00677F00">
        <w:t xml:space="preserve"> </w:t>
      </w:r>
      <w:r w:rsidRPr="00677F00">
        <w:t>(EEIG, 2019).</w:t>
      </w:r>
    </w:p>
    <w:p w14:paraId="4F499550" w14:textId="73FA34FD" w:rsidR="001622DC" w:rsidRPr="00677F00" w:rsidRDefault="001622DC" w:rsidP="001622DC">
      <w:pPr>
        <w:pStyle w:val="Heading2"/>
      </w:pPr>
      <w:r w:rsidRPr="00677F00">
        <w:t xml:space="preserve">Key </w:t>
      </w:r>
      <w:r w:rsidR="0046221D" w:rsidRPr="00677F00">
        <w:t>T</w:t>
      </w:r>
      <w:r w:rsidRPr="00677F00">
        <w:t>akeaways</w:t>
      </w:r>
    </w:p>
    <w:p w14:paraId="3E111EA0" w14:textId="581F71E9" w:rsidR="00260B1D" w:rsidRPr="00677F00" w:rsidRDefault="009405E3" w:rsidP="001C0477">
      <w:pPr>
        <w:pStyle w:val="BodyText"/>
      </w:pPr>
      <w:r w:rsidRPr="00677F00">
        <w:t>The evidence reviewed</w:t>
      </w:r>
      <w:r w:rsidR="00D23875" w:rsidRPr="00677F00">
        <w:t xml:space="preserve">, both in the UK and international context, </w:t>
      </w:r>
      <w:r w:rsidR="00216550" w:rsidRPr="00677F00">
        <w:t xml:space="preserve">shows </w:t>
      </w:r>
      <w:r w:rsidR="00C1541E" w:rsidRPr="00677F00">
        <w:t xml:space="preserve">that </w:t>
      </w:r>
      <w:r w:rsidR="009E7B2E" w:rsidRPr="00677F00">
        <w:t>the</w:t>
      </w:r>
      <w:r w:rsidR="00216550" w:rsidRPr="00677F00">
        <w:t xml:space="preserve"> bulk </w:t>
      </w:r>
      <w:r w:rsidR="009E7B2E" w:rsidRPr="00677F00">
        <w:t xml:space="preserve">of the required investments in the </w:t>
      </w:r>
      <w:r w:rsidR="00AD6C00" w:rsidRPr="00677F00">
        <w:t>built environment sector</w:t>
      </w:r>
      <w:r w:rsidR="009E7B2E" w:rsidRPr="00677F00">
        <w:t xml:space="preserve"> will be </w:t>
      </w:r>
      <w:r w:rsidR="00B83ED6" w:rsidRPr="00677F00">
        <w:t xml:space="preserve">carried out </w:t>
      </w:r>
      <w:r w:rsidR="009E7B2E" w:rsidRPr="00677F00">
        <w:t>by</w:t>
      </w:r>
      <w:r w:rsidR="00B83ED6" w:rsidRPr="00677F00">
        <w:t xml:space="preserve"> the</w:t>
      </w:r>
      <w:r w:rsidR="009E7B2E" w:rsidRPr="00677F00">
        <w:t xml:space="preserve"> private sector.</w:t>
      </w:r>
      <w:r w:rsidR="005C5946" w:rsidRPr="00677F00">
        <w:t xml:space="preserve"> </w:t>
      </w:r>
      <w:r w:rsidR="008A1BEB" w:rsidRPr="00677F00">
        <w:t xml:space="preserve">Specifically, it can be expected that </w:t>
      </w:r>
      <w:bookmarkStart w:id="4" w:name="_Hlk168667057"/>
      <w:r w:rsidR="005E4283" w:rsidRPr="00677F00">
        <w:t xml:space="preserve">33% of </w:t>
      </w:r>
      <w:r w:rsidR="001C0477" w:rsidRPr="00677F00">
        <w:t>residential</w:t>
      </w:r>
      <w:r w:rsidR="005E4283" w:rsidRPr="00677F00">
        <w:t xml:space="preserve"> investment will be covered by the UK government, whil</w:t>
      </w:r>
      <w:r w:rsidR="00216550" w:rsidRPr="00677F00">
        <w:t>e</w:t>
      </w:r>
      <w:r w:rsidR="005E4283" w:rsidRPr="00677F00">
        <w:t xml:space="preserve"> </w:t>
      </w:r>
      <w:r w:rsidR="008A1BEB" w:rsidRPr="00677F00">
        <w:t xml:space="preserve">households and businesses contribute </w:t>
      </w:r>
      <w:r w:rsidR="00216550" w:rsidRPr="00677F00">
        <w:t xml:space="preserve">the remaining </w:t>
      </w:r>
      <w:r w:rsidR="008A1BEB" w:rsidRPr="00677F00">
        <w:t>67%</w:t>
      </w:r>
      <w:bookmarkEnd w:id="4"/>
      <w:r w:rsidR="00216550" w:rsidRPr="00677F00">
        <w:t>. For commercial buildings,</w:t>
      </w:r>
      <w:r w:rsidR="001C0477" w:rsidRPr="00677F00">
        <w:t xml:space="preserve"> we estimate that the public sector will only cover 20%, with building owners expected to cover the remaining 80%</w:t>
      </w:r>
      <w:r w:rsidR="0002149C" w:rsidRPr="00677F00">
        <w:t xml:space="preserve">. </w:t>
      </w:r>
    </w:p>
    <w:p w14:paraId="6E07305E" w14:textId="2F5DE4D5" w:rsidR="0056740E" w:rsidRPr="001A5EBC" w:rsidRDefault="0056740E" w:rsidP="004E09AB">
      <w:pPr>
        <w:pStyle w:val="BodyText"/>
        <w:rPr>
          <w:b/>
          <w:bCs/>
        </w:rPr>
      </w:pPr>
      <w:r w:rsidRPr="00677F00">
        <w:rPr>
          <w:b/>
          <w:bCs/>
        </w:rPr>
        <w:t>£</w:t>
      </w:r>
      <w:r w:rsidR="00516FB9" w:rsidRPr="00677F00">
        <w:rPr>
          <w:b/>
          <w:bCs/>
        </w:rPr>
        <w:t>3</w:t>
      </w:r>
      <w:r w:rsidRPr="00677F00">
        <w:rPr>
          <w:b/>
          <w:bCs/>
        </w:rPr>
        <w:t xml:space="preserve">bn pa in </w:t>
      </w:r>
      <w:r w:rsidR="004950FC" w:rsidRPr="00677F00">
        <w:rPr>
          <w:b/>
          <w:bCs/>
        </w:rPr>
        <w:t xml:space="preserve">investment in the </w:t>
      </w:r>
      <w:r w:rsidR="000E4C86" w:rsidRPr="00677F00">
        <w:rPr>
          <w:b/>
          <w:bCs/>
        </w:rPr>
        <w:t>buil</w:t>
      </w:r>
      <w:r w:rsidR="00BB152C" w:rsidRPr="00677F00">
        <w:rPr>
          <w:b/>
          <w:bCs/>
        </w:rPr>
        <w:t>t</w:t>
      </w:r>
      <w:r w:rsidR="000E4C86" w:rsidRPr="00677F00">
        <w:rPr>
          <w:b/>
          <w:bCs/>
        </w:rPr>
        <w:t xml:space="preserve"> environment </w:t>
      </w:r>
      <w:r w:rsidR="004950FC" w:rsidRPr="00677F00">
        <w:rPr>
          <w:b/>
          <w:bCs/>
        </w:rPr>
        <w:t>sector is allocated to</w:t>
      </w:r>
      <w:r w:rsidRPr="00677F00">
        <w:rPr>
          <w:b/>
          <w:bCs/>
        </w:rPr>
        <w:t xml:space="preserve"> the North</w:t>
      </w:r>
      <w:r w:rsidR="00CE396A" w:rsidRPr="00677F00">
        <w:rPr>
          <w:b/>
          <w:bCs/>
        </w:rPr>
        <w:t xml:space="preserve"> of England</w:t>
      </w:r>
      <w:r w:rsidR="004950FC" w:rsidRPr="00677F00">
        <w:rPr>
          <w:b/>
          <w:bCs/>
        </w:rPr>
        <w:t>. Of th</w:t>
      </w:r>
      <w:r w:rsidR="00225601" w:rsidRPr="00677F00">
        <w:rPr>
          <w:b/>
          <w:bCs/>
        </w:rPr>
        <w:t>is</w:t>
      </w:r>
      <w:r w:rsidR="004950FC" w:rsidRPr="00677F00">
        <w:rPr>
          <w:b/>
          <w:bCs/>
        </w:rPr>
        <w:t>,</w:t>
      </w:r>
      <w:r w:rsidR="00225601" w:rsidRPr="00677F00">
        <w:rPr>
          <w:b/>
          <w:bCs/>
        </w:rPr>
        <w:t xml:space="preserve"> we expect</w:t>
      </w:r>
      <w:r w:rsidR="004950FC" w:rsidRPr="00677F00">
        <w:rPr>
          <w:b/>
          <w:bCs/>
        </w:rPr>
        <w:t xml:space="preserve"> </w:t>
      </w:r>
      <w:r w:rsidRPr="00677F00">
        <w:rPr>
          <w:b/>
          <w:bCs/>
        </w:rPr>
        <w:t>£</w:t>
      </w:r>
      <w:r w:rsidR="001C0477" w:rsidRPr="00677F00">
        <w:rPr>
          <w:b/>
          <w:bCs/>
        </w:rPr>
        <w:t>0.8</w:t>
      </w:r>
      <w:r w:rsidRPr="00677F00">
        <w:rPr>
          <w:b/>
          <w:bCs/>
        </w:rPr>
        <w:t>bn</w:t>
      </w:r>
      <w:r w:rsidR="005E4E44" w:rsidRPr="00677F00">
        <w:rPr>
          <w:b/>
          <w:bCs/>
        </w:rPr>
        <w:t xml:space="preserve"> to be covered by</w:t>
      </w:r>
      <w:r w:rsidRPr="00677F00">
        <w:rPr>
          <w:b/>
          <w:bCs/>
        </w:rPr>
        <w:t xml:space="preserve"> public investments (primarily in</w:t>
      </w:r>
      <w:r w:rsidR="00225601" w:rsidRPr="00677F00">
        <w:rPr>
          <w:b/>
          <w:bCs/>
        </w:rPr>
        <w:t xml:space="preserve"> decarbonising public buildings and</w:t>
      </w:r>
      <w:r w:rsidRPr="00677F00">
        <w:rPr>
          <w:b/>
          <w:bCs/>
        </w:rPr>
        <w:t xml:space="preserve"> </w:t>
      </w:r>
      <w:r w:rsidR="002304A3" w:rsidRPr="00677F00">
        <w:rPr>
          <w:b/>
          <w:bCs/>
        </w:rPr>
        <w:t>s</w:t>
      </w:r>
      <w:r w:rsidR="00557735" w:rsidRPr="00677F00">
        <w:rPr>
          <w:b/>
          <w:bCs/>
        </w:rPr>
        <w:t>upporting low-income households in the transition to green buildings)</w:t>
      </w:r>
      <w:r w:rsidR="005E4283" w:rsidRPr="00677F00">
        <w:rPr>
          <w:b/>
          <w:bCs/>
        </w:rPr>
        <w:t xml:space="preserve"> and</w:t>
      </w:r>
      <w:r w:rsidR="005E4283" w:rsidRPr="001A5EBC">
        <w:rPr>
          <w:b/>
          <w:bCs/>
        </w:rPr>
        <w:t xml:space="preserve"> the remaining 2bn is expected from private investment.</w:t>
      </w:r>
    </w:p>
    <w:p w14:paraId="69D84819" w14:textId="24AD25FC" w:rsidR="00155C68" w:rsidRPr="001A5EBC" w:rsidRDefault="00155C68" w:rsidP="001E1429">
      <w:pPr>
        <w:pStyle w:val="Heading1"/>
        <w:numPr>
          <w:ilvl w:val="0"/>
          <w:numId w:val="47"/>
        </w:numPr>
      </w:pPr>
      <w:bookmarkStart w:id="5" w:name="_Toc169011864"/>
      <w:bookmarkStart w:id="6" w:name="_Ref146272128"/>
      <w:r w:rsidRPr="001A5EBC">
        <w:lastRenderedPageBreak/>
        <w:t>Transport</w:t>
      </w:r>
      <w:bookmarkEnd w:id="5"/>
    </w:p>
    <w:p w14:paraId="750F533E" w14:textId="17B73FE0" w:rsidR="00155C68" w:rsidRPr="001A5EBC" w:rsidRDefault="00155C68" w:rsidP="00155C68">
      <w:pPr>
        <w:pStyle w:val="Heading2"/>
      </w:pPr>
      <w:r w:rsidRPr="001A5EBC">
        <w:t xml:space="preserve">Evidence </w:t>
      </w:r>
      <w:r w:rsidR="0046221D">
        <w:t>R</w:t>
      </w:r>
      <w:r w:rsidRPr="001A5EBC">
        <w:t>eviewed</w:t>
      </w:r>
    </w:p>
    <w:p w14:paraId="5A917CA1" w14:textId="22D6F311" w:rsidR="00971108" w:rsidRPr="00677F00" w:rsidRDefault="00AD6C00" w:rsidP="00CB2DBE">
      <w:pPr>
        <w:pStyle w:val="BodyText"/>
      </w:pPr>
      <w:r w:rsidRPr="001A5EBC">
        <w:t>Domestic road</w:t>
      </w:r>
      <w:r w:rsidR="00CB2DBE" w:rsidRPr="001A5EBC">
        <w:t xml:space="preserve"> transport </w:t>
      </w:r>
      <w:r w:rsidR="00BB152C" w:rsidRPr="001A5EBC">
        <w:t xml:space="preserve">is accountable for </w:t>
      </w:r>
      <w:r w:rsidR="00CB2DBE" w:rsidRPr="001A5EBC">
        <w:t xml:space="preserve">the largest share of UK greenhouse gas emissions of any sector across the economy, according to the </w:t>
      </w:r>
      <w:r w:rsidR="00FB3932" w:rsidRPr="001A5EBC">
        <w:t>Net Zero</w:t>
      </w:r>
      <w:r w:rsidR="00CB2DBE" w:rsidRPr="001A5EBC">
        <w:t xml:space="preserve"> </w:t>
      </w:r>
      <w:r w:rsidR="00CB2DBE" w:rsidRPr="00677F00">
        <w:t>Strategy</w:t>
      </w:r>
      <w:r w:rsidR="00A820AA" w:rsidRPr="00677F00">
        <w:t xml:space="preserve"> (DESNZ, 2022)</w:t>
      </w:r>
      <w:r w:rsidR="003F7DC4" w:rsidRPr="00677F00">
        <w:t>.</w:t>
      </w:r>
      <w:r w:rsidR="00CB2DBE" w:rsidRPr="00677F00">
        <w:t xml:space="preserve"> </w:t>
      </w:r>
      <w:proofErr w:type="gramStart"/>
      <w:r w:rsidR="00CB2DBE" w:rsidRPr="00677F00">
        <w:t>The majority of</w:t>
      </w:r>
      <w:proofErr w:type="gramEnd"/>
      <w:r w:rsidR="00CB2DBE" w:rsidRPr="00677F00">
        <w:t xml:space="preserve"> these emissions </w:t>
      </w:r>
      <w:r w:rsidR="00D00253" w:rsidRPr="00677F00">
        <w:t xml:space="preserve">(55%) </w:t>
      </w:r>
      <w:r w:rsidR="00CB2DBE" w:rsidRPr="00677F00">
        <w:t>are associated with passenger cars, contributing 68 MtCO2</w:t>
      </w:r>
      <w:r w:rsidR="00FD1EC2" w:rsidRPr="00677F00">
        <w:t xml:space="preserve">, </w:t>
      </w:r>
      <w:r w:rsidR="00CB2DBE" w:rsidRPr="00677F00">
        <w:t>followed by heavy goods vehicles and light goods vehicles contributing 19 MtCO2e (16%) and 19 MtCO2e (16%)</w:t>
      </w:r>
      <w:r w:rsidR="0046221D" w:rsidRPr="00677F00">
        <w:t xml:space="preserve">, </w:t>
      </w:r>
      <w:r w:rsidR="00CB2DBE" w:rsidRPr="00677F00">
        <w:t>respectively. The remaining emissions in domestic shipping, rail, and domestic aviation contribute a combined further 16 MtCO2e (13%)</w:t>
      </w:r>
      <w:r w:rsidR="003F7DC4" w:rsidRPr="00677F00">
        <w:t xml:space="preserve"> (DESNZ, 2022).</w:t>
      </w:r>
    </w:p>
    <w:p w14:paraId="501AA63E" w14:textId="51A3F1E9" w:rsidR="00CB2DBE" w:rsidRPr="00677F00" w:rsidRDefault="00C81755" w:rsidP="00FD6118">
      <w:pPr>
        <w:pStyle w:val="BodyText"/>
      </w:pPr>
      <w:r w:rsidRPr="00677F00">
        <w:t>Decarbonising the UK transport sector requires efforts to phase out traditional vehicles and replace them with a more efficient electric fleet. It also involves enhancing the infrastructure for public transport</w:t>
      </w:r>
      <w:r w:rsidR="00AD6C00" w:rsidRPr="00677F00">
        <w:t xml:space="preserve"> (i.e.</w:t>
      </w:r>
      <w:r w:rsidR="00753CC4" w:rsidRPr="00677F00">
        <w:t>,</w:t>
      </w:r>
      <w:r w:rsidR="00AD6C00" w:rsidRPr="00677F00">
        <w:t xml:space="preserve"> </w:t>
      </w:r>
      <w:r w:rsidRPr="00677F00">
        <w:t>bus, rail</w:t>
      </w:r>
      <w:r w:rsidR="00AD6C00" w:rsidRPr="00677F00">
        <w:t>) and active travel</w:t>
      </w:r>
      <w:r w:rsidRPr="00677F00">
        <w:t xml:space="preserve"> facilities, </w:t>
      </w:r>
      <w:r w:rsidR="00AD6C00" w:rsidRPr="00677F00">
        <w:t>as well as</w:t>
      </w:r>
      <w:r w:rsidRPr="00677F00">
        <w:t xml:space="preserve"> supporting a shift from fossil fuel usage towards low-carbon fuels. Bo</w:t>
      </w:r>
      <w:r w:rsidR="00AD6C00" w:rsidRPr="00677F00">
        <w:t>t</w:t>
      </w:r>
      <w:r w:rsidRPr="00677F00">
        <w:t>h public and private finances will need to be mobilised to ensure the transport sector achieves its decarbonisation objectives in a timely</w:t>
      </w:r>
      <w:r w:rsidR="00F137FA" w:rsidRPr="00677F00">
        <w:t xml:space="preserve"> manner</w:t>
      </w:r>
      <w:r w:rsidRPr="00677F00">
        <w:t xml:space="preserve">. However, the </w:t>
      </w:r>
      <w:r w:rsidR="00F137FA" w:rsidRPr="00677F00">
        <w:t>p</w:t>
      </w:r>
      <w:r w:rsidR="008A3EA7" w:rsidRPr="00677F00">
        <w:t xml:space="preserve">ublic </w:t>
      </w:r>
      <w:r w:rsidR="00C14295" w:rsidRPr="00677F00">
        <w:t xml:space="preserve">versus </w:t>
      </w:r>
      <w:r w:rsidR="00F137FA" w:rsidRPr="00677F00">
        <w:t>p</w:t>
      </w:r>
      <w:r w:rsidR="008A3EA7" w:rsidRPr="00677F00">
        <w:t>rivate</w:t>
      </w:r>
      <w:r w:rsidR="00F137FA" w:rsidRPr="00677F00">
        <w:t xml:space="preserve"> investment split </w:t>
      </w:r>
      <w:r w:rsidRPr="00677F00">
        <w:t xml:space="preserve">in this sector is expected to </w:t>
      </w:r>
      <w:r w:rsidR="00CB4A51" w:rsidRPr="00677F00">
        <w:t>vary substantially, depending</w:t>
      </w:r>
      <w:r w:rsidRPr="00677F00">
        <w:t xml:space="preserve"> on whether the investment is targeted at constructing and upgrading the transport infrastructure, or whether it is aimed at decarbonising other components of the sector, such as vehicle fleet and fuel switching</w:t>
      </w:r>
      <w:r w:rsidR="00C14295" w:rsidRPr="00677F00">
        <w:t>:</w:t>
      </w:r>
    </w:p>
    <w:p w14:paraId="1224BBAE" w14:textId="751C00A3" w:rsidR="009371A2" w:rsidRPr="001A5EBC" w:rsidRDefault="00EC2193" w:rsidP="00EC2193">
      <w:pPr>
        <w:pStyle w:val="BodyText"/>
        <w:numPr>
          <w:ilvl w:val="0"/>
          <w:numId w:val="49"/>
        </w:numPr>
      </w:pPr>
      <w:r w:rsidRPr="00677F00">
        <w:t>B</w:t>
      </w:r>
      <w:r w:rsidR="00243C79" w:rsidRPr="00677F00">
        <w:t xml:space="preserve">uilding and </w:t>
      </w:r>
      <w:r w:rsidR="00A02800" w:rsidRPr="00677F00">
        <w:t>upgrading the existing</w:t>
      </w:r>
      <w:r w:rsidR="008E537E" w:rsidRPr="00677F00">
        <w:t xml:space="preserve"> public and active</w:t>
      </w:r>
      <w:r w:rsidR="00A02800" w:rsidRPr="00677F00">
        <w:t xml:space="preserve"> </w:t>
      </w:r>
      <w:r w:rsidR="00A02800" w:rsidRPr="00677F00">
        <w:rPr>
          <w:b/>
          <w:bCs/>
        </w:rPr>
        <w:t>transport infrastructure</w:t>
      </w:r>
      <w:r w:rsidR="0046221D" w:rsidRPr="00677F00">
        <w:t xml:space="preserve">, </w:t>
      </w:r>
      <w:r w:rsidR="00243C79" w:rsidRPr="00677F00">
        <w:t>r</w:t>
      </w:r>
      <w:r w:rsidR="0082465D" w:rsidRPr="00677F00">
        <w:t>anging from bus</w:t>
      </w:r>
      <w:r w:rsidR="003076B9" w:rsidRPr="00677F00">
        <w:t>,</w:t>
      </w:r>
      <w:r w:rsidR="0046221D" w:rsidRPr="00677F00">
        <w:t xml:space="preserve"> </w:t>
      </w:r>
      <w:r w:rsidR="0082465D" w:rsidRPr="00677F00">
        <w:t>rail, walking, and cycling facilitie</w:t>
      </w:r>
      <w:r w:rsidR="0046221D" w:rsidRPr="00677F00">
        <w:t xml:space="preserve">s, </w:t>
      </w:r>
      <w:r w:rsidR="00EB2AC4" w:rsidRPr="00677F00">
        <w:t>is crucial to en</w:t>
      </w:r>
      <w:r w:rsidR="000502EE" w:rsidRPr="00677F00">
        <w:t xml:space="preserve">sure </w:t>
      </w:r>
      <w:r w:rsidR="00243C79" w:rsidRPr="00677F00">
        <w:t>technolo</w:t>
      </w:r>
      <w:r w:rsidR="00A82E2A" w:rsidRPr="00677F00">
        <w:t>gical development progresses</w:t>
      </w:r>
      <w:r w:rsidR="00125D5A" w:rsidRPr="00677F00">
        <w:t xml:space="preserve"> at pace in these subsectors. </w:t>
      </w:r>
      <w:r w:rsidR="002000DE" w:rsidRPr="00677F00">
        <w:t>Our reviews show that investments in</w:t>
      </w:r>
      <w:r w:rsidR="00FB70FA" w:rsidRPr="00677F00">
        <w:t xml:space="preserve"> public and active</w:t>
      </w:r>
      <w:r w:rsidR="002000DE" w:rsidRPr="00677F00">
        <w:t xml:space="preserve"> </w:t>
      </w:r>
      <w:r w:rsidR="002D132A" w:rsidRPr="00677F00">
        <w:t>transport</w:t>
      </w:r>
      <w:r w:rsidR="002000DE" w:rsidRPr="00677F00">
        <w:t xml:space="preserve"> infrastructure are expected to </w:t>
      </w:r>
      <w:r w:rsidR="00CA0CDB" w:rsidRPr="00677F00">
        <w:t xml:space="preserve">be </w:t>
      </w:r>
      <w:r w:rsidR="00D64E5A" w:rsidRPr="00677F00">
        <w:t xml:space="preserve">raised </w:t>
      </w:r>
      <w:r w:rsidR="00605AEC" w:rsidRPr="00677F00">
        <w:t xml:space="preserve">almost </w:t>
      </w:r>
      <w:r w:rsidR="00D64E5A" w:rsidRPr="00677F00">
        <w:t>entirely from the public sector.</w:t>
      </w:r>
      <w:r w:rsidR="0023797E" w:rsidRPr="00677F00">
        <w:t xml:space="preserve"> As illustrated i</w:t>
      </w:r>
      <w:r w:rsidR="0046221D" w:rsidRPr="00677F00">
        <w:t>n Figure 3.</w:t>
      </w:r>
      <w:r w:rsidR="00C055B4" w:rsidRPr="00677F00">
        <w:t>, around 7</w:t>
      </w:r>
      <w:r w:rsidR="00BE0E5A" w:rsidRPr="00677F00">
        <w:t>7</w:t>
      </w:r>
      <w:r w:rsidR="00C055B4" w:rsidRPr="00677F00">
        <w:t xml:space="preserve">% of the required transport infrastructure investment will be </w:t>
      </w:r>
      <w:r w:rsidR="001949EB" w:rsidRPr="00677F00">
        <w:t>covered by public finances</w:t>
      </w:r>
      <w:r w:rsidR="0023797E" w:rsidRPr="00677F00">
        <w:t xml:space="preserve"> from 2022 onwards</w:t>
      </w:r>
      <w:r w:rsidR="001949EB" w:rsidRPr="00677F00">
        <w:t>, with the remaining 2</w:t>
      </w:r>
      <w:r w:rsidR="000B0A00" w:rsidRPr="00677F00">
        <w:t>3</w:t>
      </w:r>
      <w:r w:rsidR="001949EB" w:rsidRPr="00677F00">
        <w:t>%</w:t>
      </w:r>
      <w:r w:rsidR="005C0670" w:rsidRPr="00677F00">
        <w:t xml:space="preserve"> </w:t>
      </w:r>
      <w:r w:rsidR="00E75F53" w:rsidRPr="00677F00">
        <w:t>raised through public-private partnerships (House of Commons, 2023</w:t>
      </w:r>
      <w:r w:rsidR="0007168F" w:rsidRPr="00677F00">
        <w:t xml:space="preserve"> &amp; </w:t>
      </w:r>
      <w:r w:rsidR="0007168F" w:rsidRPr="00677F00">
        <w:rPr>
          <w:rStyle w:val="Hyperlink"/>
          <w:color w:val="auto"/>
          <w:u w:val="none"/>
        </w:rPr>
        <w:t>Infrastructure and Projects Authority, 2021</w:t>
      </w:r>
      <w:r w:rsidR="00E75F53" w:rsidRPr="00677F00">
        <w:t>)</w:t>
      </w:r>
      <w:r w:rsidR="006B4EF2" w:rsidRPr="00677F00">
        <w:t>.</w:t>
      </w:r>
      <w:r w:rsidR="005538E1" w:rsidRPr="00677F00">
        <w:t xml:space="preserve"> </w:t>
      </w:r>
      <w:r w:rsidR="0046221D" w:rsidRPr="00677F00">
        <w:t>Similarly, a</w:t>
      </w:r>
      <w:r w:rsidR="00A50E45" w:rsidRPr="00677F00">
        <w:t xml:space="preserve"> </w:t>
      </w:r>
      <w:r w:rsidR="00935E69" w:rsidRPr="00677F00">
        <w:t>previous study shows that from 2016 onwards public funds accounted for 90% of total infrastructure investments (Figure</w:t>
      </w:r>
      <w:r w:rsidR="0046221D" w:rsidRPr="00677F00">
        <w:t xml:space="preserve"> 3.</w:t>
      </w:r>
      <w:r w:rsidR="00935E69" w:rsidRPr="00677F00">
        <w:t>)</w:t>
      </w:r>
      <w:r w:rsidR="000D31E5" w:rsidRPr="00677F00">
        <w:t xml:space="preserve">. </w:t>
      </w:r>
      <w:r w:rsidR="0046221D" w:rsidRPr="00677F00">
        <w:t>A</w:t>
      </w:r>
      <w:r w:rsidR="00A67C10" w:rsidRPr="00677F00">
        <w:t>t a global level, the World Bank reports that</w:t>
      </w:r>
      <w:r w:rsidR="00AC6842" w:rsidRPr="00677F00">
        <w:t xml:space="preserve"> 88% of transport infrastructure projects are</w:t>
      </w:r>
      <w:r w:rsidR="00542D18" w:rsidRPr="00677F00">
        <w:t xml:space="preserve"> typically covered by public finances</w:t>
      </w:r>
      <w:r w:rsidR="0013532A" w:rsidRPr="00677F00">
        <w:t xml:space="preserve">, including </w:t>
      </w:r>
      <w:r w:rsidR="00EC4254" w:rsidRPr="00677F00">
        <w:t>central governments an</w:t>
      </w:r>
      <w:r w:rsidR="00C6192A" w:rsidRPr="00677F00">
        <w:t xml:space="preserve">d state-owned </w:t>
      </w:r>
      <w:r w:rsidR="00E9305B" w:rsidRPr="00677F00">
        <w:t>enterprises</w:t>
      </w:r>
      <w:r w:rsidR="00BC30A9" w:rsidRPr="001A5EBC">
        <w:t>, with most of the</w:t>
      </w:r>
      <w:r w:rsidR="00EA3FB2" w:rsidRPr="001A5EBC">
        <w:t xml:space="preserve"> investments directed to railway and road </w:t>
      </w:r>
      <w:r w:rsidR="00DA6E90" w:rsidRPr="001A5EBC">
        <w:t>infrastructure</w:t>
      </w:r>
      <w:r w:rsidR="00F23A85" w:rsidRPr="001A5EBC">
        <w:t xml:space="preserve"> (</w:t>
      </w:r>
      <w:r w:rsidR="00052C65" w:rsidRPr="001A5EBC">
        <w:t>World Bank, 2017</w:t>
      </w:r>
      <w:r w:rsidR="00F23A85" w:rsidRPr="001A5EBC">
        <w:t>)</w:t>
      </w:r>
      <w:r w:rsidR="00EA3FB2" w:rsidRPr="001A5EBC">
        <w:t xml:space="preserve">. </w:t>
      </w:r>
    </w:p>
    <w:p w14:paraId="0CF62EF8" w14:textId="6E2B0338" w:rsidR="005E0E4B" w:rsidRDefault="00AD6C00" w:rsidP="005E0E4B">
      <w:pPr>
        <w:pStyle w:val="BodyText"/>
        <w:numPr>
          <w:ilvl w:val="0"/>
          <w:numId w:val="49"/>
        </w:numPr>
      </w:pPr>
      <w:r w:rsidRPr="001A5EBC">
        <w:rPr>
          <w:b/>
          <w:bCs/>
        </w:rPr>
        <w:t xml:space="preserve">Non-infrastructure </w:t>
      </w:r>
      <w:r w:rsidR="00155147" w:rsidRPr="001A5EBC">
        <w:rPr>
          <w:b/>
          <w:bCs/>
        </w:rPr>
        <w:t>investment</w:t>
      </w:r>
      <w:r w:rsidR="00155147" w:rsidRPr="001A5EBC">
        <w:t xml:space="preserve"> </w:t>
      </w:r>
      <w:r w:rsidRPr="001A5EBC">
        <w:t>refer</w:t>
      </w:r>
      <w:r w:rsidR="0046221D">
        <w:t xml:space="preserve">s </w:t>
      </w:r>
      <w:r w:rsidRPr="001A5EBC">
        <w:t xml:space="preserve">to </w:t>
      </w:r>
      <w:r w:rsidR="0046221D">
        <w:t xml:space="preserve">the </w:t>
      </w:r>
      <w:r w:rsidRPr="001A5EBC">
        <w:t xml:space="preserve">deployment of </w:t>
      </w:r>
      <w:r w:rsidR="0046221D">
        <w:t xml:space="preserve">an </w:t>
      </w:r>
      <w:r w:rsidRPr="001A5EBC">
        <w:t xml:space="preserve">electric </w:t>
      </w:r>
      <w:r w:rsidR="00155147" w:rsidRPr="001A5EBC">
        <w:t>vehicle</w:t>
      </w:r>
      <w:r w:rsidRPr="001A5EBC">
        <w:t xml:space="preserve"> (EV)</w:t>
      </w:r>
      <w:r w:rsidR="00155147" w:rsidRPr="001A5EBC">
        <w:t xml:space="preserve"> fleet and</w:t>
      </w:r>
      <w:r w:rsidRPr="001A5EBC">
        <w:t xml:space="preserve"> the related EV chargers,</w:t>
      </w:r>
      <w:r w:rsidR="00155147" w:rsidRPr="001A5EBC">
        <w:t xml:space="preserve"> </w:t>
      </w:r>
      <w:r w:rsidRPr="001A5EBC">
        <w:t xml:space="preserve">fuel switching, and development of </w:t>
      </w:r>
      <w:r w:rsidR="00B77ADD">
        <w:t>L</w:t>
      </w:r>
      <w:r w:rsidRPr="001A5EBC">
        <w:t>o-</w:t>
      </w:r>
      <w:r w:rsidR="00B77ADD">
        <w:t>C</w:t>
      </w:r>
      <w:r w:rsidRPr="001A5EBC">
        <w:t>arbon solution for aviation and maritime transport</w:t>
      </w:r>
      <w:r w:rsidR="00155147" w:rsidRPr="001A5EBC">
        <w:t>.</w:t>
      </w:r>
      <w:r w:rsidR="00A10783" w:rsidRPr="001A5EBC">
        <w:t xml:space="preserve"> </w:t>
      </w:r>
      <w:r w:rsidR="004669B4" w:rsidRPr="001A5EBC">
        <w:t xml:space="preserve">It has been estimated that between 2022 and 2040 around 86% of the required investment </w:t>
      </w:r>
      <w:r w:rsidR="00173B2A" w:rsidRPr="001A5EBC">
        <w:t>in these</w:t>
      </w:r>
      <w:r w:rsidR="00AE0572" w:rsidRPr="001A5EBC">
        <w:t xml:space="preserve"> subsector</w:t>
      </w:r>
      <w:r w:rsidR="00605AEC" w:rsidRPr="001A5EBC">
        <w:t>s</w:t>
      </w:r>
      <w:r w:rsidR="00173B2A" w:rsidRPr="001A5EBC">
        <w:t xml:space="preserve"> </w:t>
      </w:r>
      <w:r w:rsidR="004669B4" w:rsidRPr="001A5EBC">
        <w:t xml:space="preserve">will be covered by private finance, </w:t>
      </w:r>
      <w:r w:rsidR="001442C3" w:rsidRPr="001A5EBC">
        <w:t>with</w:t>
      </w:r>
      <w:r w:rsidR="004669B4" w:rsidRPr="001A5EBC">
        <w:t xml:space="preserve"> the remaining 14% instead </w:t>
      </w:r>
      <w:r w:rsidR="005E0E4B" w:rsidRPr="001A5EBC">
        <w:t xml:space="preserve">funded by government </w:t>
      </w:r>
      <w:r w:rsidR="005148E4" w:rsidRPr="001A5EBC">
        <w:t>(UNFCC, 2022)</w:t>
      </w:r>
      <w:r w:rsidR="004669B4" w:rsidRPr="001A5EBC">
        <w:t>.</w:t>
      </w:r>
      <w:r w:rsidR="00553FF3" w:rsidRPr="001A5EBC">
        <w:t xml:space="preserve"> In this context, public investment will play a crucial role in accelerating the adoption of green transport technologies and ensuring that low-income households are supported in the transition to a decarbonised transport sector, along with enhanced access to public transport.</w:t>
      </w:r>
    </w:p>
    <w:p w14:paraId="1AA7B39C" w14:textId="77777777" w:rsidR="00B77ADD" w:rsidRPr="001A5EBC" w:rsidRDefault="00B77ADD" w:rsidP="00B77ADD">
      <w:pPr>
        <w:pStyle w:val="BodyText"/>
        <w:ind w:left="720"/>
      </w:pPr>
    </w:p>
    <w:p w14:paraId="7377ED94" w14:textId="4FD72BC7" w:rsidR="00BF43D4" w:rsidRPr="001A5EBC" w:rsidRDefault="005E0E4B" w:rsidP="00710CCA">
      <w:pPr>
        <w:pStyle w:val="BodyText"/>
        <w:ind w:left="720"/>
      </w:pPr>
      <w:r w:rsidRPr="001A5EBC">
        <w:lastRenderedPageBreak/>
        <w:t>When specifically considering investments in EV chargers in Europe, although current public investment is estimated to cover approximately 44% of the required needs between 2025 and 2050, this contribution is expected to decrease to an average of 24% as investment grows to an attractive size and government involvement drops off</w:t>
      </w:r>
      <w:r w:rsidR="00B77ADD">
        <w:t xml:space="preserve"> (UNFC, 2022)</w:t>
      </w:r>
      <w:r w:rsidRPr="001A5EBC">
        <w:t xml:space="preserve">. It follows that the remaining 76% of required investment in EV infrastructure in Europe is covered by private investment (UNFCC, 2022). As a matter of fact, </w:t>
      </w:r>
      <w:r w:rsidR="004669B4" w:rsidRPr="001A5EBC">
        <w:t xml:space="preserve">corporations and commercial </w:t>
      </w:r>
      <w:r w:rsidR="001442C3" w:rsidRPr="001A5EBC">
        <w:t>financial institutions</w:t>
      </w:r>
      <w:r w:rsidR="004669B4" w:rsidRPr="001A5EBC">
        <w:t xml:space="preserve"> are </w:t>
      </w:r>
      <w:r w:rsidR="0035774B" w:rsidRPr="001A5EBC">
        <w:t>expected</w:t>
      </w:r>
      <w:r w:rsidR="004669B4" w:rsidRPr="001A5EBC">
        <w:t xml:space="preserve"> to take a </w:t>
      </w:r>
      <w:r w:rsidR="00B11BB1" w:rsidRPr="001A5EBC">
        <w:t>greater</w:t>
      </w:r>
      <w:r w:rsidR="004669B4" w:rsidRPr="001A5EBC">
        <w:t xml:space="preserve"> role in addressing t</w:t>
      </w:r>
      <w:r w:rsidR="0035774B" w:rsidRPr="001A5EBC">
        <w:t>he required</w:t>
      </w:r>
      <w:r w:rsidR="004669B4" w:rsidRPr="001A5EBC">
        <w:t xml:space="preserve"> investment need. </w:t>
      </w:r>
      <w:r w:rsidRPr="001A5EBC">
        <w:t>Ho</w:t>
      </w:r>
      <w:r w:rsidR="00135D64" w:rsidRPr="001A5EBC">
        <w:t>useho</w:t>
      </w:r>
      <w:r w:rsidRPr="001A5EBC">
        <w:t>lds</w:t>
      </w:r>
      <w:r w:rsidR="00135D64" w:rsidRPr="001A5EBC">
        <w:t xml:space="preserve"> and businesses are expected to </w:t>
      </w:r>
      <w:r w:rsidR="0027679F" w:rsidRPr="001A5EBC">
        <w:t>cover most of the required investment</w:t>
      </w:r>
      <w:r w:rsidR="003D140D" w:rsidRPr="001A5EBC">
        <w:t xml:space="preserve"> to</w:t>
      </w:r>
      <w:r w:rsidR="003C1D4C" w:rsidRPr="001A5EBC">
        <w:t xml:space="preserve"> purchase electric passenger vehicles and trucks</w:t>
      </w:r>
      <w:r w:rsidR="003174F8" w:rsidRPr="001A5EBC">
        <w:t>, while being</w:t>
      </w:r>
      <w:r w:rsidR="00135D64" w:rsidRPr="001A5EBC">
        <w:t xml:space="preserve"> supported by loans from </w:t>
      </w:r>
      <w:r w:rsidR="00831310" w:rsidRPr="001A5EBC">
        <w:t>financial institutions</w:t>
      </w:r>
      <w:r w:rsidR="00135D64" w:rsidRPr="001A5EBC">
        <w:t xml:space="preserve">. </w:t>
      </w:r>
      <w:r w:rsidRPr="001A5EBC">
        <w:t>Similarly, c</w:t>
      </w:r>
      <w:r w:rsidR="00135D64" w:rsidRPr="001A5EBC">
        <w:t xml:space="preserve">orporations </w:t>
      </w:r>
      <w:r w:rsidR="00831310" w:rsidRPr="001A5EBC">
        <w:t>instead are expected to</w:t>
      </w:r>
      <w:r w:rsidR="00135D64" w:rsidRPr="001A5EBC">
        <w:t xml:space="preserve"> invest directly on</w:t>
      </w:r>
      <w:r w:rsidRPr="001A5EBC">
        <w:t xml:space="preserve"> greener technology for</w:t>
      </w:r>
      <w:r w:rsidR="00135D64" w:rsidRPr="001A5EBC">
        <w:t xml:space="preserve"> aviation and maritime transpor</w:t>
      </w:r>
      <w:r w:rsidR="00831310" w:rsidRPr="001A5EBC">
        <w:t xml:space="preserve">t. </w:t>
      </w:r>
    </w:p>
    <w:p w14:paraId="2C1422C3" w14:textId="364F0B59" w:rsidR="006B4EF2" w:rsidRPr="001A5EBC" w:rsidRDefault="00EF336F" w:rsidP="00EF336F">
      <w:pPr>
        <w:pStyle w:val="Caption"/>
        <w:jc w:val="center"/>
      </w:pPr>
      <w:bookmarkStart w:id="7" w:name="_Ref168669893"/>
      <w:r w:rsidRPr="00B77ADD">
        <w:rPr>
          <w:b/>
          <w:bCs/>
          <w:noProof/>
        </w:rPr>
        <w:drawing>
          <wp:anchor distT="0" distB="0" distL="114300" distR="114300" simplePos="0" relativeHeight="251657228" behindDoc="0" locked="0" layoutInCell="1" allowOverlap="1" wp14:anchorId="56B7B907" wp14:editId="54E328B8">
            <wp:simplePos x="0" y="0"/>
            <wp:positionH relativeFrom="margin">
              <wp:posOffset>724535</wp:posOffset>
            </wp:positionH>
            <wp:positionV relativeFrom="paragraph">
              <wp:posOffset>504825</wp:posOffset>
            </wp:positionV>
            <wp:extent cx="5241290" cy="2792730"/>
            <wp:effectExtent l="0" t="0" r="0" b="7620"/>
            <wp:wrapTopAndBottom/>
            <wp:docPr id="131779436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7794368" name="Picture 1"/>
                    <pic:cNvPicPr/>
                  </pic:nvPicPr>
                  <pic:blipFill>
                    <a:blip r:embed="rId41">
                      <a:extLst>
                        <a:ext uri="{28A0092B-C50C-407E-A947-70E740481C1C}">
                          <a14:useLocalDpi xmlns:a14="http://schemas.microsoft.com/office/drawing/2010/main" val="0"/>
                        </a:ext>
                      </a:extLst>
                    </a:blip>
                    <a:stretch>
                      <a:fillRect/>
                    </a:stretch>
                  </pic:blipFill>
                  <pic:spPr>
                    <a:xfrm>
                      <a:off x="0" y="0"/>
                      <a:ext cx="5241290" cy="2792730"/>
                    </a:xfrm>
                    <a:prstGeom prst="rect">
                      <a:avLst/>
                    </a:prstGeom>
                  </pic:spPr>
                </pic:pic>
              </a:graphicData>
            </a:graphic>
            <wp14:sizeRelH relativeFrom="margin">
              <wp14:pctWidth>0</wp14:pctWidth>
            </wp14:sizeRelH>
            <wp14:sizeRelV relativeFrom="margin">
              <wp14:pctHeight>0</wp14:pctHeight>
            </wp14:sizeRelV>
          </wp:anchor>
        </w:drawing>
      </w:r>
      <w:r w:rsidR="00433286" w:rsidRPr="00B77ADD">
        <w:rPr>
          <w:b/>
          <w:bCs/>
          <w:noProof/>
        </w:rPr>
        <w:drawing>
          <wp:anchor distT="0" distB="0" distL="114300" distR="114300" simplePos="0" relativeHeight="251657229" behindDoc="0" locked="0" layoutInCell="1" allowOverlap="1" wp14:anchorId="339AC3A0" wp14:editId="29DA5B64">
            <wp:simplePos x="0" y="0"/>
            <wp:positionH relativeFrom="margin">
              <wp:posOffset>573865</wp:posOffset>
            </wp:positionH>
            <wp:positionV relativeFrom="paragraph">
              <wp:posOffset>3404148</wp:posOffset>
            </wp:positionV>
            <wp:extent cx="5342890" cy="2901950"/>
            <wp:effectExtent l="0" t="0" r="0" b="0"/>
            <wp:wrapTopAndBottom/>
            <wp:docPr id="643231222" name="Picture 1" descr="A graph with different colored bar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3231222" name="Picture 1" descr="A graph with different colored bars&#10;&#10;Description automatically generated with medium confidence"/>
                    <pic:cNvPicPr/>
                  </pic:nvPicPr>
                  <pic:blipFill>
                    <a:blip r:embed="rId42">
                      <a:extLst>
                        <a:ext uri="{28A0092B-C50C-407E-A947-70E740481C1C}">
                          <a14:useLocalDpi xmlns:a14="http://schemas.microsoft.com/office/drawing/2010/main" val="0"/>
                        </a:ext>
                      </a:extLst>
                    </a:blip>
                    <a:stretch>
                      <a:fillRect/>
                    </a:stretch>
                  </pic:blipFill>
                  <pic:spPr>
                    <a:xfrm>
                      <a:off x="0" y="0"/>
                      <a:ext cx="5342890" cy="2901950"/>
                    </a:xfrm>
                    <a:prstGeom prst="rect">
                      <a:avLst/>
                    </a:prstGeom>
                  </pic:spPr>
                </pic:pic>
              </a:graphicData>
            </a:graphic>
            <wp14:sizeRelH relativeFrom="margin">
              <wp14:pctWidth>0</wp14:pctWidth>
            </wp14:sizeRelH>
            <wp14:sizeRelV relativeFrom="margin">
              <wp14:pctHeight>0</wp14:pctHeight>
            </wp14:sizeRelV>
          </wp:anchor>
        </w:drawing>
      </w:r>
      <w:r w:rsidR="00BF43D4" w:rsidRPr="00B77ADD">
        <w:rPr>
          <w:b/>
          <w:bCs/>
        </w:rPr>
        <w:t xml:space="preserve">Figure </w:t>
      </w:r>
      <w:r w:rsidR="00B77ADD" w:rsidRPr="00B77ADD">
        <w:rPr>
          <w:b/>
          <w:bCs/>
        </w:rPr>
        <w:t>3</w:t>
      </w:r>
      <w:bookmarkEnd w:id="7"/>
      <w:r w:rsidR="00B77ADD" w:rsidRPr="00B77ADD">
        <w:rPr>
          <w:b/>
          <w:bCs/>
        </w:rPr>
        <w:t>:</w:t>
      </w:r>
      <w:r w:rsidR="00B77ADD">
        <w:t xml:space="preserve"> </w:t>
      </w:r>
      <w:r w:rsidR="00BF43D4" w:rsidRPr="001A5EBC">
        <w:t xml:space="preserve">Funding </w:t>
      </w:r>
      <w:r w:rsidR="00B77ADD">
        <w:t>M</w:t>
      </w:r>
      <w:r w:rsidR="00BF43D4" w:rsidRPr="001A5EBC">
        <w:t xml:space="preserve">ix </w:t>
      </w:r>
      <w:r w:rsidR="00B77ADD">
        <w:t>T</w:t>
      </w:r>
      <w:r w:rsidR="000D31E5" w:rsidRPr="001A5EBC">
        <w:t>ransport</w:t>
      </w:r>
      <w:r w:rsidR="00BF43D4" w:rsidRPr="001A5EBC">
        <w:t xml:space="preserve"> </w:t>
      </w:r>
      <w:r w:rsidR="00B77ADD">
        <w:t>I</w:t>
      </w:r>
      <w:r w:rsidR="00BF43D4" w:rsidRPr="001A5EBC">
        <w:t>nfrastructure</w:t>
      </w:r>
      <w:r w:rsidR="00F80E74" w:rsidRPr="001A5EBC">
        <w:t xml:space="preserve"> </w:t>
      </w:r>
      <w:r w:rsidR="000D31E5" w:rsidRPr="001A5EBC">
        <w:t xml:space="preserve">in the UK </w:t>
      </w:r>
      <w:r w:rsidR="00F80E74" w:rsidRPr="001A5EBC">
        <w:t xml:space="preserve">according to </w:t>
      </w:r>
      <w:r w:rsidR="003E5DE4" w:rsidRPr="001A5EBC">
        <w:t xml:space="preserve">House of </w:t>
      </w:r>
      <w:r w:rsidR="00B77ADD">
        <w:t>C</w:t>
      </w:r>
      <w:r w:rsidR="003E5DE4" w:rsidRPr="001A5EBC">
        <w:t xml:space="preserve">ommons (above) and </w:t>
      </w:r>
      <w:r w:rsidR="0015484D" w:rsidRPr="001A5EBC">
        <w:t xml:space="preserve">Institute for Government </w:t>
      </w:r>
      <w:r w:rsidR="00A50E45" w:rsidRPr="001A5EBC">
        <w:t>(below)</w:t>
      </w:r>
    </w:p>
    <w:p w14:paraId="67F95AF2" w14:textId="41F143A9" w:rsidR="00155C68" w:rsidRPr="001A5EBC" w:rsidRDefault="00155C68" w:rsidP="00155C68">
      <w:pPr>
        <w:pStyle w:val="Heading2"/>
      </w:pPr>
      <w:r w:rsidRPr="001A5EBC">
        <w:lastRenderedPageBreak/>
        <w:t xml:space="preserve">Key </w:t>
      </w:r>
      <w:r w:rsidR="00B77ADD">
        <w:t>T</w:t>
      </w:r>
      <w:r w:rsidRPr="001A5EBC">
        <w:t>akeaways</w:t>
      </w:r>
    </w:p>
    <w:p w14:paraId="72463212" w14:textId="0961E271" w:rsidR="00FD6118" w:rsidRPr="001A5EBC" w:rsidRDefault="00836531" w:rsidP="004E09AB">
      <w:pPr>
        <w:pStyle w:val="BodyText"/>
      </w:pPr>
      <w:r w:rsidRPr="001A5EBC">
        <w:t>The</w:t>
      </w:r>
      <w:r w:rsidR="00D55A7A" w:rsidRPr="001A5EBC">
        <w:t xml:space="preserve"> Sixth Carbon </w:t>
      </w:r>
      <w:r w:rsidR="00D55A7A" w:rsidRPr="00677F00">
        <w:t>Budget</w:t>
      </w:r>
      <w:r w:rsidRPr="00677F00">
        <w:t xml:space="preserve"> from the Climate Change Committee</w:t>
      </w:r>
      <w:r w:rsidR="00B77ADD" w:rsidRPr="00677F00">
        <w:t xml:space="preserve"> (2020)</w:t>
      </w:r>
      <w:r w:rsidRPr="00677F00">
        <w:t xml:space="preserve"> indicates that</w:t>
      </w:r>
      <w:r w:rsidR="00D55A7A" w:rsidRPr="00677F00">
        <w:t xml:space="preserve">, </w:t>
      </w:r>
      <w:r w:rsidR="004C0448" w:rsidRPr="00677F00">
        <w:t>on average</w:t>
      </w:r>
      <w:r w:rsidRPr="00677F00">
        <w:t>,</w:t>
      </w:r>
      <w:r w:rsidR="004C0448" w:rsidRPr="00677F00">
        <w:t xml:space="preserve"> 15% of the investment</w:t>
      </w:r>
      <w:r w:rsidR="00D55A7A" w:rsidRPr="00677F00">
        <w:t xml:space="preserve"> </w:t>
      </w:r>
      <w:r w:rsidR="007C58C7" w:rsidRPr="00677F00">
        <w:t xml:space="preserve">in the transport sector will be </w:t>
      </w:r>
      <w:r w:rsidRPr="00677F00">
        <w:t>dedicated to the construction</w:t>
      </w:r>
      <w:r w:rsidR="007C58C7" w:rsidRPr="00677F00">
        <w:t xml:space="preserve"> and </w:t>
      </w:r>
      <w:r w:rsidRPr="00677F00">
        <w:t>enhancement of essential</w:t>
      </w:r>
      <w:r w:rsidR="007C58C7" w:rsidRPr="00677F00">
        <w:t xml:space="preserve"> infrastructure</w:t>
      </w:r>
      <w:r w:rsidRPr="00677F00">
        <w:t>. The</w:t>
      </w:r>
      <w:r w:rsidR="007C58C7" w:rsidRPr="00677F00">
        <w:t xml:space="preserve"> remaining </w:t>
      </w:r>
      <w:r w:rsidR="00BF2378" w:rsidRPr="00677F00">
        <w:t xml:space="preserve">75% will </w:t>
      </w:r>
      <w:r w:rsidR="005E33F8" w:rsidRPr="00677F00">
        <w:t xml:space="preserve">be </w:t>
      </w:r>
      <w:r w:rsidRPr="00677F00">
        <w:t>directed towards efforts</w:t>
      </w:r>
      <w:r w:rsidR="005E33F8" w:rsidRPr="00677F00">
        <w:t xml:space="preserve"> to decarbonise </w:t>
      </w:r>
      <w:r w:rsidRPr="00677F00">
        <w:t xml:space="preserve">various modes of transport, including </w:t>
      </w:r>
      <w:r w:rsidR="005E0E4B" w:rsidRPr="00677F00">
        <w:t>trains, buses and</w:t>
      </w:r>
      <w:r w:rsidR="005E33F8" w:rsidRPr="00677F00">
        <w:t xml:space="preserve"> aviation </w:t>
      </w:r>
      <w:r w:rsidR="005C5711" w:rsidRPr="00677F00">
        <w:t>(Climate Change Committee, 2020)</w:t>
      </w:r>
      <w:r w:rsidR="005E33F8" w:rsidRPr="00677F00">
        <w:t>.</w:t>
      </w:r>
      <w:r w:rsidR="00D55A7A" w:rsidRPr="00677F00">
        <w:t xml:space="preserve"> </w:t>
      </w:r>
      <w:r w:rsidRPr="00677F00">
        <w:t xml:space="preserve">After reviewing </w:t>
      </w:r>
      <w:r w:rsidR="00DB1D8E" w:rsidRPr="00677F00">
        <w:t>the</w:t>
      </w:r>
      <w:r w:rsidRPr="00677F00">
        <w:t xml:space="preserve"> </w:t>
      </w:r>
      <w:r w:rsidR="009D3379" w:rsidRPr="00677F00">
        <w:t xml:space="preserve">evidence, we </w:t>
      </w:r>
      <w:r w:rsidRPr="00677F00">
        <w:t>have determined</w:t>
      </w:r>
      <w:r w:rsidRPr="001A5EBC">
        <w:t xml:space="preserve"> that</w:t>
      </w:r>
      <w:r w:rsidR="009D3379" w:rsidRPr="001A5EBC">
        <w:t xml:space="preserve"> an accurate </w:t>
      </w:r>
      <w:r w:rsidRPr="001A5EBC">
        <w:t xml:space="preserve">split of </w:t>
      </w:r>
      <w:r w:rsidR="009D3379" w:rsidRPr="001A5EBC">
        <w:t>public</w:t>
      </w:r>
      <w:r w:rsidR="00641928" w:rsidRPr="001A5EBC">
        <w:t>-private</w:t>
      </w:r>
      <w:r w:rsidR="009D3379" w:rsidRPr="001A5EBC">
        <w:t xml:space="preserve"> investment </w:t>
      </w:r>
      <w:r w:rsidRPr="001A5EBC">
        <w:t xml:space="preserve">in </w:t>
      </w:r>
      <w:r w:rsidR="009D3379" w:rsidRPr="001A5EBC">
        <w:t xml:space="preserve">the </w:t>
      </w:r>
      <w:r w:rsidR="001F3A86" w:rsidRPr="001A5EBC">
        <w:t>transport</w:t>
      </w:r>
      <w:r w:rsidR="00640B80" w:rsidRPr="001A5EBC">
        <w:t xml:space="preserve"> sector </w:t>
      </w:r>
      <w:r w:rsidRPr="001A5EBC">
        <w:t>can</w:t>
      </w:r>
      <w:r w:rsidR="00640B80" w:rsidRPr="001A5EBC">
        <w:t xml:space="preserve"> be </w:t>
      </w:r>
      <w:r w:rsidR="00404E2F" w:rsidRPr="001A5EBC">
        <w:t>inferred</w:t>
      </w:r>
      <w:r w:rsidRPr="001A5EBC">
        <w:t xml:space="preserve"> by averaging </w:t>
      </w:r>
      <w:r w:rsidR="00D20B24" w:rsidRPr="001A5EBC">
        <w:t xml:space="preserve">the reviewed </w:t>
      </w:r>
      <w:r w:rsidR="005E0E4B" w:rsidRPr="001A5EBC">
        <w:t>public-private investment splits</w:t>
      </w:r>
      <w:r w:rsidR="00B77ADD">
        <w:t xml:space="preserve">. </w:t>
      </w:r>
      <w:r w:rsidRPr="001A5EBC">
        <w:t>Th</w:t>
      </w:r>
      <w:r w:rsidR="00812D4F" w:rsidRPr="001A5EBC">
        <w:t>e</w:t>
      </w:r>
      <w:r w:rsidRPr="001A5EBC">
        <w:t xml:space="preserve"> average </w:t>
      </w:r>
      <w:r w:rsidR="00812D4F" w:rsidRPr="001A5EBC">
        <w:t>is then</w:t>
      </w:r>
      <w:r w:rsidR="00F05E5E" w:rsidRPr="001A5EBC">
        <w:t xml:space="preserve"> </w:t>
      </w:r>
      <w:r w:rsidR="00D55A7A" w:rsidRPr="001A5EBC">
        <w:t xml:space="preserve">weighted </w:t>
      </w:r>
      <w:r w:rsidRPr="001A5EBC">
        <w:t xml:space="preserve">according to </w:t>
      </w:r>
      <w:r w:rsidR="00062404" w:rsidRPr="001A5EBC">
        <w:t xml:space="preserve">the volume of investments </w:t>
      </w:r>
      <w:r w:rsidR="006C7C85" w:rsidRPr="001A5EBC">
        <w:t>needed</w:t>
      </w:r>
      <w:r w:rsidRPr="001A5EBC">
        <w:t xml:space="preserve"> for </w:t>
      </w:r>
      <w:r w:rsidR="005B0B1D" w:rsidRPr="001A5EBC">
        <w:t>infrastructure</w:t>
      </w:r>
      <w:r w:rsidR="00022007" w:rsidRPr="001A5EBC">
        <w:t xml:space="preserve"> and non-infrastructure </w:t>
      </w:r>
      <w:r w:rsidR="00EB19B4" w:rsidRPr="001A5EBC">
        <w:t>investments</w:t>
      </w:r>
      <w:r w:rsidR="005B0B1D" w:rsidRPr="001A5EBC">
        <w:t xml:space="preserve">. </w:t>
      </w:r>
    </w:p>
    <w:p w14:paraId="755DDA37" w14:textId="0A65E7F9" w:rsidR="00E62517" w:rsidRPr="001A5EBC" w:rsidRDefault="00E62517" w:rsidP="004E09AB">
      <w:pPr>
        <w:pStyle w:val="BodyText"/>
      </w:pPr>
      <w:r w:rsidRPr="001A5EBC">
        <w:t>Investment in transport infrastructure has been predominantly driven by p</w:t>
      </w:r>
      <w:r w:rsidR="00B826A3" w:rsidRPr="001A5EBC">
        <w:t>ublic</w:t>
      </w:r>
      <w:r w:rsidRPr="001A5EBC">
        <w:t xml:space="preserve"> </w:t>
      </w:r>
      <w:r w:rsidR="00B826A3" w:rsidRPr="001A5EBC">
        <w:t>finances</w:t>
      </w:r>
      <w:r w:rsidRPr="001A5EBC">
        <w:t xml:space="preserve">, accounting for </w:t>
      </w:r>
      <w:r w:rsidR="0007168F" w:rsidRPr="001A5EBC">
        <w:t>77</w:t>
      </w:r>
      <w:r w:rsidR="0005314C" w:rsidRPr="001A5EBC">
        <w:t>%</w:t>
      </w:r>
      <w:r w:rsidRPr="001A5EBC">
        <w:t xml:space="preserve"> of the total</w:t>
      </w:r>
      <w:r w:rsidR="00B77ADD">
        <w:t xml:space="preserve"> </w:t>
      </w:r>
      <w:r w:rsidRPr="001A5EBC">
        <w:t>with the remaining 2</w:t>
      </w:r>
      <w:r w:rsidR="0007168F" w:rsidRPr="001A5EBC">
        <w:t>3</w:t>
      </w:r>
      <w:r w:rsidRPr="001A5EBC">
        <w:t xml:space="preserve">% funded by </w:t>
      </w:r>
      <w:r w:rsidR="00B826A3" w:rsidRPr="001A5EBC">
        <w:t>private capital</w:t>
      </w:r>
      <w:r w:rsidRPr="001A5EBC">
        <w:t>, according to the latest data from the UK (House of Commons, 2023). In addition, the financial requirements for the adoption of electric vehicles and fuel switching are projected to be covered primarily by private capital (86%), with public finances contributing the remaining 14%</w:t>
      </w:r>
      <w:r w:rsidR="00B77ADD">
        <w:t xml:space="preserve"> </w:t>
      </w:r>
      <w:r w:rsidRPr="001A5EBC">
        <w:t xml:space="preserve">(UNFCC, 2022). Consequently, when considering the transport </w:t>
      </w:r>
      <w:proofErr w:type="gramStart"/>
      <w:r w:rsidRPr="001A5EBC">
        <w:t>sector as a whole, the</w:t>
      </w:r>
      <w:proofErr w:type="gramEnd"/>
      <w:r w:rsidRPr="001A5EBC">
        <w:t xml:space="preserve"> </w:t>
      </w:r>
      <w:r w:rsidR="00CD7030" w:rsidRPr="001A5EBC">
        <w:t>sources of investments are estimated to be</w:t>
      </w:r>
      <w:r w:rsidRPr="001A5EBC">
        <w:t xml:space="preserve"> </w:t>
      </w:r>
      <w:r w:rsidR="00544749" w:rsidRPr="001A5EBC">
        <w:t>3</w:t>
      </w:r>
      <w:r w:rsidRPr="001A5EBC">
        <w:t>0% p</w:t>
      </w:r>
      <w:r w:rsidR="00544749" w:rsidRPr="001A5EBC">
        <w:t>ublic</w:t>
      </w:r>
      <w:r w:rsidRPr="001A5EBC">
        <w:t xml:space="preserve"> and </w:t>
      </w:r>
      <w:r w:rsidR="00544749" w:rsidRPr="001A5EBC">
        <w:t>7</w:t>
      </w:r>
      <w:r w:rsidRPr="001A5EBC">
        <w:t>0% p</w:t>
      </w:r>
      <w:r w:rsidR="005E0E4B" w:rsidRPr="001A5EBC">
        <w:t>rivate.</w:t>
      </w:r>
    </w:p>
    <w:p w14:paraId="5CA20DD1" w14:textId="351F7EC1" w:rsidR="007729D1" w:rsidRPr="001A5EBC" w:rsidRDefault="002D1B93" w:rsidP="004E09AB">
      <w:pPr>
        <w:pStyle w:val="BodyText"/>
        <w:rPr>
          <w:b/>
          <w:bCs/>
        </w:rPr>
      </w:pPr>
      <w:r w:rsidRPr="001A5EBC">
        <w:rPr>
          <w:b/>
          <w:bCs/>
        </w:rPr>
        <w:t xml:space="preserve">We assume that </w:t>
      </w:r>
      <w:r w:rsidR="007729D1" w:rsidRPr="001A5EBC">
        <w:rPr>
          <w:b/>
          <w:bCs/>
        </w:rPr>
        <w:t>£</w:t>
      </w:r>
      <w:r w:rsidR="00861EFB" w:rsidRPr="001A5EBC">
        <w:rPr>
          <w:b/>
          <w:bCs/>
        </w:rPr>
        <w:t>4</w:t>
      </w:r>
      <w:r w:rsidR="007729D1" w:rsidRPr="001A5EBC">
        <w:rPr>
          <w:b/>
          <w:bCs/>
        </w:rPr>
        <w:t xml:space="preserve">bn pa </w:t>
      </w:r>
      <w:r w:rsidRPr="001A5EBC">
        <w:rPr>
          <w:b/>
          <w:bCs/>
        </w:rPr>
        <w:t>investments in the transport sector are allocated to</w:t>
      </w:r>
      <w:r w:rsidR="007729D1" w:rsidRPr="001A5EBC">
        <w:rPr>
          <w:b/>
          <w:bCs/>
        </w:rPr>
        <w:t xml:space="preserve"> the North</w:t>
      </w:r>
      <w:r w:rsidRPr="001A5EBC">
        <w:rPr>
          <w:b/>
          <w:bCs/>
        </w:rPr>
        <w:t xml:space="preserve"> of England</w:t>
      </w:r>
      <w:r w:rsidR="007729D1" w:rsidRPr="001A5EBC">
        <w:rPr>
          <w:b/>
          <w:bCs/>
        </w:rPr>
        <w:t xml:space="preserve">, of which </w:t>
      </w:r>
      <w:r w:rsidR="00544749" w:rsidRPr="001A5EBC">
        <w:rPr>
          <w:b/>
          <w:bCs/>
        </w:rPr>
        <w:t>£1.2bn is public investments (primarily in upgrading</w:t>
      </w:r>
      <w:r w:rsidR="002016AF">
        <w:rPr>
          <w:b/>
          <w:bCs/>
        </w:rPr>
        <w:t xml:space="preserve"> public and active</w:t>
      </w:r>
      <w:r w:rsidR="00544749" w:rsidRPr="001A5EBC">
        <w:rPr>
          <w:b/>
          <w:bCs/>
        </w:rPr>
        <w:t xml:space="preserve"> transport infrastructure at the required scale and pace) and </w:t>
      </w:r>
      <w:r w:rsidR="007729D1" w:rsidRPr="001A5EBC">
        <w:rPr>
          <w:b/>
          <w:bCs/>
        </w:rPr>
        <w:t>£2</w:t>
      </w:r>
      <w:r w:rsidR="000E677C" w:rsidRPr="001A5EBC">
        <w:rPr>
          <w:b/>
          <w:bCs/>
        </w:rPr>
        <w:t>.8</w:t>
      </w:r>
      <w:r w:rsidR="007729D1" w:rsidRPr="001A5EBC">
        <w:rPr>
          <w:b/>
          <w:bCs/>
        </w:rPr>
        <w:t>bn is private investment.</w:t>
      </w:r>
    </w:p>
    <w:p w14:paraId="24860642" w14:textId="09C694FE" w:rsidR="00155C68" w:rsidRPr="001A5EBC" w:rsidRDefault="00155C68" w:rsidP="001E1429">
      <w:pPr>
        <w:pStyle w:val="Heading1"/>
        <w:numPr>
          <w:ilvl w:val="0"/>
          <w:numId w:val="47"/>
        </w:numPr>
      </w:pPr>
      <w:bookmarkStart w:id="8" w:name="_Toc169011865"/>
      <w:r w:rsidRPr="001A5EBC">
        <w:lastRenderedPageBreak/>
        <w:t>Industry</w:t>
      </w:r>
      <w:bookmarkEnd w:id="8"/>
    </w:p>
    <w:p w14:paraId="36DAF07C" w14:textId="06D12917" w:rsidR="00155C68" w:rsidRPr="001A5EBC" w:rsidRDefault="00155C68" w:rsidP="00155C68">
      <w:pPr>
        <w:pStyle w:val="Heading2"/>
      </w:pPr>
      <w:r w:rsidRPr="001A5EBC">
        <w:t xml:space="preserve">Evidence </w:t>
      </w:r>
      <w:r w:rsidR="00B77ADD">
        <w:t>R</w:t>
      </w:r>
      <w:r w:rsidRPr="001A5EBC">
        <w:t>eviewed</w:t>
      </w:r>
    </w:p>
    <w:p w14:paraId="428DE926" w14:textId="5B327CCC" w:rsidR="000163D1" w:rsidRPr="001A5EBC" w:rsidRDefault="000163D1" w:rsidP="000163D1">
      <w:pPr>
        <w:pStyle w:val="BodyText"/>
        <w:jc w:val="both"/>
        <w:rPr>
          <w:rFonts w:cstheme="minorHAnsi"/>
          <w:color w:val="242424"/>
          <w:shd w:val="clear" w:color="auto" w:fill="FFFFFF"/>
        </w:rPr>
      </w:pPr>
      <w:r w:rsidRPr="001A5EBC">
        <w:t xml:space="preserve">In the UK, industrial </w:t>
      </w:r>
      <w:r w:rsidRPr="001A5EBC">
        <w:rPr>
          <w:rFonts w:cs="Arial"/>
          <w:color w:val="0B0C0C"/>
          <w:shd w:val="clear" w:color="auto" w:fill="FFFFFF"/>
        </w:rPr>
        <w:t>sectors produce 16% (72 Mt CO2e) of UK emissions</w:t>
      </w:r>
      <w:r w:rsidR="002C23E3">
        <w:rPr>
          <w:rFonts w:cs="Arial"/>
          <w:color w:val="0B0C0C"/>
          <w:shd w:val="clear" w:color="auto" w:fill="FFFFFF"/>
        </w:rPr>
        <w:t xml:space="preserve"> </w:t>
      </w:r>
      <w:r w:rsidRPr="001A5EBC">
        <w:rPr>
          <w:rFonts w:cs="Arial"/>
          <w:color w:val="0B0C0C"/>
          <w:shd w:val="clear" w:color="auto" w:fill="FFFFFF"/>
        </w:rPr>
        <w:t xml:space="preserve">and around half of these emissions are </w:t>
      </w:r>
      <w:r w:rsidRPr="00B039EB">
        <w:rPr>
          <w:rFonts w:cs="Arial"/>
          <w:shd w:val="clear" w:color="auto" w:fill="FFFFFF"/>
        </w:rPr>
        <w:t>concentrated in industrial clusters. The Industrial Decarbonisation Strategy</w:t>
      </w:r>
      <w:r w:rsidR="00B039EB" w:rsidRPr="00B039EB">
        <w:rPr>
          <w:rFonts w:cs="Arial"/>
          <w:shd w:val="clear" w:color="auto" w:fill="FFFFFF"/>
        </w:rPr>
        <w:t xml:space="preserve"> (</w:t>
      </w:r>
      <w:r w:rsidR="00B039EB" w:rsidRPr="00B039EB">
        <w:t>BEIS &amp; DESNZ, 2021)</w:t>
      </w:r>
      <w:r w:rsidRPr="00B039EB">
        <w:rPr>
          <w:rFonts w:cs="Arial"/>
          <w:shd w:val="clear" w:color="auto" w:fill="FFFFFF"/>
        </w:rPr>
        <w:t xml:space="preserve"> sets out how the manufacturing industry should seek to </w:t>
      </w:r>
      <w:r w:rsidRPr="00B039EB">
        <w:rPr>
          <w:rFonts w:cs="Arial"/>
        </w:rPr>
        <w:t>shift away from fossil fuel sources of energy,</w:t>
      </w:r>
      <w:r w:rsidRPr="00B039EB">
        <w:rPr>
          <w:rFonts w:cs="Arial"/>
          <w:shd w:val="clear" w:color="auto" w:fill="FFFFFF"/>
        </w:rPr>
        <w:t xml:space="preserve"> </w:t>
      </w:r>
      <w:r w:rsidRPr="00B039EB">
        <w:rPr>
          <w:rFonts w:cs="Arial"/>
        </w:rPr>
        <w:t>adopt</w:t>
      </w:r>
      <w:r w:rsidRPr="00B039EB">
        <w:rPr>
          <w:rFonts w:cs="Arial"/>
          <w:shd w:val="clear" w:color="auto" w:fill="FFFFFF"/>
        </w:rPr>
        <w:t xml:space="preserve"> carbon capture </w:t>
      </w:r>
      <w:r w:rsidRPr="00B039EB">
        <w:rPr>
          <w:rFonts w:cs="Arial"/>
        </w:rPr>
        <w:t xml:space="preserve">and storage </w:t>
      </w:r>
      <w:r w:rsidRPr="00B039EB">
        <w:rPr>
          <w:rFonts w:cs="Arial"/>
          <w:shd w:val="clear" w:color="auto" w:fill="FFFFFF"/>
        </w:rPr>
        <w:t>technologies</w:t>
      </w:r>
      <w:r w:rsidR="00B039EB">
        <w:rPr>
          <w:rFonts w:cs="Arial"/>
          <w:shd w:val="clear" w:color="auto" w:fill="FFFFFF"/>
        </w:rPr>
        <w:t xml:space="preserve">, </w:t>
      </w:r>
      <w:r w:rsidRPr="00B039EB">
        <w:rPr>
          <w:rFonts w:cs="Arial"/>
          <w:shd w:val="clear" w:color="auto" w:fill="FFFFFF"/>
        </w:rPr>
        <w:t>and make efficient use of energy and materials, including how materials are used, repaired and recycled</w:t>
      </w:r>
      <w:r w:rsidRPr="00B039EB">
        <w:rPr>
          <w:rFonts w:cs="Arial"/>
        </w:rPr>
        <w:t xml:space="preserve">. However, </w:t>
      </w:r>
      <w:r w:rsidRPr="00B039EB">
        <w:rPr>
          <w:rFonts w:eastAsia="Arial" w:cs="Arial"/>
        </w:rPr>
        <w:t>the adoption of these abatement measures represents an economic burden for firms. A report by Frontier Economics for E3G and WWF suggest</w:t>
      </w:r>
      <w:r w:rsidR="00B039EB">
        <w:rPr>
          <w:rFonts w:eastAsia="Arial" w:cs="Arial"/>
        </w:rPr>
        <w:t>s</w:t>
      </w:r>
      <w:r w:rsidRPr="00B039EB">
        <w:rPr>
          <w:rFonts w:eastAsia="Arial" w:cs="Arial"/>
        </w:rPr>
        <w:t xml:space="preserve"> that whil</w:t>
      </w:r>
      <w:r w:rsidR="00B039EB">
        <w:rPr>
          <w:rFonts w:eastAsia="Arial" w:cs="Arial"/>
        </w:rPr>
        <w:t>st</w:t>
      </w:r>
      <w:r w:rsidRPr="00B039EB">
        <w:rPr>
          <w:rFonts w:eastAsia="Arial" w:cs="Arial"/>
        </w:rPr>
        <w:t xml:space="preserve"> the government could help fund abatement measures, the manufacturing and construction sectors</w:t>
      </w:r>
      <w:r w:rsidR="00B039EB">
        <w:rPr>
          <w:rFonts w:eastAsia="Arial" w:cs="Arial"/>
        </w:rPr>
        <w:t xml:space="preserve">, </w:t>
      </w:r>
      <w:r w:rsidRPr="00B039EB">
        <w:rPr>
          <w:rFonts w:eastAsia="Arial" w:cs="Arial"/>
        </w:rPr>
        <w:t>among others</w:t>
      </w:r>
      <w:r w:rsidR="00B039EB">
        <w:rPr>
          <w:rFonts w:eastAsia="Arial" w:cs="Arial"/>
        </w:rPr>
        <w:t>,</w:t>
      </w:r>
      <w:r w:rsidRPr="00B039EB">
        <w:rPr>
          <w:rFonts w:eastAsia="Arial" w:cs="Arial"/>
        </w:rPr>
        <w:t xml:space="preserve"> would require most of its decarboni</w:t>
      </w:r>
      <w:r w:rsidR="001A5EBC" w:rsidRPr="00B039EB">
        <w:rPr>
          <w:rFonts w:eastAsia="Arial" w:cs="Arial"/>
        </w:rPr>
        <w:t>s</w:t>
      </w:r>
      <w:r w:rsidRPr="00B039EB">
        <w:rPr>
          <w:rFonts w:eastAsia="Arial" w:cs="Arial"/>
        </w:rPr>
        <w:t xml:space="preserve">ation investment to come from the private sector (Frontier Economics, 2022). </w:t>
      </w:r>
      <w:proofErr w:type="gramStart"/>
      <w:r w:rsidRPr="00B039EB">
        <w:rPr>
          <w:rFonts w:eastAsia="Arial" w:cs="Arial"/>
        </w:rPr>
        <w:t>S</w:t>
      </w:r>
      <w:r w:rsidRPr="00B039EB">
        <w:rPr>
          <w:rFonts w:cstheme="minorHAnsi"/>
          <w:shd w:val="clear" w:color="auto" w:fill="FFFFFF"/>
        </w:rPr>
        <w:t>pecifically</w:t>
      </w:r>
      <w:proofErr w:type="gramEnd"/>
      <w:r w:rsidRPr="00B039EB">
        <w:rPr>
          <w:rFonts w:cstheme="minorHAnsi"/>
          <w:shd w:val="clear" w:color="auto" w:fill="FFFFFF"/>
        </w:rPr>
        <w:t xml:space="preserve"> </w:t>
      </w:r>
      <w:r w:rsidR="00B039EB">
        <w:rPr>
          <w:rFonts w:cstheme="minorHAnsi"/>
          <w:shd w:val="clear" w:color="auto" w:fill="FFFFFF"/>
        </w:rPr>
        <w:t xml:space="preserve">regarding </w:t>
      </w:r>
      <w:r w:rsidRPr="00B039EB">
        <w:rPr>
          <w:rFonts w:cstheme="minorHAnsi"/>
          <w:shd w:val="clear" w:color="auto" w:fill="FFFFFF"/>
        </w:rPr>
        <w:t xml:space="preserve">Manufacturing and Construction industries, the report identified that abatement measures like fuel switching to hydrogen, electrification, and the adoption of carbon capture and storage would require both capital and revenue support for investors, with the expectation that the majority of funding will </w:t>
      </w:r>
      <w:r w:rsidR="00B039EB">
        <w:rPr>
          <w:rFonts w:cstheme="minorHAnsi"/>
          <w:shd w:val="clear" w:color="auto" w:fill="FFFFFF"/>
        </w:rPr>
        <w:t xml:space="preserve">come </w:t>
      </w:r>
      <w:r w:rsidRPr="00B039EB">
        <w:rPr>
          <w:rFonts w:cstheme="minorHAnsi"/>
          <w:shd w:val="clear" w:color="auto" w:fill="FFFFFF"/>
        </w:rPr>
        <w:t xml:space="preserve">from private sources. </w:t>
      </w:r>
    </w:p>
    <w:p w14:paraId="3A0B236C" w14:textId="3F3A8EAA" w:rsidR="000163D1" w:rsidRPr="001A5EBC" w:rsidRDefault="000163D1" w:rsidP="000163D1">
      <w:pPr>
        <w:pStyle w:val="BodyText"/>
        <w:jc w:val="both"/>
      </w:pPr>
      <w:r w:rsidRPr="001A5EBC">
        <w:t xml:space="preserve">However, our main evidence comes from </w:t>
      </w:r>
      <w:r w:rsidRPr="001A5EBC">
        <w:rPr>
          <w:i/>
          <w:iCs/>
        </w:rPr>
        <w:t>The Race to Zero</w:t>
      </w:r>
      <w:r w:rsidR="004E67B2">
        <w:rPr>
          <w:i/>
          <w:iCs/>
        </w:rPr>
        <w:t>:</w:t>
      </w:r>
      <w:r w:rsidRPr="001A5EBC">
        <w:rPr>
          <w:i/>
          <w:iCs/>
        </w:rPr>
        <w:t xml:space="preserve"> Net Zero Financing Roadmaps</w:t>
      </w:r>
      <w:r w:rsidRPr="001A5EBC">
        <w:t xml:space="preserve"> report, as presented at the UN Climate Change Conference in 2020. In this report, the investments needed to achieve net zero globally by 2050 were set out, and the investment roles and opportunities for private and public actors to drive this transition identified</w:t>
      </w:r>
      <w:r w:rsidR="00C20F88">
        <w:t xml:space="preserve">, as shown in </w:t>
      </w:r>
      <w:r w:rsidR="00B039EB">
        <w:t>F</w:t>
      </w:r>
      <w:r w:rsidR="00C20F88">
        <w:t xml:space="preserve">igure </w:t>
      </w:r>
      <w:r w:rsidR="00B039EB">
        <w:t>4</w:t>
      </w:r>
      <w:r w:rsidRPr="001A5EBC">
        <w:t>. The report stated that for the industrial sector globally, around 30%</w:t>
      </w:r>
      <w:r w:rsidR="00B039EB">
        <w:t xml:space="preserve"> </w:t>
      </w:r>
      <w:r w:rsidRPr="001A5EBC">
        <w:t>of</w:t>
      </w:r>
      <w:r w:rsidR="00B039EB">
        <w:t xml:space="preserve"> </w:t>
      </w:r>
      <w:r w:rsidRPr="001A5EBC">
        <w:t>industry decarboni</w:t>
      </w:r>
      <w:r w:rsidR="001A5EBC" w:rsidRPr="001A5EBC">
        <w:t>s</w:t>
      </w:r>
      <w:r w:rsidRPr="001A5EBC">
        <w:t>ation investments could flow from corporations themselves, whil</w:t>
      </w:r>
      <w:r w:rsidR="00B039EB">
        <w:t>st</w:t>
      </w:r>
      <w:r w:rsidRPr="001A5EBC">
        <w:t xml:space="preserve"> government financing might support the development of immature technologies through initial co-investment to help commercialise and reduce costs through deployment (Climate Champions, 2021). Following the methodology of this report</w:t>
      </w:r>
      <w:r w:rsidR="00B039EB">
        <w:t>, i</w:t>
      </w:r>
      <w:r w:rsidRPr="001A5EBC">
        <w:t>t is</w:t>
      </w:r>
      <w:r w:rsidR="00B039EB">
        <w:t xml:space="preserve"> </w:t>
      </w:r>
      <w:r w:rsidRPr="001A5EBC">
        <w:t xml:space="preserve">estimated that the government, including expenditure and funding from development and state-owned financial institutions, would account for </w:t>
      </w:r>
      <w:r w:rsidR="007A5A9F">
        <w:t>20</w:t>
      </w:r>
      <w:r w:rsidRPr="001A5EBC">
        <w:t>% of decarbonisation investments, whil</w:t>
      </w:r>
      <w:r w:rsidR="00B039EB">
        <w:t>st</w:t>
      </w:r>
      <w:r w:rsidRPr="001A5EBC">
        <w:t xml:space="preserve"> around </w:t>
      </w:r>
      <w:r w:rsidR="007A5A9F">
        <w:t>80</w:t>
      </w:r>
      <w:r w:rsidRPr="001A5EBC">
        <w:t>% would come from the private sector</w:t>
      </w:r>
      <w:r w:rsidRPr="001A5EBC">
        <w:rPr>
          <w:rStyle w:val="FootnoteReference"/>
        </w:rPr>
        <w:footnoteReference w:id="2"/>
      </w:r>
      <w:r w:rsidRPr="001A5EBC">
        <w:t>, which includes</w:t>
      </w:r>
      <w:r w:rsidR="00B039EB">
        <w:t>:</w:t>
      </w:r>
      <w:r w:rsidRPr="001A5EBC">
        <w:t xml:space="preserve"> private equity/venture capital, corporations, infrastructure funds, </w:t>
      </w:r>
      <w:r w:rsidR="00B039EB">
        <w:t xml:space="preserve">and </w:t>
      </w:r>
      <w:r w:rsidRPr="001A5EBC">
        <w:t xml:space="preserve">commercial financial institutions as part of the private sector. </w:t>
      </w:r>
    </w:p>
    <w:p w14:paraId="39552AF2" w14:textId="77777777" w:rsidR="00B039EB" w:rsidRDefault="00B039EB" w:rsidP="000163D1">
      <w:pPr>
        <w:pStyle w:val="Caption"/>
      </w:pPr>
    </w:p>
    <w:p w14:paraId="0146143F" w14:textId="77777777" w:rsidR="00B039EB" w:rsidRDefault="00B039EB" w:rsidP="000163D1">
      <w:pPr>
        <w:pStyle w:val="Caption"/>
      </w:pPr>
    </w:p>
    <w:p w14:paraId="61CC460A" w14:textId="77777777" w:rsidR="00B039EB" w:rsidRDefault="00B039EB" w:rsidP="000163D1">
      <w:pPr>
        <w:pStyle w:val="Caption"/>
      </w:pPr>
    </w:p>
    <w:p w14:paraId="63CA3C8F" w14:textId="77777777" w:rsidR="00B039EB" w:rsidRDefault="00B039EB" w:rsidP="000163D1">
      <w:pPr>
        <w:pStyle w:val="Caption"/>
      </w:pPr>
    </w:p>
    <w:p w14:paraId="7AD06BF2" w14:textId="77777777" w:rsidR="00B039EB" w:rsidRDefault="00B039EB" w:rsidP="000163D1">
      <w:pPr>
        <w:pStyle w:val="Caption"/>
      </w:pPr>
    </w:p>
    <w:p w14:paraId="6D674B01" w14:textId="77777777" w:rsidR="00B039EB" w:rsidRDefault="00B039EB" w:rsidP="000163D1">
      <w:pPr>
        <w:pStyle w:val="Caption"/>
      </w:pPr>
    </w:p>
    <w:p w14:paraId="76C8F678" w14:textId="3844AC0A" w:rsidR="000163D1" w:rsidRPr="001A5EBC" w:rsidRDefault="000163D1" w:rsidP="0066224E">
      <w:pPr>
        <w:pStyle w:val="Caption"/>
        <w:jc w:val="center"/>
      </w:pPr>
      <w:r w:rsidRPr="00753CC4">
        <w:rPr>
          <w:b/>
          <w:bCs/>
        </w:rPr>
        <w:t xml:space="preserve">Figure </w:t>
      </w:r>
      <w:r w:rsidR="00B039EB" w:rsidRPr="00753CC4">
        <w:rPr>
          <w:b/>
          <w:bCs/>
        </w:rPr>
        <w:t>4</w:t>
      </w:r>
      <w:r w:rsidRPr="00753CC4">
        <w:rPr>
          <w:b/>
          <w:bCs/>
        </w:rPr>
        <w:t>.</w:t>
      </w:r>
      <w:r w:rsidRPr="001A5EBC">
        <w:t xml:space="preserve"> Adaptation of </w:t>
      </w:r>
      <w:r w:rsidR="00B039EB">
        <w:t>I</w:t>
      </w:r>
      <w:r w:rsidRPr="001A5EBC">
        <w:t xml:space="preserve">nvestment </w:t>
      </w:r>
      <w:r w:rsidR="00B039EB">
        <w:t>D</w:t>
      </w:r>
      <w:r w:rsidRPr="001A5EBC">
        <w:t>istributions of Race to Zero roadmaps to the UK</w:t>
      </w:r>
      <w:r w:rsidR="0066224E">
        <w:t>;</w:t>
      </w:r>
      <w:r w:rsidRPr="001A5EBC">
        <w:t xml:space="preserve"> Annual bn in USD</w:t>
      </w:r>
    </w:p>
    <w:p w14:paraId="7B7FE022" w14:textId="3A951824" w:rsidR="000163D1" w:rsidRPr="001A5EBC" w:rsidRDefault="000163D1" w:rsidP="0066224E">
      <w:pPr>
        <w:pStyle w:val="BodyText"/>
        <w:jc w:val="center"/>
      </w:pPr>
      <w:r w:rsidRPr="001A5EBC">
        <w:rPr>
          <w:noProof/>
        </w:rPr>
        <w:drawing>
          <wp:inline distT="0" distB="0" distL="0" distR="0" wp14:anchorId="04CBE58A" wp14:editId="25D76AF0">
            <wp:extent cx="5779778" cy="4356553"/>
            <wp:effectExtent l="0" t="0" r="0" b="6350"/>
            <wp:docPr id="1241447497" name="Chart 1">
              <a:extLst xmlns:a="http://schemas.openxmlformats.org/drawingml/2006/main">
                <a:ext uri="{FF2B5EF4-FFF2-40B4-BE49-F238E27FC236}">
                  <a16:creationId xmlns:a16="http://schemas.microsoft.com/office/drawing/2014/main" id="{B5B8218C-08C5-5EAC-BCA7-A4792264257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14:paraId="08488D95" w14:textId="433EEDFA" w:rsidR="00155C68" w:rsidRPr="001A5EBC" w:rsidRDefault="00155C68" w:rsidP="00155C68">
      <w:pPr>
        <w:pStyle w:val="Heading2"/>
      </w:pPr>
      <w:r w:rsidRPr="001A5EBC">
        <w:t xml:space="preserve">Key </w:t>
      </w:r>
      <w:r w:rsidR="0066224E">
        <w:t>T</w:t>
      </w:r>
      <w:r w:rsidRPr="001A5EBC">
        <w:t>akeaways</w:t>
      </w:r>
    </w:p>
    <w:p w14:paraId="10528094" w14:textId="0BBD9EEF" w:rsidR="000163D1" w:rsidRPr="001A5EBC" w:rsidRDefault="000163D1" w:rsidP="000163D1">
      <w:pPr>
        <w:pStyle w:val="BodyText"/>
        <w:jc w:val="both"/>
      </w:pPr>
      <w:r w:rsidRPr="001A5EBC">
        <w:t xml:space="preserve">By </w:t>
      </w:r>
      <w:r w:rsidRPr="00677F00">
        <w:t xml:space="preserve">considering the adaptations to the UK context of </w:t>
      </w:r>
      <w:r w:rsidRPr="00677F00">
        <w:rPr>
          <w:i/>
          <w:iCs/>
        </w:rPr>
        <w:t>The Race to Zero</w:t>
      </w:r>
      <w:r w:rsidR="004E67B2" w:rsidRPr="00677F00">
        <w:rPr>
          <w:i/>
          <w:iCs/>
        </w:rPr>
        <w:t>:</w:t>
      </w:r>
      <w:r w:rsidR="0066224E" w:rsidRPr="00677F00">
        <w:rPr>
          <w:i/>
          <w:iCs/>
        </w:rPr>
        <w:t xml:space="preserve"> </w:t>
      </w:r>
      <w:r w:rsidRPr="00677F00">
        <w:rPr>
          <w:i/>
          <w:iCs/>
        </w:rPr>
        <w:t>Net Zero Financing Roadmaps</w:t>
      </w:r>
      <w:r w:rsidR="004E67B2" w:rsidRPr="00677F00">
        <w:t xml:space="preserve"> report, </w:t>
      </w:r>
      <w:r w:rsidRPr="00677F00">
        <w:t xml:space="preserve">we consider that </w:t>
      </w:r>
      <w:r w:rsidR="00775214" w:rsidRPr="00677F00">
        <w:t>20</w:t>
      </w:r>
      <w:r w:rsidRPr="00677F00">
        <w:t>% of investments to decarbonise the industrial sector would come from the public sector, whil</w:t>
      </w:r>
      <w:r w:rsidR="0066224E" w:rsidRPr="00677F00">
        <w:t>st</w:t>
      </w:r>
      <w:r w:rsidRPr="00677F00">
        <w:t xml:space="preserve"> the remaining</w:t>
      </w:r>
      <w:r w:rsidRPr="001A5EBC">
        <w:t xml:space="preserve"> </w:t>
      </w:r>
      <w:r w:rsidR="00775214">
        <w:t>80</w:t>
      </w:r>
      <w:r w:rsidRPr="001A5EBC">
        <w:t>% would come from private investors. Although these figures are not specific to the UK, they are consistent with UK studies (Frontier Economics, 2022) which indicate that most funding would come from the private sector.</w:t>
      </w:r>
    </w:p>
    <w:p w14:paraId="481B65BD" w14:textId="1777B24A" w:rsidR="000163D1" w:rsidRPr="001A5EBC" w:rsidRDefault="00775214" w:rsidP="000163D1">
      <w:pPr>
        <w:pStyle w:val="ListBullet"/>
        <w:numPr>
          <w:ilvl w:val="0"/>
          <w:numId w:val="0"/>
        </w:numPr>
        <w:jc w:val="both"/>
      </w:pPr>
      <w:r>
        <w:rPr>
          <w:b/>
          <w:bCs/>
        </w:rPr>
        <w:t>Of the</w:t>
      </w:r>
      <w:r w:rsidR="000163D1" w:rsidRPr="001A5EBC">
        <w:rPr>
          <w:b/>
          <w:bCs/>
        </w:rPr>
        <w:t xml:space="preserve"> £4bn pa of the investments in the industry sector allocated to the North of England, </w:t>
      </w:r>
      <w:r>
        <w:rPr>
          <w:b/>
          <w:bCs/>
        </w:rPr>
        <w:t>we assume</w:t>
      </w:r>
      <w:r w:rsidR="000163D1" w:rsidRPr="001A5EBC">
        <w:rPr>
          <w:b/>
          <w:bCs/>
        </w:rPr>
        <w:t xml:space="preserve"> </w:t>
      </w:r>
      <w:r>
        <w:rPr>
          <w:b/>
          <w:bCs/>
        </w:rPr>
        <w:t>20</w:t>
      </w:r>
      <w:r w:rsidR="000163D1" w:rsidRPr="001A5EBC">
        <w:rPr>
          <w:b/>
          <w:bCs/>
        </w:rPr>
        <w:t>% (£</w:t>
      </w:r>
      <w:r>
        <w:rPr>
          <w:b/>
          <w:bCs/>
        </w:rPr>
        <w:t>0.8</w:t>
      </w:r>
      <w:r w:rsidR="000163D1" w:rsidRPr="001A5EBC">
        <w:rPr>
          <w:b/>
          <w:bCs/>
        </w:rPr>
        <w:t xml:space="preserve">bn) is public investment (primarily to funding publicly owned CCUS and hydrogen infrastructure and grants/tax incentives to accelerate fuel switching) and </w:t>
      </w:r>
      <w:r>
        <w:rPr>
          <w:b/>
          <w:bCs/>
        </w:rPr>
        <w:t>80</w:t>
      </w:r>
      <w:r w:rsidR="000163D1" w:rsidRPr="001A5EBC">
        <w:rPr>
          <w:b/>
          <w:bCs/>
        </w:rPr>
        <w:t>% (£</w:t>
      </w:r>
      <w:r>
        <w:rPr>
          <w:b/>
          <w:bCs/>
        </w:rPr>
        <w:t>3.2</w:t>
      </w:r>
      <w:r w:rsidR="000163D1" w:rsidRPr="001A5EBC">
        <w:rPr>
          <w:b/>
          <w:bCs/>
        </w:rPr>
        <w:t>bn pa) from the private sector.</w:t>
      </w:r>
    </w:p>
    <w:p w14:paraId="4C60F87A" w14:textId="77777777" w:rsidR="0078767B" w:rsidRPr="001A5EBC" w:rsidRDefault="0078767B" w:rsidP="00A9204C">
      <w:pPr>
        <w:pStyle w:val="BodyText"/>
        <w:jc w:val="both"/>
        <w:rPr>
          <w:b/>
          <w:bCs/>
        </w:rPr>
      </w:pPr>
    </w:p>
    <w:p w14:paraId="626C3A02" w14:textId="015DE2A7" w:rsidR="00155C68" w:rsidRPr="001A5EBC" w:rsidRDefault="00155C68" w:rsidP="001E1429">
      <w:pPr>
        <w:pStyle w:val="Heading1"/>
        <w:numPr>
          <w:ilvl w:val="0"/>
          <w:numId w:val="47"/>
        </w:numPr>
      </w:pPr>
      <w:bookmarkStart w:id="9" w:name="_Toc169011866"/>
      <w:r w:rsidRPr="001A5EBC">
        <w:lastRenderedPageBreak/>
        <w:t>Land</w:t>
      </w:r>
      <w:bookmarkEnd w:id="9"/>
      <w:r w:rsidR="0042172C" w:rsidRPr="001A5EBC">
        <w:t xml:space="preserve"> use</w:t>
      </w:r>
    </w:p>
    <w:p w14:paraId="57DAECA1" w14:textId="799F1451" w:rsidR="00155C68" w:rsidRPr="001A5EBC" w:rsidRDefault="00155C68" w:rsidP="00155C68">
      <w:pPr>
        <w:pStyle w:val="Heading2"/>
      </w:pPr>
      <w:r w:rsidRPr="001A5EBC">
        <w:t xml:space="preserve">Evidence </w:t>
      </w:r>
      <w:r w:rsidR="00AC40F2">
        <w:t>R</w:t>
      </w:r>
      <w:r w:rsidRPr="001A5EBC">
        <w:t>eviewed</w:t>
      </w:r>
    </w:p>
    <w:p w14:paraId="50813FEC" w14:textId="6D901FFC" w:rsidR="000163D1" w:rsidRPr="00677F00" w:rsidRDefault="000163D1" w:rsidP="00155E03">
      <w:pPr>
        <w:widowControl/>
        <w:autoSpaceDE/>
        <w:autoSpaceDN/>
        <w:spacing w:before="100" w:beforeAutospacing="1" w:after="100" w:afterAutospacing="1" w:line="240" w:lineRule="auto"/>
        <w:jc w:val="both"/>
      </w:pPr>
      <w:r w:rsidRPr="00677F00">
        <w:t xml:space="preserve">The </w:t>
      </w:r>
      <w:r w:rsidR="00753CC4" w:rsidRPr="00677F00">
        <w:t>A</w:t>
      </w:r>
      <w:r w:rsidRPr="00677F00">
        <w:t xml:space="preserve">griculture, </w:t>
      </w:r>
      <w:r w:rsidR="00753CC4" w:rsidRPr="00677F00">
        <w:t>F</w:t>
      </w:r>
      <w:r w:rsidRPr="00677F00">
        <w:t xml:space="preserve">orestry and </w:t>
      </w:r>
      <w:r w:rsidR="00753CC4" w:rsidRPr="00677F00">
        <w:t>O</w:t>
      </w:r>
      <w:r w:rsidRPr="00677F00">
        <w:t xml:space="preserve">ther </w:t>
      </w:r>
      <w:r w:rsidR="00753CC4" w:rsidRPr="00677F00">
        <w:t>L</w:t>
      </w:r>
      <w:r w:rsidRPr="00677F00">
        <w:t xml:space="preserve">and </w:t>
      </w:r>
      <w:r w:rsidR="00753CC4" w:rsidRPr="00677F00">
        <w:t>U</w:t>
      </w:r>
      <w:r w:rsidRPr="00677F00">
        <w:t>se sector (AFOLU) is composed</w:t>
      </w:r>
      <w:r w:rsidR="00753CC4" w:rsidRPr="00677F00">
        <w:t xml:space="preserve"> of</w:t>
      </w:r>
      <w:r w:rsidRPr="00677F00">
        <w:t xml:space="preserve"> the </w:t>
      </w:r>
      <w:r w:rsidR="00753CC4" w:rsidRPr="00677F00">
        <w:t>a</w:t>
      </w:r>
      <w:r w:rsidRPr="00677F00">
        <w:t xml:space="preserve">griculture sector and the Land </w:t>
      </w:r>
      <w:r w:rsidR="00753CC4" w:rsidRPr="00677F00">
        <w:t>U</w:t>
      </w:r>
      <w:r w:rsidRPr="00677F00">
        <w:t xml:space="preserve">se, </w:t>
      </w:r>
      <w:r w:rsidR="00753CC4" w:rsidRPr="00677F00">
        <w:t>L</w:t>
      </w:r>
      <w:r w:rsidRPr="00677F00">
        <w:t xml:space="preserve">and </w:t>
      </w:r>
      <w:r w:rsidR="00753CC4" w:rsidRPr="00677F00">
        <w:t>U</w:t>
      </w:r>
      <w:r w:rsidRPr="00677F00">
        <w:t xml:space="preserve">se </w:t>
      </w:r>
      <w:r w:rsidR="00753CC4" w:rsidRPr="00677F00">
        <w:t>C</w:t>
      </w:r>
      <w:r w:rsidRPr="00677F00">
        <w:t xml:space="preserve">hange and </w:t>
      </w:r>
      <w:r w:rsidR="00753CC4" w:rsidRPr="00677F00">
        <w:t>F</w:t>
      </w:r>
      <w:r w:rsidRPr="00677F00">
        <w:t>orestry</w:t>
      </w:r>
      <w:r w:rsidR="00753CC4" w:rsidRPr="00677F00">
        <w:t xml:space="preserve"> sector</w:t>
      </w:r>
      <w:r w:rsidRPr="00677F00">
        <w:t xml:space="preserve"> (LULUCF) (Climate and Land Use Alliance, 2014). The agricultural sector is estimated to have been responsible for 11% of greenhouse gas emissions in the UK in 2021, wit</w:t>
      </w:r>
      <w:r w:rsidR="00753CC4" w:rsidRPr="00677F00">
        <w:t>h</w:t>
      </w:r>
      <w:r w:rsidRPr="00677F00">
        <w:t xml:space="preserve"> GHG emissions</w:t>
      </w:r>
      <w:r w:rsidR="00753CC4" w:rsidRPr="00677F00">
        <w:t xml:space="preserve"> around</w:t>
      </w:r>
      <w:r w:rsidRPr="00677F00">
        <w:t xml:space="preserve"> 47 MtCO2</w:t>
      </w:r>
      <w:r w:rsidR="00753CC4" w:rsidRPr="00677F00">
        <w:t xml:space="preserve"> (BEIS, 2023)</w:t>
      </w:r>
      <w:r w:rsidRPr="00677F00">
        <w:t xml:space="preserve">. </w:t>
      </w:r>
      <w:r w:rsidR="00753CC4" w:rsidRPr="00677F00">
        <w:t>T</w:t>
      </w:r>
      <w:r w:rsidRPr="00677F00">
        <w:t>he LULUCF sector had net emissions of 1.1 MtCO2e in 2021 (BEIS</w:t>
      </w:r>
      <w:r w:rsidR="00753CC4" w:rsidRPr="00677F00">
        <w:t>,</w:t>
      </w:r>
      <w:r w:rsidRPr="00677F00">
        <w:t xml:space="preserve"> 2023). </w:t>
      </w:r>
      <w:r w:rsidRPr="00677F00">
        <w:rPr>
          <w:rFonts w:eastAsia="Times New Roman" w:cstheme="minorHAnsi"/>
          <w:lang w:eastAsia="en-GB"/>
        </w:rPr>
        <w:t xml:space="preserve">Achieving the </w:t>
      </w:r>
      <w:r w:rsidR="0073199E" w:rsidRPr="00677F00">
        <w:rPr>
          <w:rFonts w:eastAsia="Times New Roman" w:cstheme="minorHAnsi"/>
          <w:lang w:eastAsia="en-GB"/>
        </w:rPr>
        <w:t>n</w:t>
      </w:r>
      <w:r w:rsidRPr="00677F00">
        <w:rPr>
          <w:rFonts w:eastAsia="Times New Roman" w:cstheme="minorHAnsi"/>
          <w:lang w:eastAsia="en-GB"/>
        </w:rPr>
        <w:t xml:space="preserve">et </w:t>
      </w:r>
      <w:r w:rsidR="0073199E" w:rsidRPr="00677F00">
        <w:rPr>
          <w:rFonts w:eastAsia="Times New Roman" w:cstheme="minorHAnsi"/>
          <w:lang w:eastAsia="en-GB"/>
        </w:rPr>
        <w:t>z</w:t>
      </w:r>
      <w:r w:rsidRPr="00677F00">
        <w:rPr>
          <w:rFonts w:eastAsia="Times New Roman" w:cstheme="minorHAnsi"/>
          <w:lang w:eastAsia="en-GB"/>
        </w:rPr>
        <w:t>ero goal for th</w:t>
      </w:r>
      <w:r w:rsidR="0042172C" w:rsidRPr="00677F00">
        <w:rPr>
          <w:rFonts w:eastAsia="Times New Roman" w:cstheme="minorHAnsi"/>
          <w:lang w:eastAsia="en-GB"/>
        </w:rPr>
        <w:t>ese</w:t>
      </w:r>
      <w:r w:rsidRPr="00677F00">
        <w:rPr>
          <w:rFonts w:eastAsia="Times New Roman" w:cstheme="minorHAnsi"/>
          <w:lang w:eastAsia="en-GB"/>
        </w:rPr>
        <w:t xml:space="preserve"> sector</w:t>
      </w:r>
      <w:r w:rsidR="0042172C" w:rsidRPr="00677F00">
        <w:rPr>
          <w:rFonts w:eastAsia="Times New Roman" w:cstheme="minorHAnsi"/>
          <w:lang w:eastAsia="en-GB"/>
        </w:rPr>
        <w:t>s</w:t>
      </w:r>
      <w:r w:rsidRPr="00677F00">
        <w:rPr>
          <w:rFonts w:eastAsia="Times New Roman" w:cstheme="minorHAnsi"/>
          <w:lang w:eastAsia="en-GB"/>
        </w:rPr>
        <w:t xml:space="preserve"> requires a multifaceted approach, including increasing tree planting, reducing food waste, and cutting down on the consumption of carbon-intensive foods (CCC, 2020). Determining who should bear the greater responsibility for investing in net zero goals and the extent of their intervention creates a dilemma, as there are various actors benefitting from land use and natural resources. Farmers benefit economically from sustainable land use, whil</w:t>
      </w:r>
      <w:r w:rsidR="00753CC4" w:rsidRPr="00677F00">
        <w:rPr>
          <w:rFonts w:eastAsia="Times New Roman" w:cstheme="minorHAnsi"/>
          <w:lang w:eastAsia="en-GB"/>
        </w:rPr>
        <w:t>st</w:t>
      </w:r>
      <w:r w:rsidRPr="00677F00">
        <w:rPr>
          <w:rFonts w:eastAsia="Times New Roman" w:cstheme="minorHAnsi"/>
          <w:lang w:eastAsia="en-GB"/>
        </w:rPr>
        <w:t xml:space="preserve"> governments are tasked with ensuring broader societal benefits associated with the sustainable management of natural habitats (i.e., encompassing benefits such as recreational spaces, improved air quality, and flood risk mitigation).</w:t>
      </w:r>
    </w:p>
    <w:p w14:paraId="097E2837" w14:textId="77777777" w:rsidR="000163D1" w:rsidRPr="00677F00" w:rsidRDefault="000163D1" w:rsidP="000163D1">
      <w:pPr>
        <w:widowControl/>
        <w:autoSpaceDE/>
        <w:autoSpaceDN/>
        <w:spacing w:before="100" w:beforeAutospacing="1" w:after="100" w:afterAutospacing="1" w:line="240" w:lineRule="auto"/>
        <w:jc w:val="both"/>
        <w:rPr>
          <w:rFonts w:eastAsia="Times New Roman" w:cstheme="minorHAnsi"/>
          <w:lang w:eastAsia="en-GB"/>
        </w:rPr>
      </w:pPr>
      <w:r w:rsidRPr="00677F00">
        <w:rPr>
          <w:rFonts w:eastAsia="Times New Roman" w:cstheme="minorHAnsi"/>
          <w:lang w:eastAsia="en-GB"/>
        </w:rPr>
        <w:t>A report by the Climate Change Committee analysing the Sixth Carbon Budget in the UK suggests that measures aimed at reducing land-based emissions in the Balanced Net Zero Pathway</w:t>
      </w:r>
      <w:r w:rsidRPr="00677F00">
        <w:rPr>
          <w:rStyle w:val="FootnoteReference"/>
          <w:rFonts w:cstheme="minorHAnsi"/>
        </w:rPr>
        <w:footnoteReference w:id="3"/>
      </w:r>
      <w:r w:rsidRPr="00677F00">
        <w:rPr>
          <w:rFonts w:eastAsia="Times New Roman" w:cstheme="minorHAnsi"/>
          <w:lang w:eastAsia="en-GB"/>
        </w:rPr>
        <w:t>, such as afforestation, peatland restoration, bioenergy crops, agroforestry, and hedges, are often not cost-effective for farmers or land managers (CCC, 2020). The private costs of these measures tend to outweigh the private benefits and often involve high upfront costs (CCC, 2020). This finding aligns with a United Nations Environment Programme report estimating that total annual finance flows to Nature-based Solutions</w:t>
      </w:r>
      <w:r w:rsidRPr="00677F00">
        <w:rPr>
          <w:rStyle w:val="FootnoteReference"/>
          <w:rFonts w:eastAsia="Times New Roman" w:cstheme="minorHAnsi"/>
          <w:lang w:eastAsia="en-GB"/>
        </w:rPr>
        <w:footnoteReference w:id="4"/>
      </w:r>
      <w:r w:rsidRPr="00677F00">
        <w:rPr>
          <w:rFonts w:eastAsia="Times New Roman" w:cstheme="minorHAnsi"/>
          <w:lang w:eastAsia="en-GB"/>
        </w:rPr>
        <w:t xml:space="preserve"> (</w:t>
      </w:r>
      <w:proofErr w:type="spellStart"/>
      <w:r w:rsidRPr="00677F00">
        <w:rPr>
          <w:rFonts w:eastAsia="Times New Roman" w:cstheme="minorHAnsi"/>
          <w:lang w:eastAsia="en-GB"/>
        </w:rPr>
        <w:t>NbS</w:t>
      </w:r>
      <w:proofErr w:type="spellEnd"/>
      <w:r w:rsidRPr="00677F00">
        <w:rPr>
          <w:rFonts w:eastAsia="Times New Roman" w:cstheme="minorHAnsi"/>
          <w:lang w:eastAsia="en-GB"/>
        </w:rPr>
        <w:t>) in 2022 were approximately US$200bn [£157 billion], with public finance constituting 82% (US$165 billion) [£129.6 billion] and private finance making up a modest 18% (US$35bn) [£27.4 billion] worldwide (UNEP, 2023).</w:t>
      </w:r>
    </w:p>
    <w:p w14:paraId="76EE007E" w14:textId="30A24602" w:rsidR="679B7461" w:rsidRDefault="000163D1" w:rsidP="0B1B7285">
      <w:pPr>
        <w:widowControl/>
        <w:spacing w:beforeAutospacing="1" w:afterAutospacing="1" w:line="240" w:lineRule="auto"/>
        <w:jc w:val="both"/>
        <w:rPr>
          <w:rFonts w:eastAsia="Times New Roman"/>
          <w:lang w:eastAsia="en-GB"/>
        </w:rPr>
      </w:pPr>
      <w:r w:rsidRPr="00677F00">
        <w:rPr>
          <w:rFonts w:eastAsia="Times New Roman"/>
          <w:lang w:eastAsia="en-GB"/>
        </w:rPr>
        <w:t>Furthermore, one of the Glasgow Financial Alliance for Net Zero’s case studies about a forest, mangrove, and peatland restoration project in Central and South America</w:t>
      </w:r>
      <w:r w:rsidR="004E67B2" w:rsidRPr="00677F00">
        <w:rPr>
          <w:rFonts w:eastAsia="Times New Roman"/>
          <w:lang w:eastAsia="en-GB"/>
        </w:rPr>
        <w:t xml:space="preserve"> </w:t>
      </w:r>
      <w:r w:rsidRPr="00677F00">
        <w:rPr>
          <w:rFonts w:eastAsia="Times New Roman"/>
          <w:lang w:eastAsia="en-GB"/>
        </w:rPr>
        <w:t xml:space="preserve">shows that average investment is projected to be approximately 60% from the public sector and 40% from the private sector through a carbon offsetting market, between 2021 and 2040 (UNFCC,2022) (see Figure </w:t>
      </w:r>
      <w:r w:rsidR="004E67B2" w:rsidRPr="00677F00">
        <w:rPr>
          <w:rFonts w:eastAsia="Times New Roman"/>
          <w:lang w:eastAsia="en-GB"/>
        </w:rPr>
        <w:t>5.</w:t>
      </w:r>
      <w:r w:rsidRPr="00677F00">
        <w:rPr>
          <w:rFonts w:eastAsia="Times New Roman"/>
          <w:lang w:eastAsia="en-GB"/>
        </w:rPr>
        <w:t>). In addition</w:t>
      </w:r>
      <w:r w:rsidRPr="001A5EBC">
        <w:rPr>
          <w:rFonts w:eastAsia="Times New Roman"/>
          <w:lang w:eastAsia="en-GB"/>
        </w:rPr>
        <w:t>, a report made by the UK Infrastructure Bank suggests that only around 10% of total investment in nature will be covered by the private sector between now and 2050 (UKBI,</w:t>
      </w:r>
      <w:r w:rsidR="004E67B2">
        <w:rPr>
          <w:rFonts w:eastAsia="Times New Roman"/>
          <w:lang w:eastAsia="en-GB"/>
        </w:rPr>
        <w:t xml:space="preserve"> </w:t>
      </w:r>
      <w:r w:rsidRPr="001A5EBC">
        <w:rPr>
          <w:rFonts w:eastAsia="Times New Roman"/>
          <w:lang w:eastAsia="en-GB"/>
        </w:rPr>
        <w:t xml:space="preserve">2022). </w:t>
      </w:r>
    </w:p>
    <w:p w14:paraId="11C6EB7B" w14:textId="77777777" w:rsidR="004E67B2" w:rsidRDefault="004E67B2" w:rsidP="0B1B7285">
      <w:pPr>
        <w:widowControl/>
        <w:spacing w:beforeAutospacing="1" w:afterAutospacing="1" w:line="240" w:lineRule="auto"/>
        <w:jc w:val="both"/>
        <w:rPr>
          <w:rFonts w:eastAsia="Times New Roman"/>
          <w:lang w:eastAsia="en-GB"/>
        </w:rPr>
      </w:pPr>
    </w:p>
    <w:p w14:paraId="38F6A0C2" w14:textId="77777777" w:rsidR="004E67B2" w:rsidRDefault="004E67B2" w:rsidP="0B1B7285">
      <w:pPr>
        <w:widowControl/>
        <w:spacing w:beforeAutospacing="1" w:afterAutospacing="1" w:line="240" w:lineRule="auto"/>
        <w:jc w:val="both"/>
        <w:rPr>
          <w:rFonts w:eastAsia="Times New Roman"/>
          <w:lang w:eastAsia="en-GB"/>
        </w:rPr>
      </w:pPr>
    </w:p>
    <w:p w14:paraId="5FCED4B8" w14:textId="77777777" w:rsidR="004E67B2" w:rsidRDefault="004E67B2" w:rsidP="0B1B7285">
      <w:pPr>
        <w:widowControl/>
        <w:spacing w:beforeAutospacing="1" w:afterAutospacing="1" w:line="240" w:lineRule="auto"/>
        <w:jc w:val="both"/>
        <w:rPr>
          <w:rFonts w:eastAsia="Times New Roman"/>
          <w:lang w:eastAsia="en-GB"/>
        </w:rPr>
      </w:pPr>
    </w:p>
    <w:p w14:paraId="10C0FB82" w14:textId="77777777" w:rsidR="004E67B2" w:rsidRDefault="004E67B2" w:rsidP="0B1B7285">
      <w:pPr>
        <w:widowControl/>
        <w:spacing w:beforeAutospacing="1" w:afterAutospacing="1" w:line="240" w:lineRule="auto"/>
        <w:jc w:val="both"/>
        <w:rPr>
          <w:rFonts w:eastAsia="Times New Roman"/>
          <w:lang w:eastAsia="en-GB"/>
        </w:rPr>
      </w:pPr>
    </w:p>
    <w:p w14:paraId="23AB869D" w14:textId="77777777" w:rsidR="004E67B2" w:rsidRPr="001A5EBC" w:rsidRDefault="004E67B2" w:rsidP="0B1B7285">
      <w:pPr>
        <w:widowControl/>
        <w:spacing w:beforeAutospacing="1" w:afterAutospacing="1" w:line="240" w:lineRule="auto"/>
        <w:jc w:val="both"/>
        <w:rPr>
          <w:rFonts w:ascii="Arial" w:eastAsia="Arial" w:hAnsi="Arial" w:cs="Arial"/>
        </w:rPr>
      </w:pPr>
    </w:p>
    <w:p w14:paraId="009AFBBC" w14:textId="0AA16ACF" w:rsidR="004B4E50" w:rsidRPr="001A5EBC" w:rsidRDefault="00DE3099" w:rsidP="0005341E">
      <w:pPr>
        <w:pStyle w:val="Caption"/>
        <w:jc w:val="center"/>
        <w:rPr>
          <w:rFonts w:eastAsia="Times New Roman" w:cstheme="minorHAnsi"/>
          <w:lang w:eastAsia="en-GB"/>
        </w:rPr>
      </w:pPr>
      <w:r w:rsidRPr="00762C0A">
        <w:rPr>
          <w:b/>
          <w:bCs/>
        </w:rPr>
        <w:lastRenderedPageBreak/>
        <w:t xml:space="preserve">Figure </w:t>
      </w:r>
      <w:r w:rsidR="004E67B2" w:rsidRPr="00762C0A">
        <w:rPr>
          <w:b/>
          <w:bCs/>
        </w:rPr>
        <w:t>5</w:t>
      </w:r>
      <w:r w:rsidRPr="001A5EBC">
        <w:t xml:space="preserve">. </w:t>
      </w:r>
      <w:r w:rsidR="00ED75D3" w:rsidRPr="001A5EBC">
        <w:t xml:space="preserve">Evidence </w:t>
      </w:r>
      <w:r w:rsidR="004E67B2">
        <w:t>R</w:t>
      </w:r>
      <w:r w:rsidR="00ED75D3" w:rsidRPr="001A5EBC">
        <w:t>e</w:t>
      </w:r>
      <w:r w:rsidR="0005341E" w:rsidRPr="001A5EBC">
        <w:t>v</w:t>
      </w:r>
      <w:r w:rsidR="00ED75D3" w:rsidRPr="001A5EBC">
        <w:t>ie</w:t>
      </w:r>
      <w:r w:rsidR="004E67B2">
        <w:t>we</w:t>
      </w:r>
      <w:r w:rsidR="00ED75D3" w:rsidRPr="001A5EBC">
        <w:t>d on</w:t>
      </w:r>
      <w:r w:rsidR="004E67B2">
        <w:t xml:space="preserve"> P</w:t>
      </w:r>
      <w:r w:rsidR="00ED75D3" w:rsidRPr="001A5EBC">
        <w:t xml:space="preserve">ublic and </w:t>
      </w:r>
      <w:r w:rsidR="004E67B2">
        <w:t>P</w:t>
      </w:r>
      <w:r w:rsidR="00ED75D3" w:rsidRPr="001A5EBC">
        <w:t xml:space="preserve">rivate </w:t>
      </w:r>
      <w:r w:rsidR="004E67B2">
        <w:t>F</w:t>
      </w:r>
      <w:r w:rsidR="00ED75D3" w:rsidRPr="001A5EBC">
        <w:t>inances</w:t>
      </w:r>
      <w:r w:rsidR="00285EB1" w:rsidRPr="001A5EBC">
        <w:t xml:space="preserve"> </w:t>
      </w:r>
      <w:r w:rsidR="006C5A08" w:rsidRPr="001A5EBC">
        <w:t>in the GFANZ</w:t>
      </w:r>
      <w:r w:rsidR="00285EB1" w:rsidRPr="001A5EBC">
        <w:t xml:space="preserve"> Financing Roadmaps</w:t>
      </w:r>
    </w:p>
    <w:p w14:paraId="2FB5D612" w14:textId="3DA3E0AD" w:rsidR="001544F6" w:rsidRPr="001A5EBC" w:rsidRDefault="00493EDB" w:rsidP="00D51FAC">
      <w:pPr>
        <w:widowControl/>
        <w:autoSpaceDE/>
        <w:autoSpaceDN/>
        <w:spacing w:before="100" w:beforeAutospacing="1" w:after="100" w:afterAutospacing="1" w:line="240" w:lineRule="auto"/>
        <w:jc w:val="center"/>
        <w:rPr>
          <w:rFonts w:eastAsia="Times New Roman" w:cstheme="minorHAnsi"/>
          <w:lang w:eastAsia="en-GB"/>
        </w:rPr>
      </w:pPr>
      <w:r w:rsidRPr="001A5EBC">
        <w:rPr>
          <w:noProof/>
        </w:rPr>
        <w:drawing>
          <wp:inline distT="0" distB="0" distL="0" distR="0" wp14:anchorId="54CBCE27" wp14:editId="5A63BC45">
            <wp:extent cx="1696720" cy="2172345"/>
            <wp:effectExtent l="0" t="0" r="0" b="0"/>
            <wp:docPr id="606184827"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6184827" name="Picture 1" descr="A screenshot of a computer&#10;&#10;Description automatically generated"/>
                    <pic:cNvPicPr/>
                  </pic:nvPicPr>
                  <pic:blipFill rotWithShape="1">
                    <a:blip r:embed="rId44"/>
                    <a:srcRect l="17344" t="23661" r="57666" b="28343"/>
                    <a:stretch/>
                  </pic:blipFill>
                  <pic:spPr bwMode="auto">
                    <a:xfrm>
                      <a:off x="0" y="0"/>
                      <a:ext cx="1704080" cy="2181768"/>
                    </a:xfrm>
                    <a:prstGeom prst="rect">
                      <a:avLst/>
                    </a:prstGeom>
                    <a:ln>
                      <a:noFill/>
                    </a:ln>
                    <a:extLst>
                      <a:ext uri="{53640926-AAD7-44D8-BBD7-CCE9431645EC}">
                        <a14:shadowObscured xmlns:a14="http://schemas.microsoft.com/office/drawing/2010/main"/>
                      </a:ext>
                    </a:extLst>
                  </pic:spPr>
                </pic:pic>
              </a:graphicData>
            </a:graphic>
          </wp:inline>
        </w:drawing>
      </w:r>
      <w:r w:rsidR="00637658" w:rsidRPr="001A5EBC">
        <w:rPr>
          <w:noProof/>
        </w:rPr>
        <w:drawing>
          <wp:inline distT="0" distB="0" distL="0" distR="0" wp14:anchorId="0C247A92" wp14:editId="6F69A686">
            <wp:extent cx="1627537" cy="2168923"/>
            <wp:effectExtent l="0" t="0" r="0" b="3175"/>
            <wp:docPr id="996946432"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6946432" name="Picture 1" descr="A screenshot of a computer&#10;&#10;Description automatically generated"/>
                    <pic:cNvPicPr/>
                  </pic:nvPicPr>
                  <pic:blipFill rotWithShape="1">
                    <a:blip r:embed="rId45"/>
                    <a:srcRect l="16883" t="24078" r="59768" b="29248"/>
                    <a:stretch/>
                  </pic:blipFill>
                  <pic:spPr bwMode="auto">
                    <a:xfrm>
                      <a:off x="0" y="0"/>
                      <a:ext cx="1631225" cy="2173838"/>
                    </a:xfrm>
                    <a:prstGeom prst="rect">
                      <a:avLst/>
                    </a:prstGeom>
                    <a:ln>
                      <a:noFill/>
                    </a:ln>
                    <a:extLst>
                      <a:ext uri="{53640926-AAD7-44D8-BBD7-CCE9431645EC}">
                        <a14:shadowObscured xmlns:a14="http://schemas.microsoft.com/office/drawing/2010/main"/>
                      </a:ext>
                    </a:extLst>
                  </pic:spPr>
                </pic:pic>
              </a:graphicData>
            </a:graphic>
          </wp:inline>
        </w:drawing>
      </w:r>
      <w:r w:rsidR="00D51FAC" w:rsidRPr="001A5EBC">
        <w:rPr>
          <w:noProof/>
        </w:rPr>
        <w:drawing>
          <wp:inline distT="0" distB="0" distL="0" distR="0" wp14:anchorId="42F6CD09" wp14:editId="571F0515">
            <wp:extent cx="1706880" cy="2175360"/>
            <wp:effectExtent l="0" t="0" r="7620" b="0"/>
            <wp:docPr id="1952595574"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2595574" name="Picture 1" descr="A screenshot of a computer&#10;&#10;Description automatically generated"/>
                    <pic:cNvPicPr/>
                  </pic:nvPicPr>
                  <pic:blipFill rotWithShape="1">
                    <a:blip r:embed="rId46"/>
                    <a:srcRect l="16050" t="23938" r="59126" b="28603"/>
                    <a:stretch/>
                  </pic:blipFill>
                  <pic:spPr bwMode="auto">
                    <a:xfrm>
                      <a:off x="0" y="0"/>
                      <a:ext cx="1729429" cy="2204097"/>
                    </a:xfrm>
                    <a:prstGeom prst="rect">
                      <a:avLst/>
                    </a:prstGeom>
                    <a:ln>
                      <a:noFill/>
                    </a:ln>
                    <a:extLst>
                      <a:ext uri="{53640926-AAD7-44D8-BBD7-CCE9431645EC}">
                        <a14:shadowObscured xmlns:a14="http://schemas.microsoft.com/office/drawing/2010/main"/>
                      </a:ext>
                    </a:extLst>
                  </pic:spPr>
                </pic:pic>
              </a:graphicData>
            </a:graphic>
          </wp:inline>
        </w:drawing>
      </w:r>
    </w:p>
    <w:p w14:paraId="39FBF7E5" w14:textId="71554A84" w:rsidR="4D76C34A" w:rsidRPr="001A5EBC" w:rsidRDefault="00CC6D59" w:rsidP="003A7A44">
      <w:pPr>
        <w:widowControl/>
        <w:autoSpaceDE/>
        <w:autoSpaceDN/>
        <w:spacing w:before="100" w:beforeAutospacing="1" w:after="100" w:afterAutospacing="1" w:line="240" w:lineRule="auto"/>
        <w:jc w:val="center"/>
        <w:rPr>
          <w:rFonts w:eastAsia="Times New Roman"/>
          <w:lang w:eastAsia="en-GB"/>
        </w:rPr>
      </w:pPr>
      <w:r w:rsidRPr="001A5EBC">
        <w:rPr>
          <w:rFonts w:eastAsia="Times New Roman"/>
          <w:sz w:val="16"/>
          <w:szCs w:val="16"/>
          <w:lang w:eastAsia="en-GB"/>
        </w:rPr>
        <w:t xml:space="preserve">Source: </w:t>
      </w:r>
      <w:r w:rsidR="00FE0A24" w:rsidRPr="001A5EBC">
        <w:rPr>
          <w:rFonts w:eastAsia="Times New Roman"/>
          <w:sz w:val="16"/>
          <w:szCs w:val="16"/>
          <w:lang w:eastAsia="en-GB"/>
        </w:rPr>
        <w:t xml:space="preserve">Glasgow Financial </w:t>
      </w:r>
      <w:r w:rsidR="0005341E" w:rsidRPr="001A5EBC">
        <w:rPr>
          <w:rFonts w:eastAsia="Times New Roman"/>
          <w:sz w:val="16"/>
          <w:szCs w:val="16"/>
          <w:lang w:eastAsia="en-GB"/>
        </w:rPr>
        <w:t xml:space="preserve">Alliance for </w:t>
      </w:r>
      <w:r w:rsidR="00FB3932" w:rsidRPr="001A5EBC">
        <w:rPr>
          <w:rFonts w:eastAsia="Times New Roman"/>
          <w:sz w:val="16"/>
          <w:szCs w:val="16"/>
          <w:lang w:eastAsia="en-GB"/>
        </w:rPr>
        <w:t>Net zero</w:t>
      </w:r>
      <w:r w:rsidR="0005341E" w:rsidRPr="001A5EBC">
        <w:rPr>
          <w:rFonts w:eastAsia="Times New Roman"/>
          <w:sz w:val="16"/>
          <w:szCs w:val="16"/>
          <w:lang w:eastAsia="en-GB"/>
        </w:rPr>
        <w:t>.</w:t>
      </w:r>
    </w:p>
    <w:p w14:paraId="2A854221" w14:textId="495C8928" w:rsidR="000163D1" w:rsidRPr="004E67B2" w:rsidRDefault="000163D1" w:rsidP="000163D1">
      <w:pPr>
        <w:pStyle w:val="BodyText"/>
        <w:jc w:val="both"/>
        <w:rPr>
          <w:rFonts w:eastAsia="Arial" w:cs="Arial"/>
        </w:rPr>
      </w:pPr>
      <w:r w:rsidRPr="00677F00">
        <w:rPr>
          <w:rFonts w:eastAsia="Times New Roman"/>
          <w:lang w:eastAsia="en-GB"/>
        </w:rPr>
        <w:t xml:space="preserve">However, </w:t>
      </w:r>
      <w:r w:rsidRPr="00677F00">
        <w:rPr>
          <w:rFonts w:eastAsia="Times New Roman"/>
          <w:i/>
          <w:iCs/>
          <w:lang w:eastAsia="en-GB"/>
        </w:rPr>
        <w:t>The Race to Zero: Net Zero Roadmaps</w:t>
      </w:r>
      <w:r w:rsidRPr="00677F00">
        <w:rPr>
          <w:rFonts w:eastAsia="Times New Roman"/>
          <w:lang w:eastAsia="en-GB"/>
        </w:rPr>
        <w:t xml:space="preserve"> report </w:t>
      </w:r>
      <w:r w:rsidR="004E67B2" w:rsidRPr="00677F00">
        <w:rPr>
          <w:rFonts w:eastAsia="Times New Roman"/>
          <w:lang w:eastAsia="en-GB"/>
        </w:rPr>
        <w:t xml:space="preserve">presents </w:t>
      </w:r>
      <w:r w:rsidRPr="00677F00">
        <w:rPr>
          <w:rFonts w:eastAsia="Times New Roman"/>
          <w:lang w:eastAsia="en-GB"/>
        </w:rPr>
        <w:t>a countervailing viewpoint</w:t>
      </w:r>
      <w:r w:rsidR="004E67B2" w:rsidRPr="00677F00">
        <w:rPr>
          <w:rFonts w:eastAsia="Times New Roman"/>
          <w:lang w:eastAsia="en-GB"/>
        </w:rPr>
        <w:t>; it s</w:t>
      </w:r>
      <w:r w:rsidRPr="00677F00">
        <w:rPr>
          <w:rFonts w:eastAsia="Times New Roman"/>
          <w:lang w:eastAsia="en-GB"/>
        </w:rPr>
        <w:t>uggest</w:t>
      </w:r>
      <w:r w:rsidR="004E67B2" w:rsidRPr="00677F00">
        <w:rPr>
          <w:rFonts w:eastAsia="Times New Roman"/>
          <w:lang w:eastAsia="en-GB"/>
        </w:rPr>
        <w:t>s</w:t>
      </w:r>
      <w:r w:rsidRPr="00677F00">
        <w:rPr>
          <w:rFonts w:eastAsia="Times New Roman"/>
          <w:lang w:eastAsia="en-GB"/>
        </w:rPr>
        <w:t xml:space="preserve"> that c</w:t>
      </w:r>
      <w:r w:rsidRPr="00677F00">
        <w:rPr>
          <w:rFonts w:eastAsia="Arial" w:cs="Arial"/>
        </w:rPr>
        <w:t>orporations, including agri-food companies, could actually</w:t>
      </w:r>
      <w:r w:rsidRPr="004E67B2">
        <w:rPr>
          <w:rFonts w:eastAsia="Arial" w:cs="Arial"/>
        </w:rPr>
        <w:t xml:space="preserve"> provide over 50% of global investments and be very active in financing the decarbonisation of agriculture particularly, and that a range of corporates and </w:t>
      </w:r>
      <w:proofErr w:type="gramStart"/>
      <w:r w:rsidRPr="004E67B2">
        <w:rPr>
          <w:rFonts w:eastAsia="Arial" w:cs="Arial"/>
        </w:rPr>
        <w:t>land owners</w:t>
      </w:r>
      <w:proofErr w:type="gramEnd"/>
      <w:r w:rsidRPr="004E67B2">
        <w:rPr>
          <w:rFonts w:eastAsia="Arial" w:cs="Arial"/>
        </w:rPr>
        <w:t xml:space="preserve"> may invest in nature-based offsets.</w:t>
      </w:r>
    </w:p>
    <w:p w14:paraId="1441BCD7" w14:textId="40D3466A" w:rsidR="00155C68" w:rsidRPr="001A5EBC" w:rsidRDefault="00155C68" w:rsidP="00155C68">
      <w:pPr>
        <w:pStyle w:val="Heading2"/>
      </w:pPr>
      <w:r w:rsidRPr="001A5EBC">
        <w:t xml:space="preserve">Key </w:t>
      </w:r>
      <w:r w:rsidR="00BE4CF1">
        <w:t>T</w:t>
      </w:r>
      <w:r w:rsidRPr="001A5EBC">
        <w:t>akeaways</w:t>
      </w:r>
    </w:p>
    <w:p w14:paraId="57E881BD" w14:textId="0374EA3B" w:rsidR="000163D1" w:rsidRPr="001A5EBC" w:rsidRDefault="00BB3451" w:rsidP="000163D1">
      <w:pPr>
        <w:pStyle w:val="BodyText"/>
        <w:jc w:val="both"/>
      </w:pPr>
      <w:r>
        <w:t xml:space="preserve">Some reports </w:t>
      </w:r>
      <w:r w:rsidR="004E67B2">
        <w:t xml:space="preserve">have </w:t>
      </w:r>
      <w:r>
        <w:t xml:space="preserve">suggested </w:t>
      </w:r>
      <w:r w:rsidR="000F44DB">
        <w:t xml:space="preserve">that </w:t>
      </w:r>
      <w:r>
        <w:t xml:space="preserve">slightly more public sector funding would be required than private sector, and other reports </w:t>
      </w:r>
      <w:r w:rsidR="00BE4CF1">
        <w:t xml:space="preserve">have </w:t>
      </w:r>
      <w:r>
        <w:t xml:space="preserve">reversed this. </w:t>
      </w:r>
      <w:r w:rsidR="000163D1" w:rsidRPr="001A5EBC">
        <w:t xml:space="preserve">Even though we did not find UK specific data sources, by calculating an average of the suggested splits between the public and private sectors in the reviewed literature, on balance we think </w:t>
      </w:r>
      <w:r w:rsidR="00053D4D">
        <w:t>50</w:t>
      </w:r>
      <w:r w:rsidR="000163D1" w:rsidRPr="001A5EBC">
        <w:t>% of investment in decarbonising the land use sector</w:t>
      </w:r>
      <w:r w:rsidR="00BE4CF1">
        <w:t xml:space="preserve"> </w:t>
      </w:r>
      <w:r w:rsidR="000163D1" w:rsidRPr="001A5EBC">
        <w:t xml:space="preserve">would come from public funding and the remaining </w:t>
      </w:r>
      <w:r w:rsidR="00053D4D">
        <w:t>50</w:t>
      </w:r>
      <w:r w:rsidR="000163D1" w:rsidRPr="001A5EBC">
        <w:t xml:space="preserve">% from the private sector. </w:t>
      </w:r>
    </w:p>
    <w:p w14:paraId="0DC60202" w14:textId="34FA8736" w:rsidR="000163D1" w:rsidRPr="00BE4CF1" w:rsidRDefault="000163D1" w:rsidP="000163D1">
      <w:pPr>
        <w:pStyle w:val="BodyText"/>
        <w:jc w:val="both"/>
        <w:rPr>
          <w:b/>
          <w:bCs/>
        </w:rPr>
      </w:pPr>
      <w:r w:rsidRPr="00BE4CF1">
        <w:rPr>
          <w:b/>
          <w:bCs/>
        </w:rPr>
        <w:t xml:space="preserve">We assume £1bn pa of investments for decarbonising the land use sector are allocated to the North of England, of which </w:t>
      </w:r>
      <w:r w:rsidR="00053D4D" w:rsidRPr="00BE4CF1">
        <w:rPr>
          <w:b/>
          <w:bCs/>
        </w:rPr>
        <w:t>50</w:t>
      </w:r>
      <w:r w:rsidRPr="00BE4CF1">
        <w:rPr>
          <w:b/>
          <w:bCs/>
        </w:rPr>
        <w:t xml:space="preserve">% (£0.5bn) is public investment (primarily in directly funding environmental restoration and grants to encourage sustainable land use practices) and the remaining </w:t>
      </w:r>
      <w:r w:rsidR="00053D4D" w:rsidRPr="00BE4CF1">
        <w:rPr>
          <w:b/>
          <w:bCs/>
        </w:rPr>
        <w:t>50</w:t>
      </w:r>
      <w:r w:rsidRPr="00BE4CF1">
        <w:rPr>
          <w:b/>
          <w:bCs/>
        </w:rPr>
        <w:t>% (£0.5 bn, primarily in sustainable agriculture and offsetting) would be private investment.</w:t>
      </w:r>
    </w:p>
    <w:p w14:paraId="05E8D334" w14:textId="77777777" w:rsidR="00155C68" w:rsidRPr="001A5EBC" w:rsidRDefault="00155C68" w:rsidP="00155C68">
      <w:pPr>
        <w:pStyle w:val="BodyText"/>
      </w:pPr>
    </w:p>
    <w:bookmarkStart w:id="10" w:name="_Toc169011867"/>
    <w:p w14:paraId="19C8E301" w14:textId="4016F22C" w:rsidR="000900F5" w:rsidRPr="001A5EBC" w:rsidRDefault="008A3865" w:rsidP="001E1429">
      <w:pPr>
        <w:pStyle w:val="Heading1"/>
        <w:numPr>
          <w:ilvl w:val="0"/>
          <w:numId w:val="47"/>
        </w:numPr>
      </w:pPr>
      <w:r w:rsidRPr="001A5EBC">
        <w:rPr>
          <w:noProof/>
        </w:rPr>
        <w:lastRenderedPageBreak/>
        <mc:AlternateContent>
          <mc:Choice Requires="wpg">
            <w:drawing>
              <wp:anchor distT="0" distB="0" distL="114300" distR="114300" simplePos="0" relativeHeight="251657230" behindDoc="0" locked="0" layoutInCell="1" allowOverlap="1" wp14:anchorId="349FE9DA" wp14:editId="38F0E0E6">
                <wp:simplePos x="0" y="0"/>
                <wp:positionH relativeFrom="page">
                  <wp:align>left</wp:align>
                </wp:positionH>
                <wp:positionV relativeFrom="paragraph">
                  <wp:posOffset>781887</wp:posOffset>
                </wp:positionV>
                <wp:extent cx="7019925" cy="1643865"/>
                <wp:effectExtent l="0" t="0" r="9525" b="13970"/>
                <wp:wrapNone/>
                <wp:docPr id="1465676311" name="Group 12"/>
                <wp:cNvGraphicFramePr/>
                <a:graphic xmlns:a="http://schemas.openxmlformats.org/drawingml/2006/main">
                  <a:graphicData uri="http://schemas.microsoft.com/office/word/2010/wordprocessingGroup">
                    <wpg:wgp>
                      <wpg:cNvGrpSpPr/>
                      <wpg:grpSpPr>
                        <a:xfrm>
                          <a:off x="0" y="0"/>
                          <a:ext cx="7019925" cy="1643865"/>
                          <a:chOff x="0" y="0"/>
                          <a:chExt cx="7020000" cy="1198800"/>
                        </a:xfrm>
                      </wpg:grpSpPr>
                      <wps:wsp>
                        <wps:cNvPr id="1005512662" name="Rectangle 9"/>
                        <wps:cNvSpPr/>
                        <wps:spPr>
                          <a:xfrm>
                            <a:off x="0" y="0"/>
                            <a:ext cx="7020000" cy="1198800"/>
                          </a:xfrm>
                          <a:prstGeom prst="rect">
                            <a:avLst/>
                          </a:prstGeom>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19704135" name="Text Box 10"/>
                        <wps:cNvSpPr txBox="1"/>
                        <wps:spPr>
                          <a:xfrm>
                            <a:off x="393405" y="159489"/>
                            <a:ext cx="554355" cy="762635"/>
                          </a:xfrm>
                          <a:prstGeom prst="callout1">
                            <a:avLst>
                              <a:gd name="adj1" fmla="val -182"/>
                              <a:gd name="adj2" fmla="val 100186"/>
                              <a:gd name="adj3" fmla="val 100614"/>
                              <a:gd name="adj4" fmla="val 99739"/>
                            </a:avLst>
                          </a:prstGeom>
                          <a:noFill/>
                          <a:ln w="6350">
                            <a:solidFill>
                              <a:schemeClr val="bg1"/>
                            </a:solidFill>
                          </a:ln>
                        </wps:spPr>
                        <wps:txbx>
                          <w:txbxContent>
                            <w:p w14:paraId="5757F4EA" w14:textId="77777777" w:rsidR="000900F5" w:rsidRPr="001A5EBC" w:rsidRDefault="000900F5" w:rsidP="000900F5">
                              <w:pPr>
                                <w:jc w:val="right"/>
                                <w:rPr>
                                  <w:rFonts w:asciiTheme="majorHAnsi" w:hAnsiTheme="majorHAnsi"/>
                                  <w:b/>
                                  <w:bCs/>
                                  <w:color w:val="FFFFFF" w:themeColor="background1"/>
                                  <w:sz w:val="80"/>
                                  <w:szCs w:val="80"/>
                                </w:rPr>
                              </w:pPr>
                              <w:r w:rsidRPr="001A5EBC">
                                <w:rPr>
                                  <w:rFonts w:asciiTheme="majorHAnsi" w:hAnsiTheme="majorHAnsi"/>
                                  <w:b/>
                                  <w:bCs/>
                                  <w:color w:val="FFFFFF" w:themeColor="background1"/>
                                  <w:sz w:val="80"/>
                                  <w:szCs w:val="80"/>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63892655" name="Text Box 11"/>
                        <wps:cNvSpPr txBox="1"/>
                        <wps:spPr>
                          <a:xfrm>
                            <a:off x="1105786" y="138160"/>
                            <a:ext cx="5472000" cy="1060244"/>
                          </a:xfrm>
                          <a:prstGeom prst="rect">
                            <a:avLst/>
                          </a:prstGeom>
                          <a:noFill/>
                          <a:ln w="6350">
                            <a:noFill/>
                          </a:ln>
                        </wps:spPr>
                        <wps:txbx>
                          <w:txbxContent>
                            <w:p w14:paraId="645B906B" w14:textId="77777777" w:rsidR="000900F5" w:rsidRPr="001A5EBC" w:rsidRDefault="00A20E03" w:rsidP="000900F5">
                              <w:pPr>
                                <w:pStyle w:val="StandardHeading16ptBlack"/>
                              </w:pPr>
                              <w:r w:rsidRPr="001A5EBC">
                                <w:t>Energy</w:t>
                              </w:r>
                            </w:p>
                            <w:p w14:paraId="4334EA20" w14:textId="0C010D4F" w:rsidR="00B6521A" w:rsidRPr="001A5EBC" w:rsidRDefault="004A569C" w:rsidP="000900F5">
                              <w:pPr>
                                <w:pStyle w:val="StandardHeading16ptBlack"/>
                                <w:rPr>
                                  <w:rFonts w:ascii="Arial" w:hAnsi="Arial" w:cs="Arial"/>
                                  <w:b/>
                                  <w:bCs/>
                                  <w:color w:val="FFFFFF" w:themeColor="background1"/>
                                  <w:sz w:val="24"/>
                                  <w:szCs w:val="24"/>
                                </w:rPr>
                              </w:pPr>
                              <w:r w:rsidRPr="001A5EBC">
                                <w:rPr>
                                  <w:rFonts w:ascii="Arial" w:hAnsi="Arial" w:cs="Arial"/>
                                  <w:b/>
                                  <w:bCs/>
                                  <w:color w:val="FFFFFF" w:themeColor="background1"/>
                                  <w:sz w:val="24"/>
                                  <w:szCs w:val="24"/>
                                </w:rPr>
                                <w:t xml:space="preserve">In the energy sector, </w:t>
                              </w:r>
                              <w:r w:rsidRPr="001A5EBC">
                                <w:rPr>
                                  <w:rFonts w:asciiTheme="minorHAnsi" w:hAnsiTheme="minorHAnsi" w:cstheme="minorHAnsi"/>
                                  <w:b/>
                                  <w:bCs/>
                                  <w:color w:val="FFFFFF" w:themeColor="background1"/>
                                  <w:sz w:val="24"/>
                                  <w:szCs w:val="24"/>
                                </w:rPr>
                                <w:t>p</w:t>
                              </w:r>
                              <w:r w:rsidR="005D50AA" w:rsidRPr="001A5EBC">
                                <w:rPr>
                                  <w:rFonts w:asciiTheme="minorHAnsi" w:hAnsiTheme="minorHAnsi" w:cstheme="minorHAnsi"/>
                                  <w:b/>
                                  <w:bCs/>
                                  <w:color w:val="FFFFFF" w:themeColor="background1"/>
                                  <w:sz w:val="24"/>
                                  <w:szCs w:val="24"/>
                                </w:rPr>
                                <w:t>ublic</w:t>
                              </w:r>
                              <w:r w:rsidRPr="001A5EBC">
                                <w:rPr>
                                  <w:rFonts w:asciiTheme="minorHAnsi" w:hAnsiTheme="minorHAnsi" w:cstheme="minorHAnsi"/>
                                  <w:b/>
                                  <w:bCs/>
                                  <w:color w:val="FFFFFF" w:themeColor="background1"/>
                                  <w:sz w:val="24"/>
                                  <w:szCs w:val="24"/>
                                </w:rPr>
                                <w:t xml:space="preserve"> investments will constitute </w:t>
                              </w:r>
                              <w:r w:rsidR="005D50AA" w:rsidRPr="001A5EBC">
                                <w:rPr>
                                  <w:rFonts w:asciiTheme="minorHAnsi" w:hAnsiTheme="minorHAnsi" w:cstheme="minorHAnsi"/>
                                  <w:b/>
                                  <w:bCs/>
                                  <w:color w:val="FFFFFF" w:themeColor="background1"/>
                                  <w:sz w:val="24"/>
                                  <w:szCs w:val="24"/>
                                </w:rPr>
                                <w:t>3</w:t>
                              </w:r>
                              <w:r w:rsidRPr="001A5EBC">
                                <w:rPr>
                                  <w:rFonts w:asciiTheme="minorHAnsi" w:hAnsiTheme="minorHAnsi" w:cstheme="minorHAnsi"/>
                                  <w:b/>
                                  <w:bCs/>
                                  <w:color w:val="FFFFFF" w:themeColor="background1"/>
                                  <w:sz w:val="24"/>
                                  <w:szCs w:val="24"/>
                                </w:rPr>
                                <w:t xml:space="preserve">0% of the necessary funding, with the remaining </w:t>
                              </w:r>
                              <w:r w:rsidR="005D50AA" w:rsidRPr="001A5EBC">
                                <w:rPr>
                                  <w:rFonts w:asciiTheme="minorHAnsi" w:hAnsiTheme="minorHAnsi" w:cstheme="minorHAnsi"/>
                                  <w:b/>
                                  <w:bCs/>
                                  <w:color w:val="FFFFFF" w:themeColor="background1"/>
                                  <w:sz w:val="24"/>
                                  <w:szCs w:val="24"/>
                                </w:rPr>
                                <w:t>7</w:t>
                              </w:r>
                              <w:r w:rsidRPr="001A5EBC">
                                <w:rPr>
                                  <w:rFonts w:asciiTheme="minorHAnsi" w:hAnsiTheme="minorHAnsi" w:cstheme="minorHAnsi"/>
                                  <w:b/>
                                  <w:bCs/>
                                  <w:color w:val="FFFFFF" w:themeColor="background1"/>
                                  <w:sz w:val="24"/>
                                  <w:szCs w:val="24"/>
                                </w:rPr>
                                <w:t xml:space="preserve">0% expected to be covered by </w:t>
                              </w:r>
                              <w:r w:rsidR="005D50AA" w:rsidRPr="001A5EBC">
                                <w:rPr>
                                  <w:rFonts w:asciiTheme="minorHAnsi" w:hAnsiTheme="minorHAnsi" w:cstheme="minorHAnsi"/>
                                  <w:b/>
                                  <w:bCs/>
                                  <w:color w:val="FFFFFF" w:themeColor="background1"/>
                                  <w:sz w:val="24"/>
                                  <w:szCs w:val="24"/>
                                </w:rPr>
                                <w:t>private</w:t>
                              </w:r>
                              <w:r w:rsidRPr="001A5EBC">
                                <w:rPr>
                                  <w:rFonts w:asciiTheme="minorHAnsi" w:hAnsiTheme="minorHAnsi" w:cstheme="minorHAnsi"/>
                                  <w:b/>
                                  <w:bCs/>
                                  <w:color w:val="FFFFFF" w:themeColor="background1"/>
                                  <w:sz w:val="24"/>
                                  <w:szCs w:val="24"/>
                                </w:rPr>
                                <w:t xml:space="preserve"> investments.</w:t>
                              </w:r>
                              <w:r w:rsidR="00B6521A" w:rsidRPr="001A5EBC">
                                <w:rPr>
                                  <w:rFonts w:asciiTheme="minorHAnsi" w:hAnsiTheme="minorHAnsi" w:cstheme="minorHAnsi"/>
                                  <w:b/>
                                  <w:bCs/>
                                  <w:color w:val="FFFFFF" w:themeColor="background1"/>
                                  <w:sz w:val="24"/>
                                  <w:szCs w:val="24"/>
                                </w:rPr>
                                <w:t xml:space="preserve"> </w:t>
                              </w:r>
                              <w:r w:rsidR="00B6521A" w:rsidRPr="001A5EBC">
                                <w:rPr>
                                  <w:rFonts w:ascii="Arial" w:hAnsi="Arial" w:cs="Arial"/>
                                  <w:color w:val="FFFFFF" w:themeColor="background1"/>
                                  <w:sz w:val="24"/>
                                  <w:szCs w:val="24"/>
                                </w:rPr>
                                <w:t>Of the</w:t>
                              </w:r>
                              <w:r w:rsidR="00BD4CDC" w:rsidRPr="001A5EBC">
                                <w:rPr>
                                  <w:rFonts w:ascii="Arial" w:hAnsi="Arial" w:cs="Arial"/>
                                  <w:color w:val="FFFFFF" w:themeColor="background1"/>
                                  <w:sz w:val="24"/>
                                  <w:szCs w:val="24"/>
                                </w:rPr>
                                <w:t xml:space="preserve"> </w:t>
                              </w:r>
                              <w:r w:rsidR="00B6521A" w:rsidRPr="001A5EBC">
                                <w:rPr>
                                  <w:rFonts w:ascii="Arial" w:hAnsi="Arial" w:cs="Arial"/>
                                  <w:color w:val="FFFFFF" w:themeColor="background1"/>
                                  <w:sz w:val="24"/>
                                  <w:szCs w:val="24"/>
                                </w:rPr>
                                <w:t>£10bn</w:t>
                              </w:r>
                              <w:r w:rsidR="00415229" w:rsidRPr="001A5EBC">
                                <w:rPr>
                                  <w:rFonts w:ascii="Arial" w:hAnsi="Arial" w:cs="Arial"/>
                                  <w:color w:val="FFFFFF" w:themeColor="background1"/>
                                  <w:sz w:val="24"/>
                                  <w:szCs w:val="24"/>
                                </w:rPr>
                                <w:t xml:space="preserve"> energy investments allocated to </w:t>
                              </w:r>
                              <w:r w:rsidR="00B6521A" w:rsidRPr="001A5EBC">
                                <w:rPr>
                                  <w:rFonts w:ascii="Arial" w:hAnsi="Arial" w:cs="Arial"/>
                                  <w:color w:val="FFFFFF" w:themeColor="background1"/>
                                  <w:sz w:val="24"/>
                                  <w:szCs w:val="24"/>
                                </w:rPr>
                                <w:t>the North</w:t>
                              </w:r>
                              <w:r w:rsidR="00415229" w:rsidRPr="001A5EBC">
                                <w:rPr>
                                  <w:rFonts w:ascii="Arial" w:hAnsi="Arial" w:cs="Arial"/>
                                  <w:color w:val="FFFFFF" w:themeColor="background1"/>
                                  <w:sz w:val="24"/>
                                  <w:szCs w:val="24"/>
                                </w:rPr>
                                <w:t xml:space="preserve"> of England</w:t>
                              </w:r>
                              <w:r w:rsidR="00B6521A" w:rsidRPr="001A5EBC">
                                <w:rPr>
                                  <w:rFonts w:ascii="Arial" w:hAnsi="Arial" w:cs="Arial"/>
                                  <w:color w:val="FFFFFF" w:themeColor="background1"/>
                                  <w:sz w:val="24"/>
                                  <w:szCs w:val="24"/>
                                </w:rPr>
                                <w:t>, £</w:t>
                              </w:r>
                              <w:r w:rsidR="005D50AA" w:rsidRPr="001A5EBC">
                                <w:rPr>
                                  <w:rFonts w:ascii="Arial" w:hAnsi="Arial" w:cs="Arial"/>
                                  <w:color w:val="FFFFFF" w:themeColor="background1"/>
                                  <w:sz w:val="24"/>
                                  <w:szCs w:val="24"/>
                                </w:rPr>
                                <w:t>3</w:t>
                              </w:r>
                              <w:r w:rsidR="00B6521A" w:rsidRPr="001A5EBC">
                                <w:rPr>
                                  <w:rFonts w:ascii="Arial" w:hAnsi="Arial" w:cs="Arial"/>
                                  <w:color w:val="FFFFFF" w:themeColor="background1"/>
                                  <w:sz w:val="24"/>
                                  <w:szCs w:val="24"/>
                                </w:rPr>
                                <w:t>bn is p</w:t>
                              </w:r>
                              <w:r w:rsidR="005D50AA" w:rsidRPr="001A5EBC">
                                <w:rPr>
                                  <w:rFonts w:ascii="Arial" w:hAnsi="Arial" w:cs="Arial"/>
                                  <w:color w:val="FFFFFF" w:themeColor="background1"/>
                                  <w:sz w:val="24"/>
                                  <w:szCs w:val="24"/>
                                </w:rPr>
                                <w:t>ublic</w:t>
                              </w:r>
                              <w:r w:rsidR="00B6521A" w:rsidRPr="001A5EBC">
                                <w:rPr>
                                  <w:rFonts w:ascii="Arial" w:hAnsi="Arial" w:cs="Arial"/>
                                  <w:color w:val="FFFFFF" w:themeColor="background1"/>
                                  <w:sz w:val="24"/>
                                  <w:szCs w:val="24"/>
                                </w:rPr>
                                <w:t xml:space="preserve"> investment </w:t>
                              </w:r>
                              <w:r w:rsidR="005D50AA" w:rsidRPr="001A5EBC">
                                <w:rPr>
                                  <w:rFonts w:ascii="Arial" w:hAnsi="Arial" w:cs="Arial"/>
                                  <w:color w:val="FFFFFF" w:themeColor="background1"/>
                                  <w:sz w:val="24"/>
                                  <w:szCs w:val="24"/>
                                </w:rPr>
                                <w:t>(</w:t>
                              </w:r>
                              <w:r w:rsidR="005E4EF3" w:rsidRPr="001A5EBC">
                                <w:rPr>
                                  <w:rFonts w:ascii="Arial" w:hAnsi="Arial" w:cs="Arial"/>
                                  <w:color w:val="FFFFFF" w:themeColor="background1"/>
                                  <w:sz w:val="24"/>
                                  <w:szCs w:val="24"/>
                                </w:rPr>
                                <w:t xml:space="preserve">primarily in direct funding of </w:t>
                              </w:r>
                              <w:r w:rsidR="005E0E4B" w:rsidRPr="001A5EBC">
                                <w:rPr>
                                  <w:rFonts w:ascii="Arial" w:hAnsi="Arial" w:cs="Arial"/>
                                  <w:color w:val="FFFFFF" w:themeColor="background1"/>
                                  <w:sz w:val="24"/>
                                  <w:szCs w:val="24"/>
                                </w:rPr>
                                <w:t xml:space="preserve">renewable </w:t>
                              </w:r>
                              <w:r w:rsidR="005E4EF3" w:rsidRPr="001A5EBC">
                                <w:rPr>
                                  <w:rFonts w:ascii="Arial" w:hAnsi="Arial" w:cs="Arial"/>
                                  <w:color w:val="FFFFFF" w:themeColor="background1"/>
                                  <w:sz w:val="24"/>
                                  <w:szCs w:val="24"/>
                                </w:rPr>
                                <w:t>energy generation and supporting low-income households in the energy transition</w:t>
                              </w:r>
                              <w:r w:rsidR="005D50AA" w:rsidRPr="001A5EBC">
                                <w:rPr>
                                  <w:rFonts w:ascii="Arial" w:hAnsi="Arial" w:cs="Arial"/>
                                  <w:color w:val="FFFFFF" w:themeColor="background1"/>
                                  <w:sz w:val="24"/>
                                  <w:szCs w:val="24"/>
                                </w:rPr>
                                <w:t xml:space="preserve">) </w:t>
                              </w:r>
                              <w:r w:rsidR="00B6521A" w:rsidRPr="001A5EBC">
                                <w:rPr>
                                  <w:rFonts w:ascii="Arial" w:hAnsi="Arial" w:cs="Arial"/>
                                  <w:color w:val="FFFFFF" w:themeColor="background1"/>
                                  <w:sz w:val="24"/>
                                  <w:szCs w:val="24"/>
                                </w:rPr>
                                <w:t>and £</w:t>
                              </w:r>
                              <w:r w:rsidR="005D50AA" w:rsidRPr="001A5EBC">
                                <w:rPr>
                                  <w:rFonts w:ascii="Arial" w:hAnsi="Arial" w:cs="Arial"/>
                                  <w:color w:val="FFFFFF" w:themeColor="background1"/>
                                  <w:sz w:val="24"/>
                                  <w:szCs w:val="24"/>
                                </w:rPr>
                                <w:t>7</w:t>
                              </w:r>
                              <w:r w:rsidR="00B6521A" w:rsidRPr="001A5EBC">
                                <w:rPr>
                                  <w:rFonts w:ascii="Arial" w:hAnsi="Arial" w:cs="Arial"/>
                                  <w:color w:val="FFFFFF" w:themeColor="background1"/>
                                  <w:sz w:val="24"/>
                                  <w:szCs w:val="24"/>
                                </w:rPr>
                                <w:t xml:space="preserve">bn is </w:t>
                              </w:r>
                              <w:r w:rsidR="005E0E4B" w:rsidRPr="001A5EBC">
                                <w:rPr>
                                  <w:rFonts w:ascii="Arial" w:hAnsi="Arial" w:cs="Arial"/>
                                  <w:color w:val="FFFFFF" w:themeColor="background1"/>
                                  <w:sz w:val="24"/>
                                  <w:szCs w:val="24"/>
                                </w:rPr>
                                <w:t xml:space="preserve">private </w:t>
                              </w:r>
                              <w:r w:rsidR="00B6521A" w:rsidRPr="001A5EBC">
                                <w:rPr>
                                  <w:rFonts w:ascii="Arial" w:hAnsi="Arial" w:cs="Arial"/>
                                  <w:color w:val="FFFFFF" w:themeColor="background1"/>
                                  <w:sz w:val="24"/>
                                  <w:szCs w:val="24"/>
                                </w:rPr>
                                <w:t>investments.</w:t>
                              </w:r>
                            </w:p>
                            <w:p w14:paraId="27C049CA" w14:textId="77777777" w:rsidR="000900F5" w:rsidRPr="001A5EBC" w:rsidRDefault="000900F5" w:rsidP="000900F5">
                              <w:pPr>
                                <w:rPr>
                                  <w:color w:val="FFFFFF" w:themeColor="background1"/>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349FE9DA" id="Group 12" o:spid="_x0000_s1032" style="position:absolute;left:0;text-align:left;margin-left:0;margin-top:61.55pt;width:552.75pt;height:129.45pt;z-index:251657230;mso-position-horizontal:left;mso-position-horizontal-relative:page;mso-height-relative:margin" coordsize="70200,119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">
                <v:rect id="Rectangle 9" o:spid="_x0000_s1033" style="position:absolute;width:70200;height:119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" fillcolor="#009fe3 [3204]" stroked="f" strokeweight="2pt"/>
                <v:shapetype id="_x0000_t41" coordsize="21600,21600" o:spt="41" adj="-8280,24300,-1800,4050" path="m@0@1l@2@3nfem,l21600,r,21600l,21600nsxe">
                  <v:stroke joinstyle="miter"/>
                  <v:formulas>
                    <v:f eqn="val #0"/>
                    <v:f eqn="val #1"/>
                    <v:f eqn="val #2"/>
                    <v:f eqn="val #3"/>
                  </v:formulas>
                  <v:path arrowok="t" o:extrusionok="f" gradientshapeok="t" o:connecttype="custom" o:connectlocs="@0,@1;10800,0;10800,21600;0,10800;21600,10800"/>
                  <v:handles>
                    <v:h position="#0,#1"/>
                    <v:h position="#2,#3"/>
                  </v:handles>
                  <o:callout v:ext="edit" type="oneSegment" on="t" textborder="f"/>
                </v:shapetype>
                <v:shape id="_x0000_s1034" type="#_x0000_t41" style="position:absolute;left:3934;top:1594;width:5543;height:76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" adj="21544,21733,21640,-39" filled="f" strokecolor="white [3212]" strokeweight=".5pt">
                  <v:textbox>
                    <w:txbxContent>
                      <w:p w14:paraId="5757F4EA" w14:textId="77777777" w:rsidR="000900F5" w:rsidRPr="001A5EBC" w:rsidRDefault="000900F5" w:rsidP="000900F5">
                        <w:pPr>
                          <w:jc w:val="right"/>
                          <w:rPr>
                            <w:rFonts w:asciiTheme="majorHAnsi" w:hAnsiTheme="majorHAnsi"/>
                            <w:b/>
                            <w:bCs/>
                            <w:color w:val="FFFFFF" w:themeColor="background1"/>
                            <w:sz w:val="80"/>
                            <w:szCs w:val="80"/>
                          </w:rPr>
                        </w:pPr>
                        <w:r w:rsidRPr="001A5EBC">
                          <w:rPr>
                            <w:rFonts w:asciiTheme="majorHAnsi" w:hAnsiTheme="majorHAnsi"/>
                            <w:b/>
                            <w:bCs/>
                            <w:color w:val="FFFFFF" w:themeColor="background1"/>
                            <w:sz w:val="80"/>
                            <w:szCs w:val="80"/>
                          </w:rPr>
                          <w:t>1</w:t>
                        </w:r>
                      </w:p>
                    </w:txbxContent>
                  </v:textbox>
                  <o:callout v:ext="edit" minusy="t"/>
                </v:shape>
                <v:shape id="Text Box 11" o:spid="_x0000_s1035" type="#_x0000_t202" style="position:absolute;left:11057;top:1381;width:54720;height:106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" filled="f" stroked="f" strokeweight=".5pt">
                  <v:textbox inset="0,0,0,0">
                    <w:txbxContent>
                      <w:p w14:paraId="645B906B" w14:textId="77777777" w:rsidR="000900F5" w:rsidRPr="001A5EBC" w:rsidRDefault="00A20E03" w:rsidP="000900F5">
                        <w:pPr>
                          <w:pStyle w:val="StandardHeading16ptBlack"/>
                        </w:pPr>
                        <w:r w:rsidRPr="001A5EBC">
                          <w:t>Energy</w:t>
                        </w:r>
                      </w:p>
                      <w:p w14:paraId="4334EA20" w14:textId="0C010D4F" w:rsidR="00B6521A" w:rsidRPr="001A5EBC" w:rsidRDefault="004A569C" w:rsidP="000900F5">
                        <w:pPr>
                          <w:pStyle w:val="StandardHeading16ptBlack"/>
                          <w:rPr>
                            <w:rFonts w:ascii="Arial" w:hAnsi="Arial" w:cs="Arial"/>
                            <w:b/>
                            <w:bCs/>
                            <w:color w:val="FFFFFF" w:themeColor="background1"/>
                            <w:sz w:val="24"/>
                            <w:szCs w:val="24"/>
                          </w:rPr>
                        </w:pPr>
                        <w:r w:rsidRPr="001A5EBC">
                          <w:rPr>
                            <w:rFonts w:ascii="Arial" w:hAnsi="Arial" w:cs="Arial"/>
                            <w:b/>
                            <w:bCs/>
                            <w:color w:val="FFFFFF" w:themeColor="background1"/>
                            <w:sz w:val="24"/>
                            <w:szCs w:val="24"/>
                          </w:rPr>
                          <w:t xml:space="preserve">In the energy sector, </w:t>
                        </w:r>
                        <w:r w:rsidRPr="001A5EBC">
                          <w:rPr>
                            <w:rFonts w:asciiTheme="minorHAnsi" w:hAnsiTheme="minorHAnsi" w:cstheme="minorHAnsi"/>
                            <w:b/>
                            <w:bCs/>
                            <w:color w:val="FFFFFF" w:themeColor="background1"/>
                            <w:sz w:val="24"/>
                            <w:szCs w:val="24"/>
                          </w:rPr>
                          <w:t>p</w:t>
                        </w:r>
                        <w:r w:rsidR="005D50AA" w:rsidRPr="001A5EBC">
                          <w:rPr>
                            <w:rFonts w:asciiTheme="minorHAnsi" w:hAnsiTheme="minorHAnsi" w:cstheme="minorHAnsi"/>
                            <w:b/>
                            <w:bCs/>
                            <w:color w:val="FFFFFF" w:themeColor="background1"/>
                            <w:sz w:val="24"/>
                            <w:szCs w:val="24"/>
                          </w:rPr>
                          <w:t>ublic</w:t>
                        </w:r>
                        <w:r w:rsidRPr="001A5EBC">
                          <w:rPr>
                            <w:rFonts w:asciiTheme="minorHAnsi" w:hAnsiTheme="minorHAnsi" w:cstheme="minorHAnsi"/>
                            <w:b/>
                            <w:bCs/>
                            <w:color w:val="FFFFFF" w:themeColor="background1"/>
                            <w:sz w:val="24"/>
                            <w:szCs w:val="24"/>
                          </w:rPr>
                          <w:t xml:space="preserve"> investments will constitute </w:t>
                        </w:r>
                        <w:r w:rsidR="005D50AA" w:rsidRPr="001A5EBC">
                          <w:rPr>
                            <w:rFonts w:asciiTheme="minorHAnsi" w:hAnsiTheme="minorHAnsi" w:cstheme="minorHAnsi"/>
                            <w:b/>
                            <w:bCs/>
                            <w:color w:val="FFFFFF" w:themeColor="background1"/>
                            <w:sz w:val="24"/>
                            <w:szCs w:val="24"/>
                          </w:rPr>
                          <w:t>3</w:t>
                        </w:r>
                        <w:r w:rsidRPr="001A5EBC">
                          <w:rPr>
                            <w:rFonts w:asciiTheme="minorHAnsi" w:hAnsiTheme="minorHAnsi" w:cstheme="minorHAnsi"/>
                            <w:b/>
                            <w:bCs/>
                            <w:color w:val="FFFFFF" w:themeColor="background1"/>
                            <w:sz w:val="24"/>
                            <w:szCs w:val="24"/>
                          </w:rPr>
                          <w:t xml:space="preserve">0% of the necessary funding, with the remaining </w:t>
                        </w:r>
                        <w:r w:rsidR="005D50AA" w:rsidRPr="001A5EBC">
                          <w:rPr>
                            <w:rFonts w:asciiTheme="minorHAnsi" w:hAnsiTheme="minorHAnsi" w:cstheme="minorHAnsi"/>
                            <w:b/>
                            <w:bCs/>
                            <w:color w:val="FFFFFF" w:themeColor="background1"/>
                            <w:sz w:val="24"/>
                            <w:szCs w:val="24"/>
                          </w:rPr>
                          <w:t>7</w:t>
                        </w:r>
                        <w:r w:rsidRPr="001A5EBC">
                          <w:rPr>
                            <w:rFonts w:asciiTheme="minorHAnsi" w:hAnsiTheme="minorHAnsi" w:cstheme="minorHAnsi"/>
                            <w:b/>
                            <w:bCs/>
                            <w:color w:val="FFFFFF" w:themeColor="background1"/>
                            <w:sz w:val="24"/>
                            <w:szCs w:val="24"/>
                          </w:rPr>
                          <w:t xml:space="preserve">0% expected to be covered by </w:t>
                        </w:r>
                        <w:r w:rsidR="005D50AA" w:rsidRPr="001A5EBC">
                          <w:rPr>
                            <w:rFonts w:asciiTheme="minorHAnsi" w:hAnsiTheme="minorHAnsi" w:cstheme="minorHAnsi"/>
                            <w:b/>
                            <w:bCs/>
                            <w:color w:val="FFFFFF" w:themeColor="background1"/>
                            <w:sz w:val="24"/>
                            <w:szCs w:val="24"/>
                          </w:rPr>
                          <w:t>private</w:t>
                        </w:r>
                        <w:r w:rsidRPr="001A5EBC">
                          <w:rPr>
                            <w:rFonts w:asciiTheme="minorHAnsi" w:hAnsiTheme="minorHAnsi" w:cstheme="minorHAnsi"/>
                            <w:b/>
                            <w:bCs/>
                            <w:color w:val="FFFFFF" w:themeColor="background1"/>
                            <w:sz w:val="24"/>
                            <w:szCs w:val="24"/>
                          </w:rPr>
                          <w:t xml:space="preserve"> investments.</w:t>
                        </w:r>
                        <w:r w:rsidR="00B6521A" w:rsidRPr="001A5EBC">
                          <w:rPr>
                            <w:rFonts w:asciiTheme="minorHAnsi" w:hAnsiTheme="minorHAnsi" w:cstheme="minorHAnsi"/>
                            <w:b/>
                            <w:bCs/>
                            <w:color w:val="FFFFFF" w:themeColor="background1"/>
                            <w:sz w:val="24"/>
                            <w:szCs w:val="24"/>
                          </w:rPr>
                          <w:t xml:space="preserve"> </w:t>
                        </w:r>
                        <w:r w:rsidR="00B6521A" w:rsidRPr="001A5EBC">
                          <w:rPr>
                            <w:rFonts w:ascii="Arial" w:hAnsi="Arial" w:cs="Arial"/>
                            <w:color w:val="FFFFFF" w:themeColor="background1"/>
                            <w:sz w:val="24"/>
                            <w:szCs w:val="24"/>
                          </w:rPr>
                          <w:t>Of the</w:t>
                        </w:r>
                        <w:r w:rsidR="00BD4CDC" w:rsidRPr="001A5EBC">
                          <w:rPr>
                            <w:rFonts w:ascii="Arial" w:hAnsi="Arial" w:cs="Arial"/>
                            <w:color w:val="FFFFFF" w:themeColor="background1"/>
                            <w:sz w:val="24"/>
                            <w:szCs w:val="24"/>
                          </w:rPr>
                          <w:t xml:space="preserve"> </w:t>
                        </w:r>
                        <w:r w:rsidR="00B6521A" w:rsidRPr="001A5EBC">
                          <w:rPr>
                            <w:rFonts w:ascii="Arial" w:hAnsi="Arial" w:cs="Arial"/>
                            <w:color w:val="FFFFFF" w:themeColor="background1"/>
                            <w:sz w:val="24"/>
                            <w:szCs w:val="24"/>
                          </w:rPr>
                          <w:t>£10bn</w:t>
                        </w:r>
                        <w:r w:rsidR="00415229" w:rsidRPr="001A5EBC">
                          <w:rPr>
                            <w:rFonts w:ascii="Arial" w:hAnsi="Arial" w:cs="Arial"/>
                            <w:color w:val="FFFFFF" w:themeColor="background1"/>
                            <w:sz w:val="24"/>
                            <w:szCs w:val="24"/>
                          </w:rPr>
                          <w:t xml:space="preserve"> energy investments allocated to </w:t>
                        </w:r>
                        <w:r w:rsidR="00B6521A" w:rsidRPr="001A5EBC">
                          <w:rPr>
                            <w:rFonts w:ascii="Arial" w:hAnsi="Arial" w:cs="Arial"/>
                            <w:color w:val="FFFFFF" w:themeColor="background1"/>
                            <w:sz w:val="24"/>
                            <w:szCs w:val="24"/>
                          </w:rPr>
                          <w:t>the North</w:t>
                        </w:r>
                        <w:r w:rsidR="00415229" w:rsidRPr="001A5EBC">
                          <w:rPr>
                            <w:rFonts w:ascii="Arial" w:hAnsi="Arial" w:cs="Arial"/>
                            <w:color w:val="FFFFFF" w:themeColor="background1"/>
                            <w:sz w:val="24"/>
                            <w:szCs w:val="24"/>
                          </w:rPr>
                          <w:t xml:space="preserve"> of England</w:t>
                        </w:r>
                        <w:r w:rsidR="00B6521A" w:rsidRPr="001A5EBC">
                          <w:rPr>
                            <w:rFonts w:ascii="Arial" w:hAnsi="Arial" w:cs="Arial"/>
                            <w:color w:val="FFFFFF" w:themeColor="background1"/>
                            <w:sz w:val="24"/>
                            <w:szCs w:val="24"/>
                          </w:rPr>
                          <w:t>, £</w:t>
                        </w:r>
                        <w:r w:rsidR="005D50AA" w:rsidRPr="001A5EBC">
                          <w:rPr>
                            <w:rFonts w:ascii="Arial" w:hAnsi="Arial" w:cs="Arial"/>
                            <w:color w:val="FFFFFF" w:themeColor="background1"/>
                            <w:sz w:val="24"/>
                            <w:szCs w:val="24"/>
                          </w:rPr>
                          <w:t>3</w:t>
                        </w:r>
                        <w:r w:rsidR="00B6521A" w:rsidRPr="001A5EBC">
                          <w:rPr>
                            <w:rFonts w:ascii="Arial" w:hAnsi="Arial" w:cs="Arial"/>
                            <w:color w:val="FFFFFF" w:themeColor="background1"/>
                            <w:sz w:val="24"/>
                            <w:szCs w:val="24"/>
                          </w:rPr>
                          <w:t>bn is p</w:t>
                        </w:r>
                        <w:r w:rsidR="005D50AA" w:rsidRPr="001A5EBC">
                          <w:rPr>
                            <w:rFonts w:ascii="Arial" w:hAnsi="Arial" w:cs="Arial"/>
                            <w:color w:val="FFFFFF" w:themeColor="background1"/>
                            <w:sz w:val="24"/>
                            <w:szCs w:val="24"/>
                          </w:rPr>
                          <w:t>ublic</w:t>
                        </w:r>
                        <w:r w:rsidR="00B6521A" w:rsidRPr="001A5EBC">
                          <w:rPr>
                            <w:rFonts w:ascii="Arial" w:hAnsi="Arial" w:cs="Arial"/>
                            <w:color w:val="FFFFFF" w:themeColor="background1"/>
                            <w:sz w:val="24"/>
                            <w:szCs w:val="24"/>
                          </w:rPr>
                          <w:t xml:space="preserve"> investment </w:t>
                        </w:r>
                        <w:r w:rsidR="005D50AA" w:rsidRPr="001A5EBC">
                          <w:rPr>
                            <w:rFonts w:ascii="Arial" w:hAnsi="Arial" w:cs="Arial"/>
                            <w:color w:val="FFFFFF" w:themeColor="background1"/>
                            <w:sz w:val="24"/>
                            <w:szCs w:val="24"/>
                          </w:rPr>
                          <w:t>(</w:t>
                        </w:r>
                        <w:r w:rsidR="005E4EF3" w:rsidRPr="001A5EBC">
                          <w:rPr>
                            <w:rFonts w:ascii="Arial" w:hAnsi="Arial" w:cs="Arial"/>
                            <w:color w:val="FFFFFF" w:themeColor="background1"/>
                            <w:sz w:val="24"/>
                            <w:szCs w:val="24"/>
                          </w:rPr>
                          <w:t xml:space="preserve">primarily in direct funding of </w:t>
                        </w:r>
                        <w:r w:rsidR="005E0E4B" w:rsidRPr="001A5EBC">
                          <w:rPr>
                            <w:rFonts w:ascii="Arial" w:hAnsi="Arial" w:cs="Arial"/>
                            <w:color w:val="FFFFFF" w:themeColor="background1"/>
                            <w:sz w:val="24"/>
                            <w:szCs w:val="24"/>
                          </w:rPr>
                          <w:t xml:space="preserve">renewable </w:t>
                        </w:r>
                        <w:r w:rsidR="005E4EF3" w:rsidRPr="001A5EBC">
                          <w:rPr>
                            <w:rFonts w:ascii="Arial" w:hAnsi="Arial" w:cs="Arial"/>
                            <w:color w:val="FFFFFF" w:themeColor="background1"/>
                            <w:sz w:val="24"/>
                            <w:szCs w:val="24"/>
                          </w:rPr>
                          <w:t>energy generation and supporting low-income households in the energy transition</w:t>
                        </w:r>
                        <w:r w:rsidR="005D50AA" w:rsidRPr="001A5EBC">
                          <w:rPr>
                            <w:rFonts w:ascii="Arial" w:hAnsi="Arial" w:cs="Arial"/>
                            <w:color w:val="FFFFFF" w:themeColor="background1"/>
                            <w:sz w:val="24"/>
                            <w:szCs w:val="24"/>
                          </w:rPr>
                          <w:t xml:space="preserve">) </w:t>
                        </w:r>
                        <w:r w:rsidR="00B6521A" w:rsidRPr="001A5EBC">
                          <w:rPr>
                            <w:rFonts w:ascii="Arial" w:hAnsi="Arial" w:cs="Arial"/>
                            <w:color w:val="FFFFFF" w:themeColor="background1"/>
                            <w:sz w:val="24"/>
                            <w:szCs w:val="24"/>
                          </w:rPr>
                          <w:t>and £</w:t>
                        </w:r>
                        <w:r w:rsidR="005D50AA" w:rsidRPr="001A5EBC">
                          <w:rPr>
                            <w:rFonts w:ascii="Arial" w:hAnsi="Arial" w:cs="Arial"/>
                            <w:color w:val="FFFFFF" w:themeColor="background1"/>
                            <w:sz w:val="24"/>
                            <w:szCs w:val="24"/>
                          </w:rPr>
                          <w:t>7</w:t>
                        </w:r>
                        <w:r w:rsidR="00B6521A" w:rsidRPr="001A5EBC">
                          <w:rPr>
                            <w:rFonts w:ascii="Arial" w:hAnsi="Arial" w:cs="Arial"/>
                            <w:color w:val="FFFFFF" w:themeColor="background1"/>
                            <w:sz w:val="24"/>
                            <w:szCs w:val="24"/>
                          </w:rPr>
                          <w:t xml:space="preserve">bn is </w:t>
                        </w:r>
                        <w:r w:rsidR="005E0E4B" w:rsidRPr="001A5EBC">
                          <w:rPr>
                            <w:rFonts w:ascii="Arial" w:hAnsi="Arial" w:cs="Arial"/>
                            <w:color w:val="FFFFFF" w:themeColor="background1"/>
                            <w:sz w:val="24"/>
                            <w:szCs w:val="24"/>
                          </w:rPr>
                          <w:t xml:space="preserve">private </w:t>
                        </w:r>
                        <w:r w:rsidR="00B6521A" w:rsidRPr="001A5EBC">
                          <w:rPr>
                            <w:rFonts w:ascii="Arial" w:hAnsi="Arial" w:cs="Arial"/>
                            <w:color w:val="FFFFFF" w:themeColor="background1"/>
                            <w:sz w:val="24"/>
                            <w:szCs w:val="24"/>
                          </w:rPr>
                          <w:t>investments.</w:t>
                        </w:r>
                      </w:p>
                      <w:p w14:paraId="27C049CA" w14:textId="77777777" w:rsidR="000900F5" w:rsidRPr="001A5EBC" w:rsidRDefault="000900F5" w:rsidP="000900F5">
                        <w:pPr>
                          <w:rPr>
                            <w:color w:val="FFFFFF" w:themeColor="background1"/>
                          </w:rPr>
                        </w:pPr>
                      </w:p>
                    </w:txbxContent>
                  </v:textbox>
                </v:shape>
                <w10:wrap anchorx="page"/>
              </v:group>
            </w:pict>
          </mc:Fallback>
        </mc:AlternateContent>
      </w:r>
      <w:r w:rsidR="00155C68" w:rsidRPr="001A5EBC">
        <w:t>Conclusion</w:t>
      </w:r>
      <w:r w:rsidR="000900F5" w:rsidRPr="001A5EBC">
        <w:t>s</w:t>
      </w:r>
      <w:bookmarkEnd w:id="10"/>
    </w:p>
    <w:p w14:paraId="22D7E9C8" w14:textId="5AA67D04" w:rsidR="00E86FE0" w:rsidRPr="001A5EBC" w:rsidRDefault="00E86FE0" w:rsidP="00E86FE0">
      <w:pPr>
        <w:rPr>
          <w:color w:val="FFFFFF" w:themeColor="background1"/>
        </w:rPr>
      </w:pPr>
      <w:r w:rsidRPr="001A5EBC">
        <w:rPr>
          <w:color w:val="FFFFFF" w:themeColor="background1"/>
        </w:rPr>
        <w:t>footprint of an individual born today in Nigeria</w:t>
      </w:r>
    </w:p>
    <w:p w14:paraId="456456FB" w14:textId="5B79190B" w:rsidR="000900F5" w:rsidRPr="001A5EBC" w:rsidRDefault="000900F5" w:rsidP="000900F5">
      <w:pPr>
        <w:pStyle w:val="BodyText"/>
      </w:pPr>
    </w:p>
    <w:p w14:paraId="3569BDB7" w14:textId="77777777" w:rsidR="000900F5" w:rsidRPr="001A5EBC" w:rsidRDefault="000900F5" w:rsidP="000900F5">
      <w:pPr>
        <w:pStyle w:val="BodyText"/>
      </w:pPr>
    </w:p>
    <w:p w14:paraId="0C0AC2F3" w14:textId="077EA263" w:rsidR="000900F5" w:rsidRPr="001A5EBC" w:rsidRDefault="001F5843" w:rsidP="000900F5">
      <w:pPr>
        <w:pStyle w:val="BodyText"/>
      </w:pPr>
      <w:r w:rsidRPr="001A5EBC">
        <w:rPr>
          <w:noProof/>
        </w:rPr>
        <mc:AlternateContent>
          <mc:Choice Requires="wpg">
            <w:drawing>
              <wp:anchor distT="0" distB="0" distL="114300" distR="114300" simplePos="0" relativeHeight="251657231" behindDoc="0" locked="0" layoutInCell="1" allowOverlap="1" wp14:anchorId="1AF2281E" wp14:editId="201032D9">
                <wp:simplePos x="0" y="0"/>
                <wp:positionH relativeFrom="page">
                  <wp:posOffset>-19050</wp:posOffset>
                </wp:positionH>
                <wp:positionV relativeFrom="paragraph">
                  <wp:posOffset>4357370</wp:posOffset>
                </wp:positionV>
                <wp:extent cx="7037705" cy="1715135"/>
                <wp:effectExtent l="0" t="0" r="0" b="0"/>
                <wp:wrapNone/>
                <wp:docPr id="306609309" name="Group 12"/>
                <wp:cNvGraphicFramePr/>
                <a:graphic xmlns:a="http://schemas.openxmlformats.org/drawingml/2006/main">
                  <a:graphicData uri="http://schemas.microsoft.com/office/word/2010/wordprocessingGroup">
                    <wpg:wgp>
                      <wpg:cNvGrpSpPr/>
                      <wpg:grpSpPr>
                        <a:xfrm>
                          <a:off x="0" y="0"/>
                          <a:ext cx="7037705" cy="1715135"/>
                          <a:chOff x="0" y="102070"/>
                          <a:chExt cx="7020000" cy="1198800"/>
                        </a:xfrm>
                      </wpg:grpSpPr>
                      <wps:wsp>
                        <wps:cNvPr id="1511980885" name="Rectangle 9"/>
                        <wps:cNvSpPr/>
                        <wps:spPr>
                          <a:xfrm>
                            <a:off x="0" y="102070"/>
                            <a:ext cx="7020000" cy="1198800"/>
                          </a:xfrm>
                          <a:prstGeom prst="rect">
                            <a:avLst/>
                          </a:prstGeom>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1712397" name="Text Box 10"/>
                        <wps:cNvSpPr txBox="1"/>
                        <wps:spPr>
                          <a:xfrm>
                            <a:off x="393405" y="159489"/>
                            <a:ext cx="554355" cy="762635"/>
                          </a:xfrm>
                          <a:prstGeom prst="callout1">
                            <a:avLst>
                              <a:gd name="adj1" fmla="val -182"/>
                              <a:gd name="adj2" fmla="val 100186"/>
                              <a:gd name="adj3" fmla="val 100614"/>
                              <a:gd name="adj4" fmla="val 99739"/>
                            </a:avLst>
                          </a:prstGeom>
                          <a:noFill/>
                          <a:ln w="6350">
                            <a:solidFill>
                              <a:schemeClr val="bg1"/>
                            </a:solidFill>
                          </a:ln>
                        </wps:spPr>
                        <wps:txbx>
                          <w:txbxContent>
                            <w:p w14:paraId="7F956A91" w14:textId="77777777" w:rsidR="00E86FE0" w:rsidRPr="001A5EBC" w:rsidRDefault="00E86FE0" w:rsidP="00E86FE0">
                              <w:pPr>
                                <w:jc w:val="right"/>
                                <w:rPr>
                                  <w:rFonts w:asciiTheme="majorHAnsi" w:hAnsiTheme="majorHAnsi"/>
                                  <w:b/>
                                  <w:bCs/>
                                  <w:color w:val="FFFFFF" w:themeColor="background1"/>
                                  <w:sz w:val="80"/>
                                  <w:szCs w:val="80"/>
                                </w:rPr>
                              </w:pPr>
                              <w:r w:rsidRPr="001A5EBC">
                                <w:rPr>
                                  <w:rFonts w:asciiTheme="majorHAnsi" w:hAnsiTheme="majorHAnsi"/>
                                  <w:b/>
                                  <w:bCs/>
                                  <w:color w:val="FFFFFF" w:themeColor="background1"/>
                                  <w:sz w:val="80"/>
                                  <w:szCs w:val="80"/>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853653870" name="Text Box 11"/>
                        <wps:cNvSpPr txBox="1"/>
                        <wps:spPr>
                          <a:xfrm>
                            <a:off x="1105760" y="138198"/>
                            <a:ext cx="5732435" cy="976091"/>
                          </a:xfrm>
                          <a:prstGeom prst="rect">
                            <a:avLst/>
                          </a:prstGeom>
                          <a:noFill/>
                          <a:ln w="6350">
                            <a:noFill/>
                          </a:ln>
                        </wps:spPr>
                        <wps:txbx>
                          <w:txbxContent>
                            <w:p w14:paraId="22264413" w14:textId="77777777" w:rsidR="00E86FE0" w:rsidRPr="001A5EBC" w:rsidRDefault="00A20E03" w:rsidP="00E86FE0">
                              <w:pPr>
                                <w:pStyle w:val="StandardHeading16ptBlack"/>
                              </w:pPr>
                              <w:r w:rsidRPr="001A5EBC">
                                <w:t>Industry</w:t>
                              </w:r>
                            </w:p>
                            <w:p w14:paraId="533544D5" w14:textId="58EB0DD9" w:rsidR="00E5465D" w:rsidRPr="001A5EBC" w:rsidRDefault="004A569C" w:rsidP="00E5465D">
                              <w:pPr>
                                <w:pStyle w:val="ListBullet"/>
                                <w:numPr>
                                  <w:ilvl w:val="0"/>
                                  <w:numId w:val="0"/>
                                </w:numPr>
                                <w:jc w:val="both"/>
                                <w:rPr>
                                  <w:color w:val="FFFFFF" w:themeColor="background1"/>
                                  <w:sz w:val="24"/>
                                  <w:szCs w:val="24"/>
                                </w:rPr>
                              </w:pPr>
                              <w:r w:rsidRPr="001A5EBC">
                                <w:rPr>
                                  <w:b/>
                                  <w:bCs/>
                                  <w:color w:val="FFFFFF" w:themeColor="background1"/>
                                  <w:sz w:val="24"/>
                                  <w:szCs w:val="24"/>
                                </w:rPr>
                                <w:t xml:space="preserve">In the industrial sector, </w:t>
                              </w:r>
                              <w:r w:rsidR="00E642CA" w:rsidRPr="001A5EBC">
                                <w:rPr>
                                  <w:b/>
                                  <w:bCs/>
                                  <w:color w:val="FFFFFF" w:themeColor="background1"/>
                                  <w:sz w:val="24"/>
                                  <w:szCs w:val="24"/>
                                </w:rPr>
                                <w:t>p</w:t>
                              </w:r>
                              <w:r w:rsidR="0073199E" w:rsidRPr="001A5EBC">
                                <w:rPr>
                                  <w:b/>
                                  <w:bCs/>
                                  <w:color w:val="FFFFFF" w:themeColor="background1"/>
                                  <w:sz w:val="24"/>
                                  <w:szCs w:val="24"/>
                                </w:rPr>
                                <w:t>ublic</w:t>
                              </w:r>
                              <w:r w:rsidR="00E642CA" w:rsidRPr="001A5EBC">
                                <w:rPr>
                                  <w:b/>
                                  <w:bCs/>
                                  <w:color w:val="FFFFFF" w:themeColor="background1"/>
                                  <w:sz w:val="24"/>
                                  <w:szCs w:val="24"/>
                                </w:rPr>
                                <w:t xml:space="preserve"> </w:t>
                              </w:r>
                              <w:r w:rsidRPr="001A5EBC">
                                <w:rPr>
                                  <w:b/>
                                  <w:bCs/>
                                  <w:color w:val="FFFFFF" w:themeColor="background1"/>
                                  <w:sz w:val="24"/>
                                  <w:szCs w:val="24"/>
                                </w:rPr>
                                <w:t xml:space="preserve">investments will constitute </w:t>
                              </w:r>
                              <w:r w:rsidR="00053D4D">
                                <w:rPr>
                                  <w:b/>
                                  <w:bCs/>
                                  <w:color w:val="FFFFFF" w:themeColor="background1"/>
                                  <w:sz w:val="24"/>
                                  <w:szCs w:val="24"/>
                                </w:rPr>
                                <w:t>20</w:t>
                              </w:r>
                              <w:r w:rsidRPr="001A5EBC">
                                <w:rPr>
                                  <w:b/>
                                  <w:bCs/>
                                  <w:color w:val="FFFFFF" w:themeColor="background1"/>
                                  <w:sz w:val="24"/>
                                  <w:szCs w:val="24"/>
                                </w:rPr>
                                <w:t xml:space="preserve">% of the necessary funding, with the remaining </w:t>
                              </w:r>
                              <w:r w:rsidR="00053D4D">
                                <w:rPr>
                                  <w:b/>
                                  <w:bCs/>
                                  <w:color w:val="FFFFFF" w:themeColor="background1"/>
                                  <w:sz w:val="24"/>
                                  <w:szCs w:val="24"/>
                                </w:rPr>
                                <w:t>80</w:t>
                              </w:r>
                              <w:r w:rsidRPr="001A5EBC">
                                <w:rPr>
                                  <w:b/>
                                  <w:bCs/>
                                  <w:color w:val="FFFFFF" w:themeColor="background1"/>
                                  <w:sz w:val="24"/>
                                  <w:szCs w:val="24"/>
                                </w:rPr>
                                <w:t xml:space="preserve">% expected to be covered by </w:t>
                              </w:r>
                              <w:r w:rsidR="003B16FB" w:rsidRPr="001A5EBC">
                                <w:rPr>
                                  <w:b/>
                                  <w:bCs/>
                                  <w:color w:val="FFFFFF" w:themeColor="background1"/>
                                  <w:sz w:val="24"/>
                                  <w:szCs w:val="24"/>
                                </w:rPr>
                                <w:t>private investments</w:t>
                              </w:r>
                              <w:r w:rsidR="00E5465D" w:rsidRPr="001A5EBC">
                                <w:rPr>
                                  <w:b/>
                                  <w:bCs/>
                                  <w:color w:val="FFFFFF" w:themeColor="background1"/>
                                  <w:sz w:val="24"/>
                                  <w:szCs w:val="24"/>
                                </w:rPr>
                                <w:t xml:space="preserve">. </w:t>
                              </w:r>
                              <w:r w:rsidR="00E5465D" w:rsidRPr="001A5EBC">
                                <w:rPr>
                                  <w:color w:val="FFFFFF" w:themeColor="background1"/>
                                  <w:sz w:val="24"/>
                                  <w:szCs w:val="24"/>
                                </w:rPr>
                                <w:t>Of the £4bn pa</w:t>
                              </w:r>
                              <w:r w:rsidR="00BE1D77" w:rsidRPr="001A5EBC">
                                <w:rPr>
                                  <w:color w:val="FFFFFF" w:themeColor="background1"/>
                                  <w:sz w:val="24"/>
                                  <w:szCs w:val="24"/>
                                </w:rPr>
                                <w:t xml:space="preserve"> </w:t>
                              </w:r>
                              <w:r w:rsidR="00237DBA" w:rsidRPr="001A5EBC">
                                <w:rPr>
                                  <w:color w:val="FFFFFF" w:themeColor="background1"/>
                                  <w:sz w:val="24"/>
                                  <w:szCs w:val="24"/>
                                </w:rPr>
                                <w:t>industry</w:t>
                              </w:r>
                              <w:r w:rsidR="00E5465D" w:rsidRPr="001A5EBC">
                                <w:rPr>
                                  <w:color w:val="FFFFFF" w:themeColor="background1"/>
                                  <w:sz w:val="24"/>
                                  <w:szCs w:val="24"/>
                                </w:rPr>
                                <w:t xml:space="preserve"> investments allocated in the North</w:t>
                              </w:r>
                              <w:r w:rsidR="004A7E3F" w:rsidRPr="001A5EBC">
                                <w:rPr>
                                  <w:color w:val="FFFFFF" w:themeColor="background1"/>
                                  <w:sz w:val="24"/>
                                  <w:szCs w:val="24"/>
                                </w:rPr>
                                <w:t xml:space="preserve"> of England</w:t>
                              </w:r>
                              <w:r w:rsidR="00E5465D" w:rsidRPr="001A5EBC">
                                <w:rPr>
                                  <w:color w:val="FFFFFF" w:themeColor="background1"/>
                                  <w:sz w:val="24"/>
                                  <w:szCs w:val="24"/>
                                </w:rPr>
                                <w:t xml:space="preserve">, </w:t>
                              </w:r>
                              <w:r w:rsidR="001F5843">
                                <w:rPr>
                                  <w:color w:val="FFFFFF" w:themeColor="background1"/>
                                  <w:sz w:val="24"/>
                                  <w:szCs w:val="24"/>
                                </w:rPr>
                                <w:t>20</w:t>
                              </w:r>
                              <w:r w:rsidR="003B16FB" w:rsidRPr="003B16FB">
                                <w:rPr>
                                  <w:color w:val="FFFFFF" w:themeColor="background1"/>
                                  <w:sz w:val="24"/>
                                  <w:szCs w:val="24"/>
                                </w:rPr>
                                <w:t>% (</w:t>
                              </w:r>
                              <w:r w:rsidR="00E5465D" w:rsidRPr="003B16FB">
                                <w:rPr>
                                  <w:color w:val="FFFFFF" w:themeColor="background1"/>
                                  <w:sz w:val="24"/>
                                  <w:szCs w:val="24"/>
                                </w:rPr>
                                <w:t>£</w:t>
                              </w:r>
                              <w:r w:rsidR="001F5843" w:rsidRPr="003B16FB">
                                <w:rPr>
                                  <w:color w:val="FFFFFF" w:themeColor="background1"/>
                                  <w:sz w:val="24"/>
                                  <w:szCs w:val="24"/>
                                </w:rPr>
                                <w:t>0</w:t>
                              </w:r>
                              <w:r w:rsidR="001F5843">
                                <w:rPr>
                                  <w:color w:val="FFFFFF" w:themeColor="background1"/>
                                  <w:sz w:val="24"/>
                                  <w:szCs w:val="24"/>
                                </w:rPr>
                                <w:t>.8</w:t>
                              </w:r>
                              <w:r w:rsidR="00E5465D" w:rsidRPr="001A5EBC">
                                <w:rPr>
                                  <w:color w:val="FFFFFF" w:themeColor="background1"/>
                                  <w:sz w:val="24"/>
                                  <w:szCs w:val="24"/>
                                </w:rPr>
                                <w:t>bn)</w:t>
                              </w:r>
                              <w:r w:rsidR="00E5465D" w:rsidRPr="001A5EBC">
                                <w:rPr>
                                  <w:color w:val="FF0000"/>
                                  <w:sz w:val="24"/>
                                  <w:szCs w:val="24"/>
                                </w:rPr>
                                <w:t xml:space="preserve"> </w:t>
                              </w:r>
                              <w:r w:rsidR="004A7E3F" w:rsidRPr="001A5EBC">
                                <w:rPr>
                                  <w:color w:val="FFFFFF" w:themeColor="background1"/>
                                  <w:sz w:val="24"/>
                                  <w:szCs w:val="24"/>
                                </w:rPr>
                                <w:t>would</w:t>
                              </w:r>
                              <w:r w:rsidR="003B16FB">
                                <w:rPr>
                                  <w:color w:val="FFFFFF" w:themeColor="background1"/>
                                  <w:sz w:val="24"/>
                                  <w:szCs w:val="24"/>
                                </w:rPr>
                                <w:t xml:space="preserve"> </w:t>
                              </w:r>
                              <w:r w:rsidR="004A7E3F" w:rsidRPr="001A5EBC">
                                <w:rPr>
                                  <w:color w:val="FFFFFF" w:themeColor="background1"/>
                                  <w:sz w:val="24"/>
                                  <w:szCs w:val="24"/>
                                </w:rPr>
                                <w:t xml:space="preserve">come from </w:t>
                              </w:r>
                              <w:r w:rsidR="00E5465D" w:rsidRPr="001A5EBC">
                                <w:rPr>
                                  <w:color w:val="FFFFFF" w:themeColor="background1"/>
                                  <w:sz w:val="24"/>
                                  <w:szCs w:val="24"/>
                                </w:rPr>
                                <w:t xml:space="preserve">public </w:t>
                              </w:r>
                              <w:r w:rsidR="004A7E3F" w:rsidRPr="001A5EBC">
                                <w:rPr>
                                  <w:color w:val="FFFFFF" w:themeColor="background1"/>
                                  <w:sz w:val="24"/>
                                  <w:szCs w:val="24"/>
                                </w:rPr>
                                <w:t>fundin</w:t>
                              </w:r>
                              <w:r w:rsidR="009534C2" w:rsidRPr="001A5EBC">
                                <w:rPr>
                                  <w:color w:val="FFFFFF" w:themeColor="background1"/>
                                  <w:sz w:val="24"/>
                                  <w:szCs w:val="24"/>
                                </w:rPr>
                                <w:t xml:space="preserve">g </w:t>
                              </w:r>
                              <w:r w:rsidR="00E5465D" w:rsidRPr="001A5EBC">
                                <w:rPr>
                                  <w:color w:val="FFFFFF" w:themeColor="background1"/>
                                  <w:sz w:val="24"/>
                                  <w:szCs w:val="24"/>
                                </w:rPr>
                                <w:t>(primarily to funding publicly owned CCUS and hydrogen infrastructure and grants/tax incentives to accelerate fuel switching)</w:t>
                              </w:r>
                              <w:r w:rsidR="001F5843">
                                <w:rPr>
                                  <w:color w:val="FFFFFF" w:themeColor="background1"/>
                                  <w:sz w:val="24"/>
                                  <w:szCs w:val="24"/>
                                </w:rPr>
                                <w:t xml:space="preserve">, </w:t>
                              </w:r>
                              <w:r w:rsidR="001F5843" w:rsidRPr="001A5EBC">
                                <w:rPr>
                                  <w:color w:val="FFFFFF" w:themeColor="background1"/>
                                  <w:sz w:val="24"/>
                                  <w:szCs w:val="24"/>
                                </w:rPr>
                                <w:t>and £</w:t>
                              </w:r>
                              <w:r w:rsidR="001F5843">
                                <w:rPr>
                                  <w:color w:val="FFFFFF" w:themeColor="background1"/>
                                  <w:sz w:val="24"/>
                                  <w:szCs w:val="24"/>
                                </w:rPr>
                                <w:t>3.2</w:t>
                              </w:r>
                              <w:r w:rsidR="001F5843" w:rsidRPr="001A5EBC">
                                <w:rPr>
                                  <w:color w:val="FFFFFF" w:themeColor="background1"/>
                                  <w:sz w:val="24"/>
                                  <w:szCs w:val="24"/>
                                </w:rPr>
                                <w:t>bn from private sector</w:t>
                              </w:r>
                              <w:r w:rsidR="001F5843">
                                <w:rPr>
                                  <w:color w:val="FFFFFF" w:themeColor="background1"/>
                                  <w:sz w:val="24"/>
                                  <w:szCs w:val="24"/>
                                </w:rPr>
                                <w:t>.</w:t>
                              </w:r>
                            </w:p>
                            <w:p w14:paraId="46A6CB35" w14:textId="3D9E8FFF" w:rsidR="00D125AB" w:rsidRPr="001A5EBC" w:rsidRDefault="00D125AB" w:rsidP="0057028F">
                              <w:pPr>
                                <w:pStyle w:val="ListBullet"/>
                                <w:numPr>
                                  <w:ilvl w:val="0"/>
                                  <w:numId w:val="0"/>
                                </w:numPr>
                                <w:jc w:val="both"/>
                                <w:rPr>
                                  <w:sz w:val="24"/>
                                  <w:szCs w:val="24"/>
                                </w:rPr>
                              </w:pPr>
                            </w:p>
                            <w:p w14:paraId="310E4912" w14:textId="77777777" w:rsidR="00E86FE0" w:rsidRPr="001A5EBC" w:rsidRDefault="00E86FE0" w:rsidP="00E86FE0">
                              <w:pPr>
                                <w:rPr>
                                  <w:color w:val="FFFFFF" w:themeColor="background1"/>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AF2281E" id="_x0000_s1036" style="position:absolute;margin-left:-1.5pt;margin-top:343.1pt;width:554.15pt;height:135.05pt;z-index:251657231;mso-position-horizontal-relative:page;mso-width-relative:margin;mso-height-relative:margin" coordorigin=",1020" coordsize="70200,119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">
                <v:rect id="Rectangle 9" o:spid="_x0000_s1037" style="position:absolute;top:1020;width:70200;height:119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" fillcolor="#009fe3 [3204]" stroked="f" strokeweight="2pt"/>
                <v:shape id="_x0000_s1038" type="#_x0000_t41" style="position:absolute;left:3934;top:1594;width:5543;height:76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" adj="21544,21733,21640,-39" filled="f" strokecolor="white [3212]" strokeweight=".5pt">
                  <v:textbox>
                    <w:txbxContent>
                      <w:p w14:paraId="7F956A91" w14:textId="77777777" w:rsidR="00E86FE0" w:rsidRPr="001A5EBC" w:rsidRDefault="00E86FE0" w:rsidP="00E86FE0">
                        <w:pPr>
                          <w:jc w:val="right"/>
                          <w:rPr>
                            <w:rFonts w:asciiTheme="majorHAnsi" w:hAnsiTheme="majorHAnsi"/>
                            <w:b/>
                            <w:bCs/>
                            <w:color w:val="FFFFFF" w:themeColor="background1"/>
                            <w:sz w:val="80"/>
                            <w:szCs w:val="80"/>
                          </w:rPr>
                        </w:pPr>
                        <w:r w:rsidRPr="001A5EBC">
                          <w:rPr>
                            <w:rFonts w:asciiTheme="majorHAnsi" w:hAnsiTheme="majorHAnsi"/>
                            <w:b/>
                            <w:bCs/>
                            <w:color w:val="FFFFFF" w:themeColor="background1"/>
                            <w:sz w:val="80"/>
                            <w:szCs w:val="80"/>
                          </w:rPr>
                          <w:t>4</w:t>
                        </w:r>
                      </w:p>
                    </w:txbxContent>
                  </v:textbox>
                  <o:callout v:ext="edit" minusy="t"/>
                </v:shape>
                <v:shape id="Text Box 11" o:spid="_x0000_s1039" type="#_x0000_t202" style="position:absolute;left:11057;top:1381;width:57324;height:97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" filled="f" stroked="f" strokeweight=".5pt">
                  <v:textbox inset="0,0,0,0">
                    <w:txbxContent>
                      <w:p w14:paraId="22264413" w14:textId="77777777" w:rsidR="00E86FE0" w:rsidRPr="001A5EBC" w:rsidRDefault="00A20E03" w:rsidP="00E86FE0">
                        <w:pPr>
                          <w:pStyle w:val="StandardHeading16ptBlack"/>
                        </w:pPr>
                        <w:r w:rsidRPr="001A5EBC">
                          <w:t>Industry</w:t>
                        </w:r>
                      </w:p>
                      <w:p w14:paraId="533544D5" w14:textId="58EB0DD9" w:rsidR="00E5465D" w:rsidRPr="001A5EBC" w:rsidRDefault="004A569C" w:rsidP="00E5465D">
                        <w:pPr>
                          <w:pStyle w:val="ListBullet"/>
                          <w:numPr>
                            <w:ilvl w:val="0"/>
                            <w:numId w:val="0"/>
                          </w:numPr>
                          <w:jc w:val="both"/>
                          <w:rPr>
                            <w:color w:val="FFFFFF" w:themeColor="background1"/>
                            <w:sz w:val="24"/>
                            <w:szCs w:val="24"/>
                          </w:rPr>
                        </w:pPr>
                        <w:r w:rsidRPr="001A5EBC">
                          <w:rPr>
                            <w:b/>
                            <w:bCs/>
                            <w:color w:val="FFFFFF" w:themeColor="background1"/>
                            <w:sz w:val="24"/>
                            <w:szCs w:val="24"/>
                          </w:rPr>
                          <w:t xml:space="preserve">In the industrial sector, </w:t>
                        </w:r>
                        <w:r w:rsidR="00E642CA" w:rsidRPr="001A5EBC">
                          <w:rPr>
                            <w:b/>
                            <w:bCs/>
                            <w:color w:val="FFFFFF" w:themeColor="background1"/>
                            <w:sz w:val="24"/>
                            <w:szCs w:val="24"/>
                          </w:rPr>
                          <w:t>p</w:t>
                        </w:r>
                        <w:r w:rsidR="0073199E" w:rsidRPr="001A5EBC">
                          <w:rPr>
                            <w:b/>
                            <w:bCs/>
                            <w:color w:val="FFFFFF" w:themeColor="background1"/>
                            <w:sz w:val="24"/>
                            <w:szCs w:val="24"/>
                          </w:rPr>
                          <w:t>ublic</w:t>
                        </w:r>
                        <w:r w:rsidR="00E642CA" w:rsidRPr="001A5EBC">
                          <w:rPr>
                            <w:b/>
                            <w:bCs/>
                            <w:color w:val="FFFFFF" w:themeColor="background1"/>
                            <w:sz w:val="24"/>
                            <w:szCs w:val="24"/>
                          </w:rPr>
                          <w:t xml:space="preserve"> </w:t>
                        </w:r>
                        <w:r w:rsidRPr="001A5EBC">
                          <w:rPr>
                            <w:b/>
                            <w:bCs/>
                            <w:color w:val="FFFFFF" w:themeColor="background1"/>
                            <w:sz w:val="24"/>
                            <w:szCs w:val="24"/>
                          </w:rPr>
                          <w:t xml:space="preserve">investments will constitute </w:t>
                        </w:r>
                        <w:r w:rsidR="00053D4D">
                          <w:rPr>
                            <w:b/>
                            <w:bCs/>
                            <w:color w:val="FFFFFF" w:themeColor="background1"/>
                            <w:sz w:val="24"/>
                            <w:szCs w:val="24"/>
                          </w:rPr>
                          <w:t>20</w:t>
                        </w:r>
                        <w:r w:rsidRPr="001A5EBC">
                          <w:rPr>
                            <w:b/>
                            <w:bCs/>
                            <w:color w:val="FFFFFF" w:themeColor="background1"/>
                            <w:sz w:val="24"/>
                            <w:szCs w:val="24"/>
                          </w:rPr>
                          <w:t xml:space="preserve">% of the necessary funding, with the remaining </w:t>
                        </w:r>
                        <w:r w:rsidR="00053D4D">
                          <w:rPr>
                            <w:b/>
                            <w:bCs/>
                            <w:color w:val="FFFFFF" w:themeColor="background1"/>
                            <w:sz w:val="24"/>
                            <w:szCs w:val="24"/>
                          </w:rPr>
                          <w:t>80</w:t>
                        </w:r>
                        <w:r w:rsidRPr="001A5EBC">
                          <w:rPr>
                            <w:b/>
                            <w:bCs/>
                            <w:color w:val="FFFFFF" w:themeColor="background1"/>
                            <w:sz w:val="24"/>
                            <w:szCs w:val="24"/>
                          </w:rPr>
                          <w:t xml:space="preserve">% expected to be covered by </w:t>
                        </w:r>
                        <w:r w:rsidR="003B16FB" w:rsidRPr="001A5EBC">
                          <w:rPr>
                            <w:b/>
                            <w:bCs/>
                            <w:color w:val="FFFFFF" w:themeColor="background1"/>
                            <w:sz w:val="24"/>
                            <w:szCs w:val="24"/>
                          </w:rPr>
                          <w:t>private investments</w:t>
                        </w:r>
                        <w:r w:rsidR="00E5465D" w:rsidRPr="001A5EBC">
                          <w:rPr>
                            <w:b/>
                            <w:bCs/>
                            <w:color w:val="FFFFFF" w:themeColor="background1"/>
                            <w:sz w:val="24"/>
                            <w:szCs w:val="24"/>
                          </w:rPr>
                          <w:t xml:space="preserve">. </w:t>
                        </w:r>
                        <w:r w:rsidR="00E5465D" w:rsidRPr="001A5EBC">
                          <w:rPr>
                            <w:color w:val="FFFFFF" w:themeColor="background1"/>
                            <w:sz w:val="24"/>
                            <w:szCs w:val="24"/>
                          </w:rPr>
                          <w:t>Of the £4bn pa</w:t>
                        </w:r>
                        <w:r w:rsidR="00BE1D77" w:rsidRPr="001A5EBC">
                          <w:rPr>
                            <w:color w:val="FFFFFF" w:themeColor="background1"/>
                            <w:sz w:val="24"/>
                            <w:szCs w:val="24"/>
                          </w:rPr>
                          <w:t xml:space="preserve"> </w:t>
                        </w:r>
                        <w:r w:rsidR="00237DBA" w:rsidRPr="001A5EBC">
                          <w:rPr>
                            <w:color w:val="FFFFFF" w:themeColor="background1"/>
                            <w:sz w:val="24"/>
                            <w:szCs w:val="24"/>
                          </w:rPr>
                          <w:t>industry</w:t>
                        </w:r>
                        <w:r w:rsidR="00E5465D" w:rsidRPr="001A5EBC">
                          <w:rPr>
                            <w:color w:val="FFFFFF" w:themeColor="background1"/>
                            <w:sz w:val="24"/>
                            <w:szCs w:val="24"/>
                          </w:rPr>
                          <w:t xml:space="preserve"> investments allocated in the North</w:t>
                        </w:r>
                        <w:r w:rsidR="004A7E3F" w:rsidRPr="001A5EBC">
                          <w:rPr>
                            <w:color w:val="FFFFFF" w:themeColor="background1"/>
                            <w:sz w:val="24"/>
                            <w:szCs w:val="24"/>
                          </w:rPr>
                          <w:t xml:space="preserve"> of England</w:t>
                        </w:r>
                        <w:r w:rsidR="00E5465D" w:rsidRPr="001A5EBC">
                          <w:rPr>
                            <w:color w:val="FFFFFF" w:themeColor="background1"/>
                            <w:sz w:val="24"/>
                            <w:szCs w:val="24"/>
                          </w:rPr>
                          <w:t xml:space="preserve">, </w:t>
                        </w:r>
                        <w:r w:rsidR="001F5843">
                          <w:rPr>
                            <w:color w:val="FFFFFF" w:themeColor="background1"/>
                            <w:sz w:val="24"/>
                            <w:szCs w:val="24"/>
                          </w:rPr>
                          <w:t>20</w:t>
                        </w:r>
                        <w:r w:rsidR="003B16FB" w:rsidRPr="003B16FB">
                          <w:rPr>
                            <w:color w:val="FFFFFF" w:themeColor="background1"/>
                            <w:sz w:val="24"/>
                            <w:szCs w:val="24"/>
                          </w:rPr>
                          <w:t>% (</w:t>
                        </w:r>
                        <w:r w:rsidR="00E5465D" w:rsidRPr="003B16FB">
                          <w:rPr>
                            <w:color w:val="FFFFFF" w:themeColor="background1"/>
                            <w:sz w:val="24"/>
                            <w:szCs w:val="24"/>
                          </w:rPr>
                          <w:t>£</w:t>
                        </w:r>
                        <w:r w:rsidR="001F5843" w:rsidRPr="003B16FB">
                          <w:rPr>
                            <w:color w:val="FFFFFF" w:themeColor="background1"/>
                            <w:sz w:val="24"/>
                            <w:szCs w:val="24"/>
                          </w:rPr>
                          <w:t>0</w:t>
                        </w:r>
                        <w:r w:rsidR="001F5843">
                          <w:rPr>
                            <w:color w:val="FFFFFF" w:themeColor="background1"/>
                            <w:sz w:val="24"/>
                            <w:szCs w:val="24"/>
                          </w:rPr>
                          <w:t>.8</w:t>
                        </w:r>
                        <w:r w:rsidR="00E5465D" w:rsidRPr="001A5EBC">
                          <w:rPr>
                            <w:color w:val="FFFFFF" w:themeColor="background1"/>
                            <w:sz w:val="24"/>
                            <w:szCs w:val="24"/>
                          </w:rPr>
                          <w:t>bn)</w:t>
                        </w:r>
                        <w:r w:rsidR="00E5465D" w:rsidRPr="001A5EBC">
                          <w:rPr>
                            <w:color w:val="FF0000"/>
                            <w:sz w:val="24"/>
                            <w:szCs w:val="24"/>
                          </w:rPr>
                          <w:t xml:space="preserve"> </w:t>
                        </w:r>
                        <w:r w:rsidR="004A7E3F" w:rsidRPr="001A5EBC">
                          <w:rPr>
                            <w:color w:val="FFFFFF" w:themeColor="background1"/>
                            <w:sz w:val="24"/>
                            <w:szCs w:val="24"/>
                          </w:rPr>
                          <w:t>would</w:t>
                        </w:r>
                        <w:r w:rsidR="003B16FB">
                          <w:rPr>
                            <w:color w:val="FFFFFF" w:themeColor="background1"/>
                            <w:sz w:val="24"/>
                            <w:szCs w:val="24"/>
                          </w:rPr>
                          <w:t xml:space="preserve"> </w:t>
                        </w:r>
                        <w:r w:rsidR="004A7E3F" w:rsidRPr="001A5EBC">
                          <w:rPr>
                            <w:color w:val="FFFFFF" w:themeColor="background1"/>
                            <w:sz w:val="24"/>
                            <w:szCs w:val="24"/>
                          </w:rPr>
                          <w:t xml:space="preserve">come from </w:t>
                        </w:r>
                        <w:r w:rsidR="00E5465D" w:rsidRPr="001A5EBC">
                          <w:rPr>
                            <w:color w:val="FFFFFF" w:themeColor="background1"/>
                            <w:sz w:val="24"/>
                            <w:szCs w:val="24"/>
                          </w:rPr>
                          <w:t xml:space="preserve">public </w:t>
                        </w:r>
                        <w:r w:rsidR="004A7E3F" w:rsidRPr="001A5EBC">
                          <w:rPr>
                            <w:color w:val="FFFFFF" w:themeColor="background1"/>
                            <w:sz w:val="24"/>
                            <w:szCs w:val="24"/>
                          </w:rPr>
                          <w:t>fundin</w:t>
                        </w:r>
                        <w:r w:rsidR="009534C2" w:rsidRPr="001A5EBC">
                          <w:rPr>
                            <w:color w:val="FFFFFF" w:themeColor="background1"/>
                            <w:sz w:val="24"/>
                            <w:szCs w:val="24"/>
                          </w:rPr>
                          <w:t xml:space="preserve">g </w:t>
                        </w:r>
                        <w:r w:rsidR="00E5465D" w:rsidRPr="001A5EBC">
                          <w:rPr>
                            <w:color w:val="FFFFFF" w:themeColor="background1"/>
                            <w:sz w:val="24"/>
                            <w:szCs w:val="24"/>
                          </w:rPr>
                          <w:t>(primarily to funding publicly owned CCUS and hydrogen infrastructure and grants/tax incentives to accelerate fuel switching)</w:t>
                        </w:r>
                        <w:r w:rsidR="001F5843">
                          <w:rPr>
                            <w:color w:val="FFFFFF" w:themeColor="background1"/>
                            <w:sz w:val="24"/>
                            <w:szCs w:val="24"/>
                          </w:rPr>
                          <w:t xml:space="preserve">, </w:t>
                        </w:r>
                        <w:r w:rsidR="001F5843" w:rsidRPr="001A5EBC">
                          <w:rPr>
                            <w:color w:val="FFFFFF" w:themeColor="background1"/>
                            <w:sz w:val="24"/>
                            <w:szCs w:val="24"/>
                          </w:rPr>
                          <w:t>and £</w:t>
                        </w:r>
                        <w:r w:rsidR="001F5843">
                          <w:rPr>
                            <w:color w:val="FFFFFF" w:themeColor="background1"/>
                            <w:sz w:val="24"/>
                            <w:szCs w:val="24"/>
                          </w:rPr>
                          <w:t>3.2</w:t>
                        </w:r>
                        <w:r w:rsidR="001F5843" w:rsidRPr="001A5EBC">
                          <w:rPr>
                            <w:color w:val="FFFFFF" w:themeColor="background1"/>
                            <w:sz w:val="24"/>
                            <w:szCs w:val="24"/>
                          </w:rPr>
                          <w:t>bn from private sector</w:t>
                        </w:r>
                        <w:r w:rsidR="001F5843">
                          <w:rPr>
                            <w:color w:val="FFFFFF" w:themeColor="background1"/>
                            <w:sz w:val="24"/>
                            <w:szCs w:val="24"/>
                          </w:rPr>
                          <w:t>.</w:t>
                        </w:r>
                      </w:p>
                      <w:p w14:paraId="46A6CB35" w14:textId="3D9E8FFF" w:rsidR="00D125AB" w:rsidRPr="001A5EBC" w:rsidRDefault="00D125AB" w:rsidP="0057028F">
                        <w:pPr>
                          <w:pStyle w:val="ListBullet"/>
                          <w:numPr>
                            <w:ilvl w:val="0"/>
                            <w:numId w:val="0"/>
                          </w:numPr>
                          <w:jc w:val="both"/>
                          <w:rPr>
                            <w:sz w:val="24"/>
                            <w:szCs w:val="24"/>
                          </w:rPr>
                        </w:pPr>
                      </w:p>
                      <w:p w14:paraId="310E4912" w14:textId="77777777" w:rsidR="00E86FE0" w:rsidRPr="001A5EBC" w:rsidRDefault="00E86FE0" w:rsidP="00E86FE0">
                        <w:pPr>
                          <w:rPr>
                            <w:color w:val="FFFFFF" w:themeColor="background1"/>
                          </w:rPr>
                        </w:pPr>
                      </w:p>
                    </w:txbxContent>
                  </v:textbox>
                </v:shape>
                <w10:wrap anchorx="page"/>
              </v:group>
            </w:pict>
          </mc:Fallback>
        </mc:AlternateContent>
      </w:r>
      <w:r w:rsidRPr="001A5EBC">
        <w:rPr>
          <w:noProof/>
        </w:rPr>
        <mc:AlternateContent>
          <mc:Choice Requires="wpg">
            <w:drawing>
              <wp:anchor distT="0" distB="0" distL="114300" distR="114300" simplePos="0" relativeHeight="251657232" behindDoc="0" locked="0" layoutInCell="1" allowOverlap="1" wp14:anchorId="4F9344C8" wp14:editId="3795F0D0">
                <wp:simplePos x="0" y="0"/>
                <wp:positionH relativeFrom="page">
                  <wp:posOffset>0</wp:posOffset>
                </wp:positionH>
                <wp:positionV relativeFrom="paragraph">
                  <wp:posOffset>2360295</wp:posOffset>
                </wp:positionV>
                <wp:extent cx="7019925" cy="1898015"/>
                <wp:effectExtent l="0" t="0" r="9525" b="6985"/>
                <wp:wrapNone/>
                <wp:docPr id="1071145333" name="Group 12"/>
                <wp:cNvGraphicFramePr/>
                <a:graphic xmlns:a="http://schemas.openxmlformats.org/drawingml/2006/main">
                  <a:graphicData uri="http://schemas.microsoft.com/office/word/2010/wordprocessingGroup">
                    <wpg:wgp>
                      <wpg:cNvGrpSpPr/>
                      <wpg:grpSpPr>
                        <a:xfrm>
                          <a:off x="0" y="0"/>
                          <a:ext cx="7019925" cy="1898015"/>
                          <a:chOff x="0" y="0"/>
                          <a:chExt cx="7020000" cy="1198800"/>
                        </a:xfrm>
                      </wpg:grpSpPr>
                      <wps:wsp>
                        <wps:cNvPr id="1890644554" name="Rectangle 9"/>
                        <wps:cNvSpPr/>
                        <wps:spPr>
                          <a:xfrm>
                            <a:off x="0" y="0"/>
                            <a:ext cx="7020000" cy="1198800"/>
                          </a:xfrm>
                          <a:prstGeom prst="rect">
                            <a:avLst/>
                          </a:prstGeom>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63268643" name="Text Box 10"/>
                        <wps:cNvSpPr txBox="1"/>
                        <wps:spPr>
                          <a:xfrm>
                            <a:off x="393405" y="159489"/>
                            <a:ext cx="554355" cy="762635"/>
                          </a:xfrm>
                          <a:prstGeom prst="callout1">
                            <a:avLst>
                              <a:gd name="adj1" fmla="val -182"/>
                              <a:gd name="adj2" fmla="val 100186"/>
                              <a:gd name="adj3" fmla="val 100614"/>
                              <a:gd name="adj4" fmla="val 99739"/>
                            </a:avLst>
                          </a:prstGeom>
                          <a:noFill/>
                          <a:ln w="6350">
                            <a:solidFill>
                              <a:schemeClr val="bg1"/>
                            </a:solidFill>
                          </a:ln>
                        </wps:spPr>
                        <wps:txbx>
                          <w:txbxContent>
                            <w:p w14:paraId="77554C97" w14:textId="77777777" w:rsidR="000900F5" w:rsidRPr="001A5EBC" w:rsidRDefault="000900F5" w:rsidP="000900F5">
                              <w:pPr>
                                <w:jc w:val="right"/>
                                <w:rPr>
                                  <w:rFonts w:asciiTheme="majorHAnsi" w:hAnsiTheme="majorHAnsi"/>
                                  <w:b/>
                                  <w:bCs/>
                                  <w:color w:val="FFFFFF" w:themeColor="background1"/>
                                  <w:sz w:val="80"/>
                                  <w:szCs w:val="80"/>
                                </w:rPr>
                              </w:pPr>
                              <w:r w:rsidRPr="001A5EBC">
                                <w:rPr>
                                  <w:rFonts w:asciiTheme="majorHAnsi" w:hAnsiTheme="majorHAnsi"/>
                                  <w:b/>
                                  <w:bCs/>
                                  <w:color w:val="FFFFFF" w:themeColor="background1"/>
                                  <w:sz w:val="80"/>
                                  <w:szCs w:val="80"/>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439997096" name="Text Box 11"/>
                        <wps:cNvSpPr txBox="1"/>
                        <wps:spPr>
                          <a:xfrm>
                            <a:off x="1105786" y="138208"/>
                            <a:ext cx="5472000" cy="989814"/>
                          </a:xfrm>
                          <a:prstGeom prst="rect">
                            <a:avLst/>
                          </a:prstGeom>
                          <a:noFill/>
                          <a:ln w="6350">
                            <a:noFill/>
                          </a:ln>
                        </wps:spPr>
                        <wps:txbx>
                          <w:txbxContent>
                            <w:p w14:paraId="1E682AED" w14:textId="1E13CAE1" w:rsidR="000900F5" w:rsidRPr="001A5EBC" w:rsidRDefault="00A20E03" w:rsidP="000900F5">
                              <w:pPr>
                                <w:pStyle w:val="StandardHeading16ptBlack"/>
                              </w:pPr>
                              <w:r w:rsidRPr="001A5EBC">
                                <w:t>Transport</w:t>
                              </w:r>
                            </w:p>
                            <w:p w14:paraId="1D43997F" w14:textId="16801E9B" w:rsidR="000900F5" w:rsidRPr="001A5EBC" w:rsidRDefault="000E677C" w:rsidP="00E86FE0">
                              <w:pPr>
                                <w:rPr>
                                  <w:color w:val="FFFFFF" w:themeColor="background1"/>
                                  <w:sz w:val="24"/>
                                  <w:szCs w:val="24"/>
                                </w:rPr>
                              </w:pPr>
                              <w:r w:rsidRPr="001A5EBC">
                                <w:rPr>
                                  <w:b/>
                                  <w:bCs/>
                                  <w:color w:val="FFFFFF" w:themeColor="background1"/>
                                  <w:sz w:val="24"/>
                                  <w:szCs w:val="24"/>
                                </w:rPr>
                                <w:t>Investments from</w:t>
                              </w:r>
                              <w:r w:rsidR="00797C51" w:rsidRPr="001A5EBC">
                                <w:rPr>
                                  <w:b/>
                                  <w:bCs/>
                                  <w:color w:val="FFFFFF" w:themeColor="background1"/>
                                  <w:sz w:val="24"/>
                                  <w:szCs w:val="24"/>
                                </w:rPr>
                                <w:t xml:space="preserve"> public finances</w:t>
                              </w:r>
                              <w:r w:rsidRPr="001A5EBC">
                                <w:rPr>
                                  <w:b/>
                                  <w:bCs/>
                                  <w:color w:val="FFFFFF" w:themeColor="background1"/>
                                  <w:sz w:val="24"/>
                                  <w:szCs w:val="24"/>
                                </w:rPr>
                                <w:t xml:space="preserve"> </w:t>
                              </w:r>
                              <w:r w:rsidR="00AB51F5" w:rsidRPr="001A5EBC">
                                <w:rPr>
                                  <w:b/>
                                  <w:bCs/>
                                  <w:color w:val="FFFFFF" w:themeColor="background1"/>
                                  <w:sz w:val="24"/>
                                  <w:szCs w:val="24"/>
                                </w:rPr>
                                <w:t xml:space="preserve">will be responsible </w:t>
                              </w:r>
                              <w:r w:rsidRPr="001A5EBC">
                                <w:rPr>
                                  <w:b/>
                                  <w:bCs/>
                                  <w:color w:val="FFFFFF" w:themeColor="background1"/>
                                  <w:sz w:val="24"/>
                                  <w:szCs w:val="24"/>
                                </w:rPr>
                                <w:t xml:space="preserve">for </w:t>
                              </w:r>
                              <w:r w:rsidR="00607D9B" w:rsidRPr="001A5EBC">
                                <w:rPr>
                                  <w:b/>
                                  <w:bCs/>
                                  <w:color w:val="FFFFFF" w:themeColor="background1"/>
                                  <w:sz w:val="24"/>
                                  <w:szCs w:val="24"/>
                                </w:rPr>
                                <w:t>3</w:t>
                              </w:r>
                              <w:r w:rsidRPr="001A5EBC">
                                <w:rPr>
                                  <w:b/>
                                  <w:bCs/>
                                  <w:color w:val="FFFFFF" w:themeColor="background1"/>
                                  <w:sz w:val="24"/>
                                  <w:szCs w:val="24"/>
                                </w:rPr>
                                <w:t>0%</w:t>
                              </w:r>
                              <w:r w:rsidR="00AB51F5" w:rsidRPr="001A5EBC">
                                <w:rPr>
                                  <w:b/>
                                  <w:bCs/>
                                  <w:color w:val="FFFFFF" w:themeColor="background1"/>
                                  <w:sz w:val="24"/>
                                  <w:szCs w:val="24"/>
                                </w:rPr>
                                <w:t xml:space="preserve"> of the required investments in the transport sector, while</w:t>
                              </w:r>
                              <w:r w:rsidRPr="001A5EBC">
                                <w:rPr>
                                  <w:b/>
                                  <w:bCs/>
                                  <w:color w:val="FFFFFF" w:themeColor="background1"/>
                                  <w:sz w:val="24"/>
                                  <w:szCs w:val="24"/>
                                </w:rPr>
                                <w:t xml:space="preserve"> </w:t>
                              </w:r>
                              <w:r w:rsidR="00AB51F5" w:rsidRPr="001A5EBC">
                                <w:rPr>
                                  <w:b/>
                                  <w:bCs/>
                                  <w:color w:val="FFFFFF" w:themeColor="background1"/>
                                  <w:sz w:val="24"/>
                                  <w:szCs w:val="24"/>
                                </w:rPr>
                                <w:t xml:space="preserve">the remaining </w:t>
                              </w:r>
                              <w:r w:rsidR="00607D9B" w:rsidRPr="001A5EBC">
                                <w:rPr>
                                  <w:b/>
                                  <w:bCs/>
                                  <w:color w:val="FFFFFF" w:themeColor="background1"/>
                                  <w:sz w:val="24"/>
                                  <w:szCs w:val="24"/>
                                </w:rPr>
                                <w:t>7</w:t>
                              </w:r>
                              <w:r w:rsidRPr="001A5EBC">
                                <w:rPr>
                                  <w:b/>
                                  <w:bCs/>
                                  <w:color w:val="FFFFFF" w:themeColor="background1"/>
                                  <w:sz w:val="24"/>
                                  <w:szCs w:val="24"/>
                                </w:rPr>
                                <w:t>0%</w:t>
                              </w:r>
                              <w:r w:rsidR="00AB51F5" w:rsidRPr="001A5EBC">
                                <w:rPr>
                                  <w:b/>
                                  <w:bCs/>
                                  <w:color w:val="FFFFFF" w:themeColor="background1"/>
                                  <w:sz w:val="24"/>
                                  <w:szCs w:val="24"/>
                                </w:rPr>
                                <w:t xml:space="preserve"> will be covered by</w:t>
                              </w:r>
                              <w:r w:rsidR="00607D9B" w:rsidRPr="001A5EBC">
                                <w:rPr>
                                  <w:b/>
                                  <w:bCs/>
                                  <w:color w:val="FFFFFF" w:themeColor="background1"/>
                                  <w:sz w:val="24"/>
                                  <w:szCs w:val="24"/>
                                </w:rPr>
                                <w:t xml:space="preserve"> households and businesses</w:t>
                              </w:r>
                              <w:r w:rsidRPr="001A5EBC">
                                <w:rPr>
                                  <w:b/>
                                  <w:bCs/>
                                  <w:color w:val="FFFFFF" w:themeColor="background1"/>
                                  <w:sz w:val="24"/>
                                  <w:szCs w:val="24"/>
                                </w:rPr>
                                <w:t>.</w:t>
                              </w:r>
                              <w:r w:rsidR="00AB51F5" w:rsidRPr="001A5EBC">
                                <w:rPr>
                                  <w:color w:val="FFFFFF" w:themeColor="background1"/>
                                  <w:sz w:val="24"/>
                                  <w:szCs w:val="24"/>
                                </w:rPr>
                                <w:t xml:space="preserve"> </w:t>
                              </w:r>
                              <w:r w:rsidRPr="001A5EBC">
                                <w:rPr>
                                  <w:color w:val="FFFFFF" w:themeColor="background1"/>
                                  <w:sz w:val="24"/>
                                  <w:szCs w:val="24"/>
                                </w:rPr>
                                <w:t xml:space="preserve">Assuming £4bn </w:t>
                              </w:r>
                              <w:r w:rsidR="00A26DE8" w:rsidRPr="001A5EBC">
                                <w:rPr>
                                  <w:color w:val="FFFFFF" w:themeColor="background1"/>
                                  <w:sz w:val="24"/>
                                  <w:szCs w:val="24"/>
                                </w:rPr>
                                <w:t>investments in the transport sector are allocated to</w:t>
                              </w:r>
                              <w:r w:rsidRPr="001A5EBC">
                                <w:rPr>
                                  <w:color w:val="FFFFFF" w:themeColor="background1"/>
                                  <w:sz w:val="24"/>
                                  <w:szCs w:val="24"/>
                                </w:rPr>
                                <w:t xml:space="preserve"> the North</w:t>
                              </w:r>
                              <w:r w:rsidR="00A26DE8" w:rsidRPr="001A5EBC">
                                <w:rPr>
                                  <w:color w:val="FFFFFF" w:themeColor="background1"/>
                                  <w:sz w:val="24"/>
                                  <w:szCs w:val="24"/>
                                </w:rPr>
                                <w:t xml:space="preserve"> of England</w:t>
                              </w:r>
                              <w:r w:rsidRPr="001A5EBC">
                                <w:rPr>
                                  <w:color w:val="FFFFFF" w:themeColor="background1"/>
                                  <w:sz w:val="24"/>
                                  <w:szCs w:val="24"/>
                                </w:rPr>
                                <w:t>, £</w:t>
                              </w:r>
                              <w:r w:rsidR="00C414BD" w:rsidRPr="001A5EBC">
                                <w:rPr>
                                  <w:color w:val="FFFFFF" w:themeColor="background1"/>
                                  <w:sz w:val="24"/>
                                  <w:szCs w:val="24"/>
                                </w:rPr>
                                <w:t>1.2</w:t>
                              </w:r>
                              <w:r w:rsidRPr="001A5EBC">
                                <w:rPr>
                                  <w:color w:val="FFFFFF" w:themeColor="background1"/>
                                  <w:sz w:val="24"/>
                                  <w:szCs w:val="24"/>
                                </w:rPr>
                                <w:t xml:space="preserve">bn </w:t>
                              </w:r>
                              <w:r w:rsidR="00256581" w:rsidRPr="001A5EBC">
                                <w:rPr>
                                  <w:color w:val="FFFFFF" w:themeColor="background1"/>
                                  <w:sz w:val="24"/>
                                  <w:szCs w:val="24"/>
                                </w:rPr>
                                <w:t>will be covered by</w:t>
                              </w:r>
                              <w:r w:rsidRPr="001A5EBC">
                                <w:rPr>
                                  <w:color w:val="FFFFFF" w:themeColor="background1"/>
                                  <w:sz w:val="24"/>
                                  <w:szCs w:val="24"/>
                                </w:rPr>
                                <w:t xml:space="preserve"> </w:t>
                              </w:r>
                              <w:r w:rsidR="00C414BD" w:rsidRPr="001A5EBC">
                                <w:rPr>
                                  <w:color w:val="FFFFFF" w:themeColor="background1"/>
                                  <w:sz w:val="24"/>
                                  <w:szCs w:val="24"/>
                                </w:rPr>
                                <w:t>public</w:t>
                              </w:r>
                              <w:r w:rsidRPr="001A5EBC">
                                <w:rPr>
                                  <w:color w:val="FFFFFF" w:themeColor="background1"/>
                                  <w:sz w:val="24"/>
                                  <w:szCs w:val="24"/>
                                </w:rPr>
                                <w:t xml:space="preserve"> investment</w:t>
                              </w:r>
                              <w:r w:rsidR="00C414BD" w:rsidRPr="001A5EBC">
                                <w:rPr>
                                  <w:color w:val="FFFFFF" w:themeColor="background1"/>
                                  <w:sz w:val="24"/>
                                  <w:szCs w:val="24"/>
                                </w:rPr>
                                <w:t xml:space="preserve">s (primarily in upgrading the required </w:t>
                              </w:r>
                              <w:r w:rsidR="001F5843">
                                <w:rPr>
                                  <w:color w:val="FFFFFF" w:themeColor="background1"/>
                                  <w:sz w:val="24"/>
                                  <w:szCs w:val="24"/>
                                </w:rPr>
                                <w:t xml:space="preserve">public and active </w:t>
                              </w:r>
                              <w:r w:rsidR="00C414BD" w:rsidRPr="001A5EBC">
                                <w:rPr>
                                  <w:color w:val="FFFFFF" w:themeColor="background1"/>
                                  <w:sz w:val="24"/>
                                  <w:szCs w:val="24"/>
                                </w:rPr>
                                <w:t>transport infrastructure at the required scale and pace)</w:t>
                              </w:r>
                              <w:r w:rsidRPr="001A5EBC">
                                <w:rPr>
                                  <w:color w:val="FFFFFF" w:themeColor="background1"/>
                                  <w:sz w:val="24"/>
                                  <w:szCs w:val="24"/>
                                </w:rPr>
                                <w:t xml:space="preserve"> and £2</w:t>
                              </w:r>
                              <w:r w:rsidR="00C414BD" w:rsidRPr="001A5EBC">
                                <w:rPr>
                                  <w:color w:val="FFFFFF" w:themeColor="background1"/>
                                  <w:sz w:val="24"/>
                                  <w:szCs w:val="24"/>
                                </w:rPr>
                                <w:t>.8</w:t>
                              </w:r>
                              <w:r w:rsidRPr="001A5EBC">
                                <w:rPr>
                                  <w:color w:val="FFFFFF" w:themeColor="background1"/>
                                  <w:sz w:val="24"/>
                                  <w:szCs w:val="24"/>
                                </w:rPr>
                                <w:t xml:space="preserve">bn </w:t>
                              </w:r>
                              <w:r w:rsidR="00256581" w:rsidRPr="001A5EBC">
                                <w:rPr>
                                  <w:color w:val="FFFFFF" w:themeColor="background1"/>
                                  <w:sz w:val="24"/>
                                  <w:szCs w:val="24"/>
                                </w:rPr>
                                <w:t>by</w:t>
                              </w:r>
                              <w:r w:rsidR="00C414BD" w:rsidRPr="001A5EBC">
                                <w:rPr>
                                  <w:color w:val="FFFFFF" w:themeColor="background1"/>
                                  <w:sz w:val="24"/>
                                  <w:szCs w:val="24"/>
                                </w:rPr>
                                <w:t xml:space="preserve"> private</w:t>
                              </w:r>
                              <w:r w:rsidRPr="001A5EBC">
                                <w:rPr>
                                  <w:color w:val="FFFFFF" w:themeColor="background1"/>
                                  <w:sz w:val="24"/>
                                  <w:szCs w:val="24"/>
                                </w:rPr>
                                <w:t xml:space="preserve"> </w:t>
                              </w:r>
                              <w:r w:rsidR="00256581" w:rsidRPr="001A5EBC">
                                <w:rPr>
                                  <w:color w:val="FFFFFF" w:themeColor="background1"/>
                                  <w:sz w:val="24"/>
                                  <w:szCs w:val="24"/>
                                </w:rPr>
                                <w:t>funds</w:t>
                              </w:r>
                              <w:r w:rsidRPr="001A5EBC">
                                <w:rPr>
                                  <w:color w:val="FFFFFF" w:themeColor="background1"/>
                                  <w:sz w:val="24"/>
                                  <w:szCs w:val="24"/>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4F9344C8" id="_x0000_s1040" style="position:absolute;margin-left:0;margin-top:185.85pt;width:552.75pt;height:149.45pt;z-index:251657232;mso-position-horizontal-relative:page;mso-height-relative:margin" coordsize="70200,119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">
                <v:rect id="Rectangle 9" o:spid="_x0000_s1041" style="position:absolute;width:70200;height:119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" fillcolor="#009fe3 [3204]" stroked="f" strokeweight="2pt"/>
                <v:shape id="_x0000_s1042" type="#_x0000_t41" style="position:absolute;left:3934;top:1594;width:5543;height:76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" adj="21544,21733,21640,-39" filled="f" strokecolor="white [3212]" strokeweight=".5pt">
                  <v:textbox>
                    <w:txbxContent>
                      <w:p w14:paraId="77554C97" w14:textId="77777777" w:rsidR="000900F5" w:rsidRPr="001A5EBC" w:rsidRDefault="000900F5" w:rsidP="000900F5">
                        <w:pPr>
                          <w:jc w:val="right"/>
                          <w:rPr>
                            <w:rFonts w:asciiTheme="majorHAnsi" w:hAnsiTheme="majorHAnsi"/>
                            <w:b/>
                            <w:bCs/>
                            <w:color w:val="FFFFFF" w:themeColor="background1"/>
                            <w:sz w:val="80"/>
                            <w:szCs w:val="80"/>
                          </w:rPr>
                        </w:pPr>
                        <w:r w:rsidRPr="001A5EBC">
                          <w:rPr>
                            <w:rFonts w:asciiTheme="majorHAnsi" w:hAnsiTheme="majorHAnsi"/>
                            <w:b/>
                            <w:bCs/>
                            <w:color w:val="FFFFFF" w:themeColor="background1"/>
                            <w:sz w:val="80"/>
                            <w:szCs w:val="80"/>
                          </w:rPr>
                          <w:t>3</w:t>
                        </w:r>
                      </w:p>
                    </w:txbxContent>
                  </v:textbox>
                  <o:callout v:ext="edit" minusy="t"/>
                </v:shape>
                <v:shape id="Text Box 11" o:spid="_x0000_s1043" type="#_x0000_t202" style="position:absolute;left:11057;top:1382;width:54720;height:98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" filled="f" stroked="f" strokeweight=".5pt">
                  <v:textbox inset="0,0,0,0">
                    <w:txbxContent>
                      <w:p w14:paraId="1E682AED" w14:textId="1E13CAE1" w:rsidR="000900F5" w:rsidRPr="001A5EBC" w:rsidRDefault="00A20E03" w:rsidP="000900F5">
                        <w:pPr>
                          <w:pStyle w:val="StandardHeading16ptBlack"/>
                        </w:pPr>
                        <w:r w:rsidRPr="001A5EBC">
                          <w:t>Transport</w:t>
                        </w:r>
                      </w:p>
                      <w:p w14:paraId="1D43997F" w14:textId="16801E9B" w:rsidR="000900F5" w:rsidRPr="001A5EBC" w:rsidRDefault="000E677C" w:rsidP="00E86FE0">
                        <w:pPr>
                          <w:rPr>
                            <w:color w:val="FFFFFF" w:themeColor="background1"/>
                            <w:sz w:val="24"/>
                            <w:szCs w:val="24"/>
                          </w:rPr>
                        </w:pPr>
                        <w:r w:rsidRPr="001A5EBC">
                          <w:rPr>
                            <w:b/>
                            <w:bCs/>
                            <w:color w:val="FFFFFF" w:themeColor="background1"/>
                            <w:sz w:val="24"/>
                            <w:szCs w:val="24"/>
                          </w:rPr>
                          <w:t>Investments from</w:t>
                        </w:r>
                        <w:r w:rsidR="00797C51" w:rsidRPr="001A5EBC">
                          <w:rPr>
                            <w:b/>
                            <w:bCs/>
                            <w:color w:val="FFFFFF" w:themeColor="background1"/>
                            <w:sz w:val="24"/>
                            <w:szCs w:val="24"/>
                          </w:rPr>
                          <w:t xml:space="preserve"> public finances</w:t>
                        </w:r>
                        <w:r w:rsidRPr="001A5EBC">
                          <w:rPr>
                            <w:b/>
                            <w:bCs/>
                            <w:color w:val="FFFFFF" w:themeColor="background1"/>
                            <w:sz w:val="24"/>
                            <w:szCs w:val="24"/>
                          </w:rPr>
                          <w:t xml:space="preserve"> </w:t>
                        </w:r>
                        <w:r w:rsidR="00AB51F5" w:rsidRPr="001A5EBC">
                          <w:rPr>
                            <w:b/>
                            <w:bCs/>
                            <w:color w:val="FFFFFF" w:themeColor="background1"/>
                            <w:sz w:val="24"/>
                            <w:szCs w:val="24"/>
                          </w:rPr>
                          <w:t xml:space="preserve">will be responsible </w:t>
                        </w:r>
                        <w:r w:rsidRPr="001A5EBC">
                          <w:rPr>
                            <w:b/>
                            <w:bCs/>
                            <w:color w:val="FFFFFF" w:themeColor="background1"/>
                            <w:sz w:val="24"/>
                            <w:szCs w:val="24"/>
                          </w:rPr>
                          <w:t xml:space="preserve">for </w:t>
                        </w:r>
                        <w:r w:rsidR="00607D9B" w:rsidRPr="001A5EBC">
                          <w:rPr>
                            <w:b/>
                            <w:bCs/>
                            <w:color w:val="FFFFFF" w:themeColor="background1"/>
                            <w:sz w:val="24"/>
                            <w:szCs w:val="24"/>
                          </w:rPr>
                          <w:t>3</w:t>
                        </w:r>
                        <w:r w:rsidRPr="001A5EBC">
                          <w:rPr>
                            <w:b/>
                            <w:bCs/>
                            <w:color w:val="FFFFFF" w:themeColor="background1"/>
                            <w:sz w:val="24"/>
                            <w:szCs w:val="24"/>
                          </w:rPr>
                          <w:t>0%</w:t>
                        </w:r>
                        <w:r w:rsidR="00AB51F5" w:rsidRPr="001A5EBC">
                          <w:rPr>
                            <w:b/>
                            <w:bCs/>
                            <w:color w:val="FFFFFF" w:themeColor="background1"/>
                            <w:sz w:val="24"/>
                            <w:szCs w:val="24"/>
                          </w:rPr>
                          <w:t xml:space="preserve"> of the required investments in the transport sector, while</w:t>
                        </w:r>
                        <w:r w:rsidRPr="001A5EBC">
                          <w:rPr>
                            <w:b/>
                            <w:bCs/>
                            <w:color w:val="FFFFFF" w:themeColor="background1"/>
                            <w:sz w:val="24"/>
                            <w:szCs w:val="24"/>
                          </w:rPr>
                          <w:t xml:space="preserve"> </w:t>
                        </w:r>
                        <w:r w:rsidR="00AB51F5" w:rsidRPr="001A5EBC">
                          <w:rPr>
                            <w:b/>
                            <w:bCs/>
                            <w:color w:val="FFFFFF" w:themeColor="background1"/>
                            <w:sz w:val="24"/>
                            <w:szCs w:val="24"/>
                          </w:rPr>
                          <w:t xml:space="preserve">the remaining </w:t>
                        </w:r>
                        <w:r w:rsidR="00607D9B" w:rsidRPr="001A5EBC">
                          <w:rPr>
                            <w:b/>
                            <w:bCs/>
                            <w:color w:val="FFFFFF" w:themeColor="background1"/>
                            <w:sz w:val="24"/>
                            <w:szCs w:val="24"/>
                          </w:rPr>
                          <w:t>7</w:t>
                        </w:r>
                        <w:r w:rsidRPr="001A5EBC">
                          <w:rPr>
                            <w:b/>
                            <w:bCs/>
                            <w:color w:val="FFFFFF" w:themeColor="background1"/>
                            <w:sz w:val="24"/>
                            <w:szCs w:val="24"/>
                          </w:rPr>
                          <w:t>0%</w:t>
                        </w:r>
                        <w:r w:rsidR="00AB51F5" w:rsidRPr="001A5EBC">
                          <w:rPr>
                            <w:b/>
                            <w:bCs/>
                            <w:color w:val="FFFFFF" w:themeColor="background1"/>
                            <w:sz w:val="24"/>
                            <w:szCs w:val="24"/>
                          </w:rPr>
                          <w:t xml:space="preserve"> will be covered by</w:t>
                        </w:r>
                        <w:r w:rsidR="00607D9B" w:rsidRPr="001A5EBC">
                          <w:rPr>
                            <w:b/>
                            <w:bCs/>
                            <w:color w:val="FFFFFF" w:themeColor="background1"/>
                            <w:sz w:val="24"/>
                            <w:szCs w:val="24"/>
                          </w:rPr>
                          <w:t xml:space="preserve"> households and businesses</w:t>
                        </w:r>
                        <w:r w:rsidRPr="001A5EBC">
                          <w:rPr>
                            <w:b/>
                            <w:bCs/>
                            <w:color w:val="FFFFFF" w:themeColor="background1"/>
                            <w:sz w:val="24"/>
                            <w:szCs w:val="24"/>
                          </w:rPr>
                          <w:t>.</w:t>
                        </w:r>
                        <w:r w:rsidR="00AB51F5" w:rsidRPr="001A5EBC">
                          <w:rPr>
                            <w:color w:val="FFFFFF" w:themeColor="background1"/>
                            <w:sz w:val="24"/>
                            <w:szCs w:val="24"/>
                          </w:rPr>
                          <w:t xml:space="preserve"> </w:t>
                        </w:r>
                        <w:r w:rsidRPr="001A5EBC">
                          <w:rPr>
                            <w:color w:val="FFFFFF" w:themeColor="background1"/>
                            <w:sz w:val="24"/>
                            <w:szCs w:val="24"/>
                          </w:rPr>
                          <w:t xml:space="preserve">Assuming £4bn </w:t>
                        </w:r>
                        <w:r w:rsidR="00A26DE8" w:rsidRPr="001A5EBC">
                          <w:rPr>
                            <w:color w:val="FFFFFF" w:themeColor="background1"/>
                            <w:sz w:val="24"/>
                            <w:szCs w:val="24"/>
                          </w:rPr>
                          <w:t>investments in the transport sector are allocated to</w:t>
                        </w:r>
                        <w:r w:rsidRPr="001A5EBC">
                          <w:rPr>
                            <w:color w:val="FFFFFF" w:themeColor="background1"/>
                            <w:sz w:val="24"/>
                            <w:szCs w:val="24"/>
                          </w:rPr>
                          <w:t xml:space="preserve"> the North</w:t>
                        </w:r>
                        <w:r w:rsidR="00A26DE8" w:rsidRPr="001A5EBC">
                          <w:rPr>
                            <w:color w:val="FFFFFF" w:themeColor="background1"/>
                            <w:sz w:val="24"/>
                            <w:szCs w:val="24"/>
                          </w:rPr>
                          <w:t xml:space="preserve"> of England</w:t>
                        </w:r>
                        <w:r w:rsidRPr="001A5EBC">
                          <w:rPr>
                            <w:color w:val="FFFFFF" w:themeColor="background1"/>
                            <w:sz w:val="24"/>
                            <w:szCs w:val="24"/>
                          </w:rPr>
                          <w:t>, £</w:t>
                        </w:r>
                        <w:r w:rsidR="00C414BD" w:rsidRPr="001A5EBC">
                          <w:rPr>
                            <w:color w:val="FFFFFF" w:themeColor="background1"/>
                            <w:sz w:val="24"/>
                            <w:szCs w:val="24"/>
                          </w:rPr>
                          <w:t>1.2</w:t>
                        </w:r>
                        <w:r w:rsidRPr="001A5EBC">
                          <w:rPr>
                            <w:color w:val="FFFFFF" w:themeColor="background1"/>
                            <w:sz w:val="24"/>
                            <w:szCs w:val="24"/>
                          </w:rPr>
                          <w:t xml:space="preserve">bn </w:t>
                        </w:r>
                        <w:r w:rsidR="00256581" w:rsidRPr="001A5EBC">
                          <w:rPr>
                            <w:color w:val="FFFFFF" w:themeColor="background1"/>
                            <w:sz w:val="24"/>
                            <w:szCs w:val="24"/>
                          </w:rPr>
                          <w:t>will be covered by</w:t>
                        </w:r>
                        <w:r w:rsidRPr="001A5EBC">
                          <w:rPr>
                            <w:color w:val="FFFFFF" w:themeColor="background1"/>
                            <w:sz w:val="24"/>
                            <w:szCs w:val="24"/>
                          </w:rPr>
                          <w:t xml:space="preserve"> </w:t>
                        </w:r>
                        <w:r w:rsidR="00C414BD" w:rsidRPr="001A5EBC">
                          <w:rPr>
                            <w:color w:val="FFFFFF" w:themeColor="background1"/>
                            <w:sz w:val="24"/>
                            <w:szCs w:val="24"/>
                          </w:rPr>
                          <w:t>public</w:t>
                        </w:r>
                        <w:r w:rsidRPr="001A5EBC">
                          <w:rPr>
                            <w:color w:val="FFFFFF" w:themeColor="background1"/>
                            <w:sz w:val="24"/>
                            <w:szCs w:val="24"/>
                          </w:rPr>
                          <w:t xml:space="preserve"> investment</w:t>
                        </w:r>
                        <w:r w:rsidR="00C414BD" w:rsidRPr="001A5EBC">
                          <w:rPr>
                            <w:color w:val="FFFFFF" w:themeColor="background1"/>
                            <w:sz w:val="24"/>
                            <w:szCs w:val="24"/>
                          </w:rPr>
                          <w:t xml:space="preserve">s (primarily in upgrading the required </w:t>
                        </w:r>
                        <w:r w:rsidR="001F5843">
                          <w:rPr>
                            <w:color w:val="FFFFFF" w:themeColor="background1"/>
                            <w:sz w:val="24"/>
                            <w:szCs w:val="24"/>
                          </w:rPr>
                          <w:t xml:space="preserve">public and active </w:t>
                        </w:r>
                        <w:r w:rsidR="00C414BD" w:rsidRPr="001A5EBC">
                          <w:rPr>
                            <w:color w:val="FFFFFF" w:themeColor="background1"/>
                            <w:sz w:val="24"/>
                            <w:szCs w:val="24"/>
                          </w:rPr>
                          <w:t>transport infrastructure at the required scale and pace)</w:t>
                        </w:r>
                        <w:r w:rsidRPr="001A5EBC">
                          <w:rPr>
                            <w:color w:val="FFFFFF" w:themeColor="background1"/>
                            <w:sz w:val="24"/>
                            <w:szCs w:val="24"/>
                          </w:rPr>
                          <w:t xml:space="preserve"> and £2</w:t>
                        </w:r>
                        <w:r w:rsidR="00C414BD" w:rsidRPr="001A5EBC">
                          <w:rPr>
                            <w:color w:val="FFFFFF" w:themeColor="background1"/>
                            <w:sz w:val="24"/>
                            <w:szCs w:val="24"/>
                          </w:rPr>
                          <w:t>.8</w:t>
                        </w:r>
                        <w:r w:rsidRPr="001A5EBC">
                          <w:rPr>
                            <w:color w:val="FFFFFF" w:themeColor="background1"/>
                            <w:sz w:val="24"/>
                            <w:szCs w:val="24"/>
                          </w:rPr>
                          <w:t xml:space="preserve">bn </w:t>
                        </w:r>
                        <w:r w:rsidR="00256581" w:rsidRPr="001A5EBC">
                          <w:rPr>
                            <w:color w:val="FFFFFF" w:themeColor="background1"/>
                            <w:sz w:val="24"/>
                            <w:szCs w:val="24"/>
                          </w:rPr>
                          <w:t>by</w:t>
                        </w:r>
                        <w:r w:rsidR="00C414BD" w:rsidRPr="001A5EBC">
                          <w:rPr>
                            <w:color w:val="FFFFFF" w:themeColor="background1"/>
                            <w:sz w:val="24"/>
                            <w:szCs w:val="24"/>
                          </w:rPr>
                          <w:t xml:space="preserve"> private</w:t>
                        </w:r>
                        <w:r w:rsidRPr="001A5EBC">
                          <w:rPr>
                            <w:color w:val="FFFFFF" w:themeColor="background1"/>
                            <w:sz w:val="24"/>
                            <w:szCs w:val="24"/>
                          </w:rPr>
                          <w:t xml:space="preserve"> </w:t>
                        </w:r>
                        <w:r w:rsidR="00256581" w:rsidRPr="001A5EBC">
                          <w:rPr>
                            <w:color w:val="FFFFFF" w:themeColor="background1"/>
                            <w:sz w:val="24"/>
                            <w:szCs w:val="24"/>
                          </w:rPr>
                          <w:t>funds</w:t>
                        </w:r>
                        <w:r w:rsidRPr="001A5EBC">
                          <w:rPr>
                            <w:color w:val="FFFFFF" w:themeColor="background1"/>
                            <w:sz w:val="24"/>
                            <w:szCs w:val="24"/>
                          </w:rPr>
                          <w:t>.</w:t>
                        </w:r>
                      </w:p>
                    </w:txbxContent>
                  </v:textbox>
                </v:shape>
                <w10:wrap anchorx="page"/>
              </v:group>
            </w:pict>
          </mc:Fallback>
        </mc:AlternateContent>
      </w:r>
      <w:r w:rsidRPr="001A5EBC">
        <w:rPr>
          <w:noProof/>
        </w:rPr>
        <mc:AlternateContent>
          <mc:Choice Requires="wpg">
            <w:drawing>
              <wp:anchor distT="0" distB="0" distL="114300" distR="114300" simplePos="0" relativeHeight="251657233" behindDoc="0" locked="0" layoutInCell="1" allowOverlap="1" wp14:anchorId="7130CC3C" wp14:editId="20285FD9">
                <wp:simplePos x="0" y="0"/>
                <wp:positionH relativeFrom="page">
                  <wp:posOffset>0</wp:posOffset>
                </wp:positionH>
                <wp:positionV relativeFrom="paragraph">
                  <wp:posOffset>566420</wp:posOffset>
                </wp:positionV>
                <wp:extent cx="7018655" cy="1670050"/>
                <wp:effectExtent l="0" t="0" r="0" b="6350"/>
                <wp:wrapNone/>
                <wp:docPr id="1862727" name="Group 12"/>
                <wp:cNvGraphicFramePr/>
                <a:graphic xmlns:a="http://schemas.openxmlformats.org/drawingml/2006/main">
                  <a:graphicData uri="http://schemas.microsoft.com/office/word/2010/wordprocessingGroup">
                    <wpg:wgp>
                      <wpg:cNvGrpSpPr/>
                      <wpg:grpSpPr>
                        <a:xfrm>
                          <a:off x="0" y="0"/>
                          <a:ext cx="7018655" cy="1670050"/>
                          <a:chOff x="0" y="0"/>
                          <a:chExt cx="7020000" cy="1198800"/>
                        </a:xfrm>
                      </wpg:grpSpPr>
                      <wps:wsp>
                        <wps:cNvPr id="1595955570" name="Rectangle 9"/>
                        <wps:cNvSpPr/>
                        <wps:spPr>
                          <a:xfrm>
                            <a:off x="0" y="0"/>
                            <a:ext cx="7020000" cy="1198800"/>
                          </a:xfrm>
                          <a:prstGeom prst="rect">
                            <a:avLst/>
                          </a:prstGeom>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83607961" name="Text Box 10"/>
                        <wps:cNvSpPr txBox="1"/>
                        <wps:spPr>
                          <a:xfrm>
                            <a:off x="393405" y="159489"/>
                            <a:ext cx="554355" cy="762635"/>
                          </a:xfrm>
                          <a:prstGeom prst="callout1">
                            <a:avLst>
                              <a:gd name="adj1" fmla="val -182"/>
                              <a:gd name="adj2" fmla="val 100186"/>
                              <a:gd name="adj3" fmla="val 100614"/>
                              <a:gd name="adj4" fmla="val 99739"/>
                            </a:avLst>
                          </a:prstGeom>
                          <a:noFill/>
                          <a:ln w="6350">
                            <a:solidFill>
                              <a:schemeClr val="bg1"/>
                            </a:solidFill>
                          </a:ln>
                        </wps:spPr>
                        <wps:txbx>
                          <w:txbxContent>
                            <w:p w14:paraId="425B23A4" w14:textId="77777777" w:rsidR="000900F5" w:rsidRPr="001A5EBC" w:rsidRDefault="000900F5" w:rsidP="000900F5">
                              <w:pPr>
                                <w:jc w:val="right"/>
                                <w:rPr>
                                  <w:rFonts w:asciiTheme="majorHAnsi" w:hAnsiTheme="majorHAnsi"/>
                                  <w:b/>
                                  <w:bCs/>
                                  <w:color w:val="FFFFFF" w:themeColor="background1"/>
                                  <w:sz w:val="80"/>
                                  <w:szCs w:val="80"/>
                                </w:rPr>
                              </w:pPr>
                              <w:r w:rsidRPr="001A5EBC">
                                <w:rPr>
                                  <w:rFonts w:asciiTheme="majorHAnsi" w:hAnsiTheme="majorHAnsi"/>
                                  <w:b/>
                                  <w:bCs/>
                                  <w:color w:val="FFFFFF" w:themeColor="background1"/>
                                  <w:sz w:val="80"/>
                                  <w:szCs w:val="80"/>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840155921" name="Text Box 11"/>
                        <wps:cNvSpPr txBox="1"/>
                        <wps:spPr>
                          <a:xfrm>
                            <a:off x="1105786" y="138223"/>
                            <a:ext cx="5472000" cy="1026602"/>
                          </a:xfrm>
                          <a:prstGeom prst="rect">
                            <a:avLst/>
                          </a:prstGeom>
                          <a:noFill/>
                          <a:ln w="6350">
                            <a:noFill/>
                          </a:ln>
                        </wps:spPr>
                        <wps:txbx>
                          <w:txbxContent>
                            <w:p w14:paraId="3D732AC9" w14:textId="7A314533" w:rsidR="000900F5" w:rsidRPr="001A5EBC" w:rsidRDefault="00A20E03" w:rsidP="000900F5">
                              <w:pPr>
                                <w:pStyle w:val="StandardHeading16ptBlack"/>
                              </w:pPr>
                              <w:r w:rsidRPr="001A5EBC">
                                <w:t>Buil</w:t>
                              </w:r>
                              <w:r w:rsidR="005E0E4B" w:rsidRPr="001A5EBC">
                                <w:t>t</w:t>
                              </w:r>
                              <w:r w:rsidRPr="001A5EBC">
                                <w:t xml:space="preserve"> </w:t>
                              </w:r>
                              <w:r w:rsidR="004E67B2">
                                <w:t>E</w:t>
                              </w:r>
                              <w:r w:rsidRPr="001A5EBC">
                                <w:t>nvironment</w:t>
                              </w:r>
                            </w:p>
                            <w:p w14:paraId="063D438E" w14:textId="370AF553" w:rsidR="000900F5" w:rsidRPr="001A5EBC" w:rsidRDefault="00CB307C" w:rsidP="00E86FE0">
                              <w:pPr>
                                <w:rPr>
                                  <w:color w:val="FFFFFF" w:themeColor="background1"/>
                                  <w:sz w:val="24"/>
                                  <w:szCs w:val="24"/>
                                </w:rPr>
                              </w:pPr>
                              <w:r w:rsidRPr="001A5EBC">
                                <w:rPr>
                                  <w:b/>
                                  <w:bCs/>
                                  <w:color w:val="FFFFFF" w:themeColor="background1"/>
                                  <w:sz w:val="24"/>
                                  <w:szCs w:val="24"/>
                                </w:rPr>
                                <w:t>Investments from</w:t>
                              </w:r>
                              <w:r w:rsidR="004E3FB1" w:rsidRPr="001A5EBC">
                                <w:rPr>
                                  <w:b/>
                                  <w:bCs/>
                                  <w:color w:val="FFFFFF" w:themeColor="background1"/>
                                  <w:sz w:val="24"/>
                                  <w:szCs w:val="24"/>
                                </w:rPr>
                                <w:t xml:space="preserve"> the UK government will </w:t>
                              </w:r>
                              <w:r w:rsidR="00914655" w:rsidRPr="001A5EBC">
                                <w:rPr>
                                  <w:b/>
                                  <w:bCs/>
                                  <w:color w:val="FFFFFF" w:themeColor="background1"/>
                                  <w:sz w:val="24"/>
                                  <w:szCs w:val="24"/>
                                </w:rPr>
                                <w:t xml:space="preserve">account </w:t>
                              </w:r>
                              <w:r w:rsidR="00CF3A4D" w:rsidRPr="001A5EBC">
                                <w:rPr>
                                  <w:b/>
                                  <w:bCs/>
                                  <w:color w:val="FFFFFF" w:themeColor="background1"/>
                                  <w:sz w:val="24"/>
                                  <w:szCs w:val="24"/>
                                </w:rPr>
                                <w:t xml:space="preserve">for </w:t>
                              </w:r>
                              <w:r w:rsidR="00053D4D">
                                <w:rPr>
                                  <w:b/>
                                  <w:bCs/>
                                  <w:color w:val="FFFFFF" w:themeColor="background1"/>
                                  <w:sz w:val="24"/>
                                  <w:szCs w:val="24"/>
                                </w:rPr>
                                <w:t>20</w:t>
                              </w:r>
                              <w:r w:rsidR="004E3FB1" w:rsidRPr="001A5EBC">
                                <w:rPr>
                                  <w:b/>
                                  <w:bCs/>
                                  <w:color w:val="FFFFFF" w:themeColor="background1"/>
                                  <w:sz w:val="24"/>
                                  <w:szCs w:val="24"/>
                                </w:rPr>
                                <w:t>%</w:t>
                              </w:r>
                              <w:r w:rsidR="00914655" w:rsidRPr="001A5EBC">
                                <w:rPr>
                                  <w:b/>
                                  <w:bCs/>
                                  <w:color w:val="FFFFFF" w:themeColor="background1"/>
                                  <w:sz w:val="24"/>
                                  <w:szCs w:val="24"/>
                                </w:rPr>
                                <w:t xml:space="preserve"> of the required investments,</w:t>
                              </w:r>
                              <w:r w:rsidRPr="001A5EBC">
                                <w:rPr>
                                  <w:b/>
                                  <w:bCs/>
                                  <w:color w:val="FFFFFF" w:themeColor="background1"/>
                                  <w:sz w:val="24"/>
                                  <w:szCs w:val="24"/>
                                </w:rPr>
                                <w:t xml:space="preserve"> </w:t>
                              </w:r>
                              <w:r w:rsidR="00914655" w:rsidRPr="001A5EBC">
                                <w:rPr>
                                  <w:b/>
                                  <w:bCs/>
                                  <w:color w:val="FFFFFF" w:themeColor="background1"/>
                                  <w:sz w:val="24"/>
                                  <w:szCs w:val="24"/>
                                </w:rPr>
                                <w:t>whil</w:t>
                              </w:r>
                              <w:r w:rsidR="003B16FB">
                                <w:rPr>
                                  <w:b/>
                                  <w:bCs/>
                                  <w:color w:val="FFFFFF" w:themeColor="background1"/>
                                  <w:sz w:val="24"/>
                                  <w:szCs w:val="24"/>
                                </w:rPr>
                                <w:t xml:space="preserve">e </w:t>
                              </w:r>
                              <w:r w:rsidRPr="001A5EBC">
                                <w:rPr>
                                  <w:b/>
                                  <w:bCs/>
                                  <w:color w:val="FFFFFF" w:themeColor="background1"/>
                                  <w:sz w:val="24"/>
                                  <w:szCs w:val="24"/>
                                </w:rPr>
                                <w:t xml:space="preserve">households and businesses will </w:t>
                              </w:r>
                              <w:r w:rsidR="00914655" w:rsidRPr="001A5EBC">
                                <w:rPr>
                                  <w:b/>
                                  <w:bCs/>
                                  <w:color w:val="FFFFFF" w:themeColor="background1"/>
                                  <w:sz w:val="24"/>
                                  <w:szCs w:val="24"/>
                                </w:rPr>
                                <w:t xml:space="preserve">cover the remaining </w:t>
                              </w:r>
                              <w:r w:rsidR="00053D4D">
                                <w:rPr>
                                  <w:b/>
                                  <w:bCs/>
                                  <w:color w:val="FFFFFF" w:themeColor="background1"/>
                                  <w:sz w:val="24"/>
                                  <w:szCs w:val="24"/>
                                </w:rPr>
                                <w:t>80</w:t>
                              </w:r>
                              <w:r w:rsidRPr="001A5EBC">
                                <w:rPr>
                                  <w:b/>
                                  <w:bCs/>
                                  <w:color w:val="FFFFFF" w:themeColor="background1"/>
                                  <w:sz w:val="24"/>
                                  <w:szCs w:val="24"/>
                                </w:rPr>
                                <w:t>%</w:t>
                              </w:r>
                              <w:r w:rsidR="00914655" w:rsidRPr="001A5EBC">
                                <w:rPr>
                                  <w:b/>
                                  <w:bCs/>
                                  <w:color w:val="FFFFFF" w:themeColor="background1"/>
                                  <w:sz w:val="24"/>
                                  <w:szCs w:val="24"/>
                                </w:rPr>
                                <w:t xml:space="preserve">. </w:t>
                              </w:r>
                              <w:r w:rsidRPr="001A5EBC">
                                <w:rPr>
                                  <w:color w:val="FFFFFF" w:themeColor="background1"/>
                                  <w:sz w:val="24"/>
                                  <w:szCs w:val="24"/>
                                </w:rPr>
                                <w:t xml:space="preserve">Of the £3bn investments in the </w:t>
                              </w:r>
                              <w:r w:rsidR="00AD6C00" w:rsidRPr="001A5EBC">
                                <w:rPr>
                                  <w:color w:val="FFFFFF" w:themeColor="background1"/>
                                  <w:sz w:val="24"/>
                                  <w:szCs w:val="24"/>
                                </w:rPr>
                                <w:t>built environment sector</w:t>
                              </w:r>
                              <w:r w:rsidRPr="001A5EBC">
                                <w:rPr>
                                  <w:color w:val="FFFFFF" w:themeColor="background1"/>
                                  <w:sz w:val="24"/>
                                  <w:szCs w:val="24"/>
                                </w:rPr>
                                <w:t xml:space="preserve"> allocated to the North of England, £</w:t>
                              </w:r>
                              <w:r w:rsidR="007E730F">
                                <w:rPr>
                                  <w:color w:val="FFFFFF" w:themeColor="background1"/>
                                  <w:sz w:val="24"/>
                                  <w:szCs w:val="24"/>
                                </w:rPr>
                                <w:t>0.8</w:t>
                              </w:r>
                              <w:r w:rsidRPr="001A5EBC">
                                <w:rPr>
                                  <w:color w:val="FFFFFF" w:themeColor="background1"/>
                                  <w:sz w:val="24"/>
                                  <w:szCs w:val="24"/>
                                </w:rPr>
                                <w:t>bn is p</w:t>
                              </w:r>
                              <w:r w:rsidR="008D259E" w:rsidRPr="001A5EBC">
                                <w:rPr>
                                  <w:color w:val="FFFFFF" w:themeColor="background1"/>
                                  <w:sz w:val="24"/>
                                  <w:szCs w:val="24"/>
                                </w:rPr>
                                <w:t>ublic</w:t>
                              </w:r>
                              <w:r w:rsidRPr="001A5EBC">
                                <w:rPr>
                                  <w:color w:val="FFFFFF" w:themeColor="background1"/>
                                  <w:sz w:val="24"/>
                                  <w:szCs w:val="24"/>
                                </w:rPr>
                                <w:t xml:space="preserve"> investment </w:t>
                              </w:r>
                              <w:r w:rsidR="008D259E" w:rsidRPr="001A5EBC">
                                <w:rPr>
                                  <w:color w:val="FFFFFF" w:themeColor="background1"/>
                                  <w:sz w:val="24"/>
                                  <w:szCs w:val="24"/>
                                </w:rPr>
                                <w:t xml:space="preserve">(primarily in </w:t>
                              </w:r>
                              <w:r w:rsidR="001F5843">
                                <w:rPr>
                                  <w:color w:val="FFFFFF" w:themeColor="background1"/>
                                  <w:sz w:val="24"/>
                                  <w:szCs w:val="24"/>
                                </w:rPr>
                                <w:t>decarbonising public buildings and supporting residential adoption of heat pumps</w:t>
                              </w:r>
                              <w:r w:rsidR="003B16FB">
                                <w:rPr>
                                  <w:color w:val="FFFFFF" w:themeColor="background1"/>
                                  <w:sz w:val="24"/>
                                  <w:szCs w:val="24"/>
                                </w:rPr>
                                <w:t xml:space="preserve">) </w:t>
                              </w:r>
                              <w:r w:rsidRPr="001A5EBC">
                                <w:rPr>
                                  <w:color w:val="FFFFFF" w:themeColor="background1"/>
                                  <w:sz w:val="24"/>
                                  <w:szCs w:val="24"/>
                                </w:rPr>
                                <w:t>and £</w:t>
                              </w:r>
                              <w:r w:rsidR="007E730F">
                                <w:rPr>
                                  <w:color w:val="FFFFFF" w:themeColor="background1"/>
                                  <w:sz w:val="24"/>
                                  <w:szCs w:val="24"/>
                                </w:rPr>
                                <w:t>3.</w:t>
                              </w:r>
                              <w:r w:rsidR="008D259E" w:rsidRPr="001A5EBC">
                                <w:rPr>
                                  <w:color w:val="FFFFFF" w:themeColor="background1"/>
                                  <w:sz w:val="24"/>
                                  <w:szCs w:val="24"/>
                                </w:rPr>
                                <w:t>2</w:t>
                              </w:r>
                              <w:r w:rsidRPr="001A5EBC">
                                <w:rPr>
                                  <w:color w:val="FFFFFF" w:themeColor="background1"/>
                                  <w:sz w:val="24"/>
                                  <w:szCs w:val="24"/>
                                </w:rPr>
                                <w:t>bn is p</w:t>
                              </w:r>
                              <w:r w:rsidR="008D259E" w:rsidRPr="001A5EBC">
                                <w:rPr>
                                  <w:color w:val="FFFFFF" w:themeColor="background1"/>
                                  <w:sz w:val="24"/>
                                  <w:szCs w:val="24"/>
                                </w:rPr>
                                <w:t>rivate</w:t>
                              </w:r>
                              <w:r w:rsidRPr="001A5EBC">
                                <w:rPr>
                                  <w:color w:val="FFFFFF" w:themeColor="background1"/>
                                  <w:sz w:val="24"/>
                                  <w:szCs w:val="24"/>
                                </w:rPr>
                                <w:t xml:space="preserve"> investments</w:t>
                              </w:r>
                              <w:r w:rsidR="008D259E" w:rsidRPr="001A5EBC">
                                <w:rPr>
                                  <w:color w:val="FFFFFF" w:themeColor="background1"/>
                                  <w:sz w:val="24"/>
                                  <w:szCs w:val="24"/>
                                </w:rPr>
                                <w:t>.</w:t>
                              </w:r>
                              <w:r w:rsidRPr="001A5EBC">
                                <w:rPr>
                                  <w:color w:val="FFFFFF" w:themeColor="background1"/>
                                  <w:sz w:val="24"/>
                                  <w:szCs w:val="24"/>
                                </w:rPr>
                                <w:t xml:space="preserve">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130CC3C" id="_x0000_s1044" style="position:absolute;margin-left:0;margin-top:44.6pt;width:552.65pt;height:131.5pt;z-index:251657233;mso-position-horizontal-relative:page;mso-width-relative:margin;mso-height-relative:margin" coordsize="70200,119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">
                <v:rect id="Rectangle 9" o:spid="_x0000_s1045" style="position:absolute;width:70200;height:119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" fillcolor="#009fe3 [3204]" stroked="f" strokeweight="2pt"/>
                <v:shape id="_x0000_s1046" type="#_x0000_t41" style="position:absolute;left:3934;top:1594;width:5543;height:76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" adj="21544,21733,21640,-39" filled="f" strokecolor="white [3212]" strokeweight=".5pt">
                  <v:textbox>
                    <w:txbxContent>
                      <w:p w14:paraId="425B23A4" w14:textId="77777777" w:rsidR="000900F5" w:rsidRPr="001A5EBC" w:rsidRDefault="000900F5" w:rsidP="000900F5">
                        <w:pPr>
                          <w:jc w:val="right"/>
                          <w:rPr>
                            <w:rFonts w:asciiTheme="majorHAnsi" w:hAnsiTheme="majorHAnsi"/>
                            <w:b/>
                            <w:bCs/>
                            <w:color w:val="FFFFFF" w:themeColor="background1"/>
                            <w:sz w:val="80"/>
                            <w:szCs w:val="80"/>
                          </w:rPr>
                        </w:pPr>
                        <w:r w:rsidRPr="001A5EBC">
                          <w:rPr>
                            <w:rFonts w:asciiTheme="majorHAnsi" w:hAnsiTheme="majorHAnsi"/>
                            <w:b/>
                            <w:bCs/>
                            <w:color w:val="FFFFFF" w:themeColor="background1"/>
                            <w:sz w:val="80"/>
                            <w:szCs w:val="80"/>
                          </w:rPr>
                          <w:t>2</w:t>
                        </w:r>
                      </w:p>
                    </w:txbxContent>
                  </v:textbox>
                  <o:callout v:ext="edit" minusy="t"/>
                </v:shape>
                <v:shape id="Text Box 11" o:spid="_x0000_s1047" type="#_x0000_t202" style="position:absolute;left:11057;top:1382;width:54720;height:102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" filled="f" stroked="f" strokeweight=".5pt">
                  <v:textbox inset="0,0,0,0">
                    <w:txbxContent>
                      <w:p w14:paraId="3D732AC9" w14:textId="7A314533" w:rsidR="000900F5" w:rsidRPr="001A5EBC" w:rsidRDefault="00A20E03" w:rsidP="000900F5">
                        <w:pPr>
                          <w:pStyle w:val="StandardHeading16ptBlack"/>
                        </w:pPr>
                        <w:r w:rsidRPr="001A5EBC">
                          <w:t>Buil</w:t>
                        </w:r>
                        <w:r w:rsidR="005E0E4B" w:rsidRPr="001A5EBC">
                          <w:t>t</w:t>
                        </w:r>
                        <w:r w:rsidRPr="001A5EBC">
                          <w:t xml:space="preserve"> </w:t>
                        </w:r>
                        <w:r w:rsidR="004E67B2">
                          <w:t>E</w:t>
                        </w:r>
                        <w:r w:rsidRPr="001A5EBC">
                          <w:t>nvironment</w:t>
                        </w:r>
                      </w:p>
                      <w:p w14:paraId="063D438E" w14:textId="370AF553" w:rsidR="000900F5" w:rsidRPr="001A5EBC" w:rsidRDefault="00CB307C" w:rsidP="00E86FE0">
                        <w:pPr>
                          <w:rPr>
                            <w:color w:val="FFFFFF" w:themeColor="background1"/>
                            <w:sz w:val="24"/>
                            <w:szCs w:val="24"/>
                          </w:rPr>
                        </w:pPr>
                        <w:r w:rsidRPr="001A5EBC">
                          <w:rPr>
                            <w:b/>
                            <w:bCs/>
                            <w:color w:val="FFFFFF" w:themeColor="background1"/>
                            <w:sz w:val="24"/>
                            <w:szCs w:val="24"/>
                          </w:rPr>
                          <w:t>Investments from</w:t>
                        </w:r>
                        <w:r w:rsidR="004E3FB1" w:rsidRPr="001A5EBC">
                          <w:rPr>
                            <w:b/>
                            <w:bCs/>
                            <w:color w:val="FFFFFF" w:themeColor="background1"/>
                            <w:sz w:val="24"/>
                            <w:szCs w:val="24"/>
                          </w:rPr>
                          <w:t xml:space="preserve"> the UK government will </w:t>
                        </w:r>
                        <w:r w:rsidR="00914655" w:rsidRPr="001A5EBC">
                          <w:rPr>
                            <w:b/>
                            <w:bCs/>
                            <w:color w:val="FFFFFF" w:themeColor="background1"/>
                            <w:sz w:val="24"/>
                            <w:szCs w:val="24"/>
                          </w:rPr>
                          <w:t xml:space="preserve">account </w:t>
                        </w:r>
                        <w:r w:rsidR="00CF3A4D" w:rsidRPr="001A5EBC">
                          <w:rPr>
                            <w:b/>
                            <w:bCs/>
                            <w:color w:val="FFFFFF" w:themeColor="background1"/>
                            <w:sz w:val="24"/>
                            <w:szCs w:val="24"/>
                          </w:rPr>
                          <w:t xml:space="preserve">for </w:t>
                        </w:r>
                        <w:r w:rsidR="00053D4D">
                          <w:rPr>
                            <w:b/>
                            <w:bCs/>
                            <w:color w:val="FFFFFF" w:themeColor="background1"/>
                            <w:sz w:val="24"/>
                            <w:szCs w:val="24"/>
                          </w:rPr>
                          <w:t>20</w:t>
                        </w:r>
                        <w:r w:rsidR="004E3FB1" w:rsidRPr="001A5EBC">
                          <w:rPr>
                            <w:b/>
                            <w:bCs/>
                            <w:color w:val="FFFFFF" w:themeColor="background1"/>
                            <w:sz w:val="24"/>
                            <w:szCs w:val="24"/>
                          </w:rPr>
                          <w:t>%</w:t>
                        </w:r>
                        <w:r w:rsidR="00914655" w:rsidRPr="001A5EBC">
                          <w:rPr>
                            <w:b/>
                            <w:bCs/>
                            <w:color w:val="FFFFFF" w:themeColor="background1"/>
                            <w:sz w:val="24"/>
                            <w:szCs w:val="24"/>
                          </w:rPr>
                          <w:t xml:space="preserve"> of the required investments,</w:t>
                        </w:r>
                        <w:r w:rsidRPr="001A5EBC">
                          <w:rPr>
                            <w:b/>
                            <w:bCs/>
                            <w:color w:val="FFFFFF" w:themeColor="background1"/>
                            <w:sz w:val="24"/>
                            <w:szCs w:val="24"/>
                          </w:rPr>
                          <w:t xml:space="preserve"> </w:t>
                        </w:r>
                        <w:r w:rsidR="00914655" w:rsidRPr="001A5EBC">
                          <w:rPr>
                            <w:b/>
                            <w:bCs/>
                            <w:color w:val="FFFFFF" w:themeColor="background1"/>
                            <w:sz w:val="24"/>
                            <w:szCs w:val="24"/>
                          </w:rPr>
                          <w:t>whil</w:t>
                        </w:r>
                        <w:r w:rsidR="003B16FB">
                          <w:rPr>
                            <w:b/>
                            <w:bCs/>
                            <w:color w:val="FFFFFF" w:themeColor="background1"/>
                            <w:sz w:val="24"/>
                            <w:szCs w:val="24"/>
                          </w:rPr>
                          <w:t xml:space="preserve">e </w:t>
                        </w:r>
                        <w:r w:rsidRPr="001A5EBC">
                          <w:rPr>
                            <w:b/>
                            <w:bCs/>
                            <w:color w:val="FFFFFF" w:themeColor="background1"/>
                            <w:sz w:val="24"/>
                            <w:szCs w:val="24"/>
                          </w:rPr>
                          <w:t xml:space="preserve">households and businesses will </w:t>
                        </w:r>
                        <w:r w:rsidR="00914655" w:rsidRPr="001A5EBC">
                          <w:rPr>
                            <w:b/>
                            <w:bCs/>
                            <w:color w:val="FFFFFF" w:themeColor="background1"/>
                            <w:sz w:val="24"/>
                            <w:szCs w:val="24"/>
                          </w:rPr>
                          <w:t xml:space="preserve">cover the remaining </w:t>
                        </w:r>
                        <w:r w:rsidR="00053D4D">
                          <w:rPr>
                            <w:b/>
                            <w:bCs/>
                            <w:color w:val="FFFFFF" w:themeColor="background1"/>
                            <w:sz w:val="24"/>
                            <w:szCs w:val="24"/>
                          </w:rPr>
                          <w:t>80</w:t>
                        </w:r>
                        <w:r w:rsidRPr="001A5EBC">
                          <w:rPr>
                            <w:b/>
                            <w:bCs/>
                            <w:color w:val="FFFFFF" w:themeColor="background1"/>
                            <w:sz w:val="24"/>
                            <w:szCs w:val="24"/>
                          </w:rPr>
                          <w:t>%</w:t>
                        </w:r>
                        <w:r w:rsidR="00914655" w:rsidRPr="001A5EBC">
                          <w:rPr>
                            <w:b/>
                            <w:bCs/>
                            <w:color w:val="FFFFFF" w:themeColor="background1"/>
                            <w:sz w:val="24"/>
                            <w:szCs w:val="24"/>
                          </w:rPr>
                          <w:t xml:space="preserve">. </w:t>
                        </w:r>
                        <w:r w:rsidRPr="001A5EBC">
                          <w:rPr>
                            <w:color w:val="FFFFFF" w:themeColor="background1"/>
                            <w:sz w:val="24"/>
                            <w:szCs w:val="24"/>
                          </w:rPr>
                          <w:t xml:space="preserve">Of the £3bn investments in the </w:t>
                        </w:r>
                        <w:r w:rsidR="00AD6C00" w:rsidRPr="001A5EBC">
                          <w:rPr>
                            <w:color w:val="FFFFFF" w:themeColor="background1"/>
                            <w:sz w:val="24"/>
                            <w:szCs w:val="24"/>
                          </w:rPr>
                          <w:t>built environment sector</w:t>
                        </w:r>
                        <w:r w:rsidRPr="001A5EBC">
                          <w:rPr>
                            <w:color w:val="FFFFFF" w:themeColor="background1"/>
                            <w:sz w:val="24"/>
                            <w:szCs w:val="24"/>
                          </w:rPr>
                          <w:t xml:space="preserve"> allocated to the North of England, £</w:t>
                        </w:r>
                        <w:r w:rsidR="007E730F">
                          <w:rPr>
                            <w:color w:val="FFFFFF" w:themeColor="background1"/>
                            <w:sz w:val="24"/>
                            <w:szCs w:val="24"/>
                          </w:rPr>
                          <w:t>0.8</w:t>
                        </w:r>
                        <w:r w:rsidRPr="001A5EBC">
                          <w:rPr>
                            <w:color w:val="FFFFFF" w:themeColor="background1"/>
                            <w:sz w:val="24"/>
                            <w:szCs w:val="24"/>
                          </w:rPr>
                          <w:t>bn is p</w:t>
                        </w:r>
                        <w:r w:rsidR="008D259E" w:rsidRPr="001A5EBC">
                          <w:rPr>
                            <w:color w:val="FFFFFF" w:themeColor="background1"/>
                            <w:sz w:val="24"/>
                            <w:szCs w:val="24"/>
                          </w:rPr>
                          <w:t>ublic</w:t>
                        </w:r>
                        <w:r w:rsidRPr="001A5EBC">
                          <w:rPr>
                            <w:color w:val="FFFFFF" w:themeColor="background1"/>
                            <w:sz w:val="24"/>
                            <w:szCs w:val="24"/>
                          </w:rPr>
                          <w:t xml:space="preserve"> investment </w:t>
                        </w:r>
                        <w:r w:rsidR="008D259E" w:rsidRPr="001A5EBC">
                          <w:rPr>
                            <w:color w:val="FFFFFF" w:themeColor="background1"/>
                            <w:sz w:val="24"/>
                            <w:szCs w:val="24"/>
                          </w:rPr>
                          <w:t xml:space="preserve">(primarily in </w:t>
                        </w:r>
                        <w:r w:rsidR="001F5843">
                          <w:rPr>
                            <w:color w:val="FFFFFF" w:themeColor="background1"/>
                            <w:sz w:val="24"/>
                            <w:szCs w:val="24"/>
                          </w:rPr>
                          <w:t>decarbonising public buildings and supporting residential adoption of heat pumps</w:t>
                        </w:r>
                        <w:r w:rsidR="003B16FB">
                          <w:rPr>
                            <w:color w:val="FFFFFF" w:themeColor="background1"/>
                            <w:sz w:val="24"/>
                            <w:szCs w:val="24"/>
                          </w:rPr>
                          <w:t xml:space="preserve">) </w:t>
                        </w:r>
                        <w:r w:rsidRPr="001A5EBC">
                          <w:rPr>
                            <w:color w:val="FFFFFF" w:themeColor="background1"/>
                            <w:sz w:val="24"/>
                            <w:szCs w:val="24"/>
                          </w:rPr>
                          <w:t>and £</w:t>
                        </w:r>
                        <w:r w:rsidR="007E730F">
                          <w:rPr>
                            <w:color w:val="FFFFFF" w:themeColor="background1"/>
                            <w:sz w:val="24"/>
                            <w:szCs w:val="24"/>
                          </w:rPr>
                          <w:t>3.</w:t>
                        </w:r>
                        <w:r w:rsidR="008D259E" w:rsidRPr="001A5EBC">
                          <w:rPr>
                            <w:color w:val="FFFFFF" w:themeColor="background1"/>
                            <w:sz w:val="24"/>
                            <w:szCs w:val="24"/>
                          </w:rPr>
                          <w:t>2</w:t>
                        </w:r>
                        <w:r w:rsidRPr="001A5EBC">
                          <w:rPr>
                            <w:color w:val="FFFFFF" w:themeColor="background1"/>
                            <w:sz w:val="24"/>
                            <w:szCs w:val="24"/>
                          </w:rPr>
                          <w:t>bn is p</w:t>
                        </w:r>
                        <w:r w:rsidR="008D259E" w:rsidRPr="001A5EBC">
                          <w:rPr>
                            <w:color w:val="FFFFFF" w:themeColor="background1"/>
                            <w:sz w:val="24"/>
                            <w:szCs w:val="24"/>
                          </w:rPr>
                          <w:t>rivate</w:t>
                        </w:r>
                        <w:r w:rsidRPr="001A5EBC">
                          <w:rPr>
                            <w:color w:val="FFFFFF" w:themeColor="background1"/>
                            <w:sz w:val="24"/>
                            <w:szCs w:val="24"/>
                          </w:rPr>
                          <w:t xml:space="preserve"> investments</w:t>
                        </w:r>
                        <w:r w:rsidR="008D259E" w:rsidRPr="001A5EBC">
                          <w:rPr>
                            <w:color w:val="FFFFFF" w:themeColor="background1"/>
                            <w:sz w:val="24"/>
                            <w:szCs w:val="24"/>
                          </w:rPr>
                          <w:t>.</w:t>
                        </w:r>
                        <w:r w:rsidRPr="001A5EBC">
                          <w:rPr>
                            <w:color w:val="FFFFFF" w:themeColor="background1"/>
                            <w:sz w:val="24"/>
                            <w:szCs w:val="24"/>
                          </w:rPr>
                          <w:t xml:space="preserve"> </w:t>
                        </w:r>
                      </w:p>
                    </w:txbxContent>
                  </v:textbox>
                </v:shape>
                <w10:wrap anchorx="page"/>
              </v:group>
            </w:pict>
          </mc:Fallback>
        </mc:AlternateContent>
      </w:r>
      <w:r w:rsidR="00E86FE0" w:rsidRPr="001A5EBC">
        <w:rPr>
          <w:noProof/>
        </w:rPr>
        <mc:AlternateContent>
          <mc:Choice Requires="wps">
            <w:drawing>
              <wp:anchor distT="0" distB="0" distL="114300" distR="114300" simplePos="0" relativeHeight="251657224" behindDoc="0" locked="0" layoutInCell="1" allowOverlap="1" wp14:anchorId="581740C4" wp14:editId="5400432D">
                <wp:simplePos x="0" y="0"/>
                <wp:positionH relativeFrom="column">
                  <wp:posOffset>-64477</wp:posOffset>
                </wp:positionH>
                <wp:positionV relativeFrom="paragraph">
                  <wp:posOffset>3184134</wp:posOffset>
                </wp:positionV>
                <wp:extent cx="554349" cy="761878"/>
                <wp:effectExtent l="0" t="0" r="0" b="0"/>
                <wp:wrapNone/>
                <wp:docPr id="1834794492" name="Text Box 10"/>
                <wp:cNvGraphicFramePr/>
                <a:graphic xmlns:a="http://schemas.openxmlformats.org/drawingml/2006/main">
                  <a:graphicData uri="http://schemas.microsoft.com/office/word/2010/wordprocessingShape">
                    <wps:wsp>
                      <wps:cNvSpPr txBox="1"/>
                      <wps:spPr>
                        <a:xfrm>
                          <a:off x="0" y="0"/>
                          <a:ext cx="554349" cy="761878"/>
                        </a:xfrm>
                        <a:prstGeom prst="callout1">
                          <a:avLst>
                            <a:gd name="adj1" fmla="val -182"/>
                            <a:gd name="adj2" fmla="val 100186"/>
                            <a:gd name="adj3" fmla="val 100614"/>
                            <a:gd name="adj4" fmla="val 99739"/>
                          </a:avLst>
                        </a:prstGeom>
                        <a:noFill/>
                        <a:ln w="6350">
                          <a:solidFill>
                            <a:schemeClr val="bg1"/>
                          </a:solidFill>
                        </a:ln>
                      </wps:spPr>
                      <wps:txbx>
                        <w:txbxContent>
                          <w:p w14:paraId="46ED2DD4" w14:textId="5F1F35CC" w:rsidR="00E86FE0" w:rsidRPr="001A5EBC" w:rsidRDefault="00E86FE0" w:rsidP="00E86FE0">
                            <w:pPr>
                              <w:jc w:val="right"/>
                              <w:rPr>
                                <w:rFonts w:asciiTheme="majorHAnsi" w:hAnsiTheme="majorHAnsi"/>
                                <w:color w:val="FFFFFF" w:themeColor="background1"/>
                                <w:sz w:val="80"/>
                                <w:szCs w:val="80"/>
                              </w:rPr>
                            </w:pPr>
                            <w:r w:rsidRPr="001A5EBC">
                              <w:rPr>
                                <w:rFonts w:asciiTheme="majorHAnsi" w:hAnsiTheme="majorHAnsi"/>
                                <w:color w:val="FFFFFF" w:themeColor="background1"/>
                                <w:sz w:val="80"/>
                                <w:szCs w:val="80"/>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81740C4" id="Text Box 10" o:spid="_x0000_s1048" type="#_x0000_t41" style="position:absolute;margin-left:-5.1pt;margin-top:250.7pt;width:43.65pt;height:60pt;z-index:2516572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" adj="21544,21733,21640,-39" filled="f" strokecolor="white [3212]" strokeweight=".5pt">
                <v:textbox>
                  <w:txbxContent>
                    <w:p w14:paraId="46ED2DD4" w14:textId="5F1F35CC" w:rsidR="00E86FE0" w:rsidRPr="001A5EBC" w:rsidRDefault="00E86FE0" w:rsidP="00E86FE0">
                      <w:pPr>
                        <w:jc w:val="right"/>
                        <w:rPr>
                          <w:rFonts w:asciiTheme="majorHAnsi" w:hAnsiTheme="majorHAnsi"/>
                          <w:color w:val="FFFFFF" w:themeColor="background1"/>
                          <w:sz w:val="80"/>
                          <w:szCs w:val="80"/>
                        </w:rPr>
                      </w:pPr>
                      <w:r w:rsidRPr="001A5EBC">
                        <w:rPr>
                          <w:rFonts w:asciiTheme="majorHAnsi" w:hAnsiTheme="majorHAnsi"/>
                          <w:color w:val="FFFFFF" w:themeColor="background1"/>
                          <w:sz w:val="80"/>
                          <w:szCs w:val="80"/>
                        </w:rPr>
                        <w:t>4</w:t>
                      </w:r>
                    </w:p>
                  </w:txbxContent>
                </v:textbox>
                <o:callout v:ext="edit" minusy="t"/>
              </v:shape>
            </w:pict>
          </mc:Fallback>
        </mc:AlternateContent>
      </w:r>
    </w:p>
    <w:bookmarkStart w:id="11" w:name="_Toc168918197"/>
    <w:bookmarkStart w:id="12" w:name="_Toc169011868"/>
    <w:p w14:paraId="6865C8B7" w14:textId="65CCB774" w:rsidR="00AB51F5" w:rsidRPr="001A5EBC" w:rsidRDefault="007122FC" w:rsidP="00AB51F5">
      <w:pPr>
        <w:pStyle w:val="Heading1"/>
        <w:ind w:left="0" w:firstLine="0"/>
      </w:pPr>
      <w:r w:rsidRPr="001A5EBC">
        <w:rPr>
          <w:noProof/>
        </w:rPr>
        <w:lastRenderedPageBreak/>
        <mc:AlternateContent>
          <mc:Choice Requires="wpg">
            <w:drawing>
              <wp:anchor distT="0" distB="0" distL="114300" distR="114300" simplePos="0" relativeHeight="251657235" behindDoc="0" locked="0" layoutInCell="1" allowOverlap="1" wp14:anchorId="723C1EA2" wp14:editId="3B2D5782">
                <wp:simplePos x="0" y="0"/>
                <wp:positionH relativeFrom="margin">
                  <wp:posOffset>-683260</wp:posOffset>
                </wp:positionH>
                <wp:positionV relativeFrom="paragraph">
                  <wp:posOffset>1419225</wp:posOffset>
                </wp:positionV>
                <wp:extent cx="7125335" cy="2222500"/>
                <wp:effectExtent l="0" t="0" r="0" b="6350"/>
                <wp:wrapNone/>
                <wp:docPr id="1704423125" name="Group 12"/>
                <wp:cNvGraphicFramePr/>
                <a:graphic xmlns:a="http://schemas.openxmlformats.org/drawingml/2006/main">
                  <a:graphicData uri="http://schemas.microsoft.com/office/word/2010/wordprocessingGroup">
                    <wpg:wgp>
                      <wpg:cNvGrpSpPr/>
                      <wpg:grpSpPr>
                        <a:xfrm>
                          <a:off x="0" y="0"/>
                          <a:ext cx="7125335" cy="2222500"/>
                          <a:chOff x="0" y="12204"/>
                          <a:chExt cx="7100993" cy="2092885"/>
                        </a:xfrm>
                      </wpg:grpSpPr>
                      <wps:wsp>
                        <wps:cNvPr id="1709928473" name="Rectangle 9"/>
                        <wps:cNvSpPr/>
                        <wps:spPr>
                          <a:xfrm>
                            <a:off x="0" y="12204"/>
                            <a:ext cx="7100993" cy="2092885"/>
                          </a:xfrm>
                          <a:prstGeom prst="rect">
                            <a:avLst/>
                          </a:prstGeom>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60271240" name="Text Box 10"/>
                        <wps:cNvSpPr txBox="1"/>
                        <wps:spPr>
                          <a:xfrm>
                            <a:off x="393405" y="159489"/>
                            <a:ext cx="554355" cy="762635"/>
                          </a:xfrm>
                          <a:prstGeom prst="callout1">
                            <a:avLst>
                              <a:gd name="adj1" fmla="val -182"/>
                              <a:gd name="adj2" fmla="val 100186"/>
                              <a:gd name="adj3" fmla="val 100614"/>
                              <a:gd name="adj4" fmla="val 99739"/>
                            </a:avLst>
                          </a:prstGeom>
                          <a:noFill/>
                          <a:ln w="6350">
                            <a:solidFill>
                              <a:schemeClr val="bg1"/>
                            </a:solidFill>
                          </a:ln>
                        </wps:spPr>
                        <wps:txbx>
                          <w:txbxContent>
                            <w:p w14:paraId="1606AFAE" w14:textId="41569358" w:rsidR="00F533F7" w:rsidRPr="001A5EBC" w:rsidRDefault="00F533F7" w:rsidP="00F533F7">
                              <w:pPr>
                                <w:jc w:val="right"/>
                                <w:rPr>
                                  <w:rFonts w:asciiTheme="majorHAnsi" w:hAnsiTheme="majorHAnsi"/>
                                  <w:b/>
                                  <w:bCs/>
                                  <w:color w:val="FFFFFF" w:themeColor="background1"/>
                                  <w:sz w:val="80"/>
                                  <w:szCs w:val="80"/>
                                </w:rPr>
                              </w:pPr>
                              <w:r w:rsidRPr="001A5EBC">
                                <w:rPr>
                                  <w:rFonts w:asciiTheme="majorHAnsi" w:hAnsiTheme="majorHAnsi"/>
                                  <w:b/>
                                  <w:bCs/>
                                  <w:color w:val="FFFFFF" w:themeColor="background1"/>
                                  <w:sz w:val="80"/>
                                  <w:szCs w:val="80"/>
                                </w:rPr>
                                <w:t>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227763797" name="Text Box 11"/>
                        <wps:cNvSpPr txBox="1"/>
                        <wps:spPr>
                          <a:xfrm>
                            <a:off x="1105696" y="138134"/>
                            <a:ext cx="5819874" cy="1940328"/>
                          </a:xfrm>
                          <a:prstGeom prst="rect">
                            <a:avLst/>
                          </a:prstGeom>
                          <a:noFill/>
                          <a:ln w="6350">
                            <a:noFill/>
                          </a:ln>
                        </wps:spPr>
                        <wps:txbx>
                          <w:txbxContent>
                            <w:p w14:paraId="07E50627" w14:textId="529FDE61" w:rsidR="00F533F7" w:rsidRPr="001A5EBC" w:rsidRDefault="001D702A" w:rsidP="00F533F7">
                              <w:pPr>
                                <w:pStyle w:val="StandardHeading16ptBlack"/>
                              </w:pPr>
                              <w:r w:rsidRPr="001A5EBC">
                                <w:t xml:space="preserve">All </w:t>
                              </w:r>
                              <w:r w:rsidR="004E67B2">
                                <w:t>S</w:t>
                              </w:r>
                              <w:r w:rsidRPr="001A5EBC">
                                <w:t>ector</w:t>
                              </w:r>
                              <w:r w:rsidR="00343102" w:rsidRPr="001A5EBC">
                                <w:t>s</w:t>
                              </w:r>
                            </w:p>
                            <w:p w14:paraId="73E91EEE" w14:textId="38C82B96" w:rsidR="00F533F7" w:rsidRDefault="00343102" w:rsidP="00BF4748">
                              <w:pPr>
                                <w:pStyle w:val="BodyText"/>
                                <w:rPr>
                                  <w:color w:val="FFFFFF" w:themeColor="background1"/>
                                  <w:sz w:val="24"/>
                                  <w:szCs w:val="24"/>
                                </w:rPr>
                              </w:pPr>
                              <w:r w:rsidRPr="001A5EBC">
                                <w:rPr>
                                  <w:b/>
                                  <w:bCs/>
                                  <w:color w:val="FFFFFF" w:themeColor="background1"/>
                                  <w:sz w:val="24"/>
                                  <w:szCs w:val="24"/>
                                </w:rPr>
                                <w:t xml:space="preserve">Based on the </w:t>
                              </w:r>
                              <w:r w:rsidR="00EC0F42" w:rsidRPr="001A5EBC">
                                <w:rPr>
                                  <w:b/>
                                  <w:bCs/>
                                  <w:color w:val="FFFFFF" w:themeColor="background1"/>
                                  <w:sz w:val="24"/>
                                  <w:szCs w:val="24"/>
                                </w:rPr>
                                <w:t>public</w:t>
                              </w:r>
                              <w:r w:rsidR="007122FC" w:rsidRPr="001A5EBC">
                                <w:rPr>
                                  <w:b/>
                                  <w:bCs/>
                                  <w:color w:val="FFFFFF" w:themeColor="background1"/>
                                  <w:sz w:val="24"/>
                                  <w:szCs w:val="24"/>
                                </w:rPr>
                                <w:t>-private</w:t>
                              </w:r>
                              <w:r w:rsidR="00EC0F42" w:rsidRPr="001A5EBC">
                                <w:rPr>
                                  <w:b/>
                                  <w:bCs/>
                                  <w:color w:val="FFFFFF" w:themeColor="background1"/>
                                  <w:sz w:val="24"/>
                                  <w:szCs w:val="24"/>
                                </w:rPr>
                                <w:t xml:space="preserve"> splits identified for each sector of the economy, we estimated that </w:t>
                              </w:r>
                              <w:r w:rsidR="007122FC" w:rsidRPr="001A5EBC">
                                <w:rPr>
                                  <w:b/>
                                  <w:bCs/>
                                  <w:color w:val="FFFFFF" w:themeColor="background1"/>
                                  <w:sz w:val="24"/>
                                  <w:szCs w:val="24"/>
                                </w:rPr>
                                <w:t xml:space="preserve">public budget will </w:t>
                              </w:r>
                              <w:r w:rsidR="002B09C6" w:rsidRPr="001A5EBC">
                                <w:rPr>
                                  <w:b/>
                                  <w:bCs/>
                                  <w:color w:val="FFFFFF" w:themeColor="background1"/>
                                  <w:sz w:val="24"/>
                                  <w:szCs w:val="24"/>
                                </w:rPr>
                                <w:t>need to</w:t>
                              </w:r>
                              <w:r w:rsidR="007122FC" w:rsidRPr="001A5EBC">
                                <w:rPr>
                                  <w:b/>
                                  <w:bCs/>
                                  <w:color w:val="FFFFFF" w:themeColor="background1"/>
                                  <w:sz w:val="24"/>
                                  <w:szCs w:val="24"/>
                                </w:rPr>
                                <w:t xml:space="preserve"> account for the </w:t>
                              </w:r>
                              <w:r w:rsidR="00075D99">
                                <w:rPr>
                                  <w:b/>
                                  <w:bCs/>
                                  <w:color w:val="FFFFFF" w:themeColor="background1"/>
                                  <w:sz w:val="24"/>
                                  <w:szCs w:val="24"/>
                                </w:rPr>
                                <w:t>2</w:t>
                              </w:r>
                              <w:r w:rsidR="000D54EC">
                                <w:rPr>
                                  <w:b/>
                                  <w:bCs/>
                                  <w:color w:val="FFFFFF" w:themeColor="background1"/>
                                  <w:sz w:val="24"/>
                                  <w:szCs w:val="24"/>
                                </w:rPr>
                                <w:t>7</w:t>
                              </w:r>
                              <w:r w:rsidR="007122FC" w:rsidRPr="001A5EBC">
                                <w:rPr>
                                  <w:b/>
                                  <w:bCs/>
                                  <w:color w:val="FFFFFF" w:themeColor="background1"/>
                                  <w:sz w:val="24"/>
                                  <w:szCs w:val="24"/>
                                </w:rPr>
                                <w:t xml:space="preserve">% of the investments required to put the UK in a path to net zero, while </w:t>
                              </w:r>
                              <w:r w:rsidR="00257701" w:rsidRPr="001A5EBC">
                                <w:rPr>
                                  <w:b/>
                                  <w:bCs/>
                                  <w:color w:val="FFFFFF" w:themeColor="background1"/>
                                  <w:sz w:val="24"/>
                                  <w:szCs w:val="24"/>
                                </w:rPr>
                                <w:t xml:space="preserve">private funds are expected to cover </w:t>
                              </w:r>
                              <w:r w:rsidR="007122FC" w:rsidRPr="001A5EBC">
                                <w:rPr>
                                  <w:b/>
                                  <w:bCs/>
                                  <w:color w:val="FFFFFF" w:themeColor="background1"/>
                                  <w:sz w:val="24"/>
                                  <w:szCs w:val="24"/>
                                </w:rPr>
                                <w:t xml:space="preserve">the remaining </w:t>
                              </w:r>
                              <w:r w:rsidR="00075D99">
                                <w:rPr>
                                  <w:b/>
                                  <w:bCs/>
                                  <w:color w:val="FFFFFF" w:themeColor="background1"/>
                                  <w:sz w:val="24"/>
                                  <w:szCs w:val="24"/>
                                </w:rPr>
                                <w:t>7</w:t>
                              </w:r>
                              <w:r w:rsidR="000D54EC">
                                <w:rPr>
                                  <w:b/>
                                  <w:bCs/>
                                  <w:color w:val="FFFFFF" w:themeColor="background1"/>
                                  <w:sz w:val="24"/>
                                  <w:szCs w:val="24"/>
                                </w:rPr>
                                <w:t>3</w:t>
                              </w:r>
                              <w:r w:rsidR="00257701" w:rsidRPr="001A5EBC">
                                <w:rPr>
                                  <w:b/>
                                  <w:bCs/>
                                  <w:color w:val="FFFFFF" w:themeColor="background1"/>
                                  <w:sz w:val="24"/>
                                  <w:szCs w:val="24"/>
                                </w:rPr>
                                <w:t>%</w:t>
                              </w:r>
                              <w:r w:rsidR="007122FC" w:rsidRPr="001A5EBC">
                                <w:rPr>
                                  <w:b/>
                                  <w:bCs/>
                                  <w:color w:val="FFFFFF" w:themeColor="background1"/>
                                  <w:sz w:val="24"/>
                                  <w:szCs w:val="24"/>
                                </w:rPr>
                                <w:t>.</w:t>
                              </w:r>
                              <w:r w:rsidR="008D769D" w:rsidRPr="001A5EBC">
                                <w:rPr>
                                  <w:b/>
                                  <w:bCs/>
                                  <w:color w:val="FFFFFF" w:themeColor="background1"/>
                                  <w:sz w:val="24"/>
                                  <w:szCs w:val="24"/>
                                </w:rPr>
                                <w:t xml:space="preserve"> </w:t>
                              </w:r>
                              <w:r w:rsidR="00EA53CE" w:rsidRPr="001A5EBC">
                                <w:rPr>
                                  <w:color w:val="FFFFFF" w:themeColor="background1"/>
                                  <w:sz w:val="24"/>
                                  <w:szCs w:val="24"/>
                                </w:rPr>
                                <w:t>Th</w:t>
                              </w:r>
                              <w:r w:rsidR="00CE19FD" w:rsidRPr="001A5EBC">
                                <w:rPr>
                                  <w:color w:val="FFFFFF" w:themeColor="background1"/>
                                  <w:sz w:val="24"/>
                                  <w:szCs w:val="24"/>
                                </w:rPr>
                                <w:t xml:space="preserve">is outcome is in line with research from the United Nations Climate Change, </w:t>
                              </w:r>
                              <w:r w:rsidR="00BF4748" w:rsidRPr="001A5EBC">
                                <w:rPr>
                                  <w:color w:val="FFFFFF" w:themeColor="background1"/>
                                  <w:sz w:val="24"/>
                                  <w:szCs w:val="24"/>
                                </w:rPr>
                                <w:t>stating that private actors could provide 70% of the required net zero financing</w:t>
                              </w:r>
                              <w:r w:rsidR="00CB5297">
                                <w:rPr>
                                  <w:color w:val="FFFFFF" w:themeColor="background1"/>
                                  <w:sz w:val="24"/>
                                  <w:szCs w:val="24"/>
                                </w:rPr>
                                <w:t xml:space="preserve">. </w:t>
                              </w:r>
                              <w:r w:rsidR="00496F60" w:rsidRPr="001A5EBC">
                                <w:rPr>
                                  <w:color w:val="FFFFFF" w:themeColor="background1"/>
                                  <w:sz w:val="24"/>
                                  <w:szCs w:val="24"/>
                                </w:rPr>
                                <w:t xml:space="preserve">The remaining 30% can be covered by </w:t>
                              </w:r>
                              <w:r w:rsidR="00C63E8D" w:rsidRPr="001A5EBC">
                                <w:rPr>
                                  <w:color w:val="FFFFFF" w:themeColor="background1"/>
                                  <w:sz w:val="24"/>
                                  <w:szCs w:val="24"/>
                                </w:rPr>
                                <w:t>p</w:t>
                              </w:r>
                              <w:r w:rsidR="00496F60" w:rsidRPr="001A5EBC">
                                <w:rPr>
                                  <w:color w:val="FFFFFF" w:themeColor="background1"/>
                                  <w:sz w:val="24"/>
                                  <w:szCs w:val="24"/>
                                </w:rPr>
                                <w:t>ublic and institutional ac</w:t>
                              </w:r>
                              <w:r w:rsidR="004A6E59" w:rsidRPr="001A5EBC">
                                <w:rPr>
                                  <w:color w:val="FFFFFF" w:themeColor="background1"/>
                                  <w:sz w:val="24"/>
                                  <w:szCs w:val="24"/>
                                </w:rPr>
                                <w:t xml:space="preserve">tion, </w:t>
                              </w:r>
                              <w:r w:rsidR="00496F60" w:rsidRPr="001A5EBC">
                                <w:rPr>
                                  <w:color w:val="FFFFFF" w:themeColor="background1"/>
                                  <w:sz w:val="24"/>
                                  <w:szCs w:val="24"/>
                                </w:rPr>
                                <w:t>help</w:t>
                              </w:r>
                              <w:r w:rsidR="004A6E59" w:rsidRPr="001A5EBC">
                                <w:rPr>
                                  <w:color w:val="FFFFFF" w:themeColor="background1"/>
                                  <w:sz w:val="24"/>
                                  <w:szCs w:val="24"/>
                                </w:rPr>
                                <w:t>ing</w:t>
                              </w:r>
                              <w:r w:rsidR="00496F60" w:rsidRPr="001A5EBC">
                                <w:rPr>
                                  <w:color w:val="FFFFFF" w:themeColor="background1"/>
                                  <w:sz w:val="24"/>
                                  <w:szCs w:val="24"/>
                                </w:rPr>
                                <w:t xml:space="preserve"> </w:t>
                              </w:r>
                              <w:r w:rsidR="00BE1D77" w:rsidRPr="001A5EBC">
                                <w:rPr>
                                  <w:color w:val="FFFFFF" w:themeColor="background1"/>
                                  <w:sz w:val="24"/>
                                  <w:szCs w:val="24"/>
                                </w:rPr>
                                <w:t xml:space="preserve">to </w:t>
                              </w:r>
                              <w:r w:rsidR="00C63E8D" w:rsidRPr="001A5EBC">
                                <w:rPr>
                                  <w:color w:val="FFFFFF" w:themeColor="background1"/>
                                  <w:sz w:val="24"/>
                                  <w:szCs w:val="24"/>
                                </w:rPr>
                                <w:t>realiz</w:t>
                              </w:r>
                              <w:r w:rsidR="00BE1D77" w:rsidRPr="001A5EBC">
                                <w:rPr>
                                  <w:color w:val="FFFFFF" w:themeColor="background1"/>
                                  <w:sz w:val="24"/>
                                  <w:szCs w:val="24"/>
                                </w:rPr>
                                <w:t>e the</w:t>
                              </w:r>
                              <w:r w:rsidR="00496F60" w:rsidRPr="001A5EBC">
                                <w:rPr>
                                  <w:color w:val="FFFFFF" w:themeColor="background1"/>
                                  <w:sz w:val="24"/>
                                  <w:szCs w:val="24"/>
                                </w:rPr>
                                <w:t xml:space="preserve"> full potential of private capital.</w:t>
                              </w:r>
                              <w:r w:rsidR="00BF4748" w:rsidRPr="001A5EBC">
                                <w:rPr>
                                  <w:color w:val="FFFFFF" w:themeColor="background1"/>
                                  <w:sz w:val="24"/>
                                  <w:szCs w:val="24"/>
                                </w:rPr>
                                <w:t xml:space="preserve"> </w:t>
                              </w:r>
                              <w:r w:rsidR="00B60695">
                                <w:rPr>
                                  <w:color w:val="FFFFFF" w:themeColor="background1"/>
                                  <w:sz w:val="24"/>
                                  <w:szCs w:val="24"/>
                                </w:rPr>
                                <w:t xml:space="preserve">This equates to a leverage ratio of </w:t>
                              </w:r>
                              <w:r w:rsidR="00E04F28">
                                <w:rPr>
                                  <w:color w:val="FFFFFF" w:themeColor="background1"/>
                                  <w:sz w:val="24"/>
                                  <w:szCs w:val="24"/>
                                </w:rPr>
                                <w:t>1:2.65 – that is for every £1 of government spending, an additional £2.65 of private investment may be expected.</w:t>
                              </w:r>
                            </w:p>
                            <w:p w14:paraId="51548114" w14:textId="77777777" w:rsidR="00F533F7" w:rsidRPr="001A5EBC" w:rsidRDefault="00F533F7" w:rsidP="00F533F7">
                              <w:pPr>
                                <w:rPr>
                                  <w:color w:val="FFFFFF" w:themeColor="background1"/>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23C1EA2" id="_x0000_s1049" style="position:absolute;margin-left:-53.8pt;margin-top:111.75pt;width:561.05pt;height:175pt;z-index:251657235;mso-position-horizontal-relative:margin;mso-width-relative:margin;mso-height-relative:margin" coordorigin=",122" coordsize="71009,209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">
                <v:rect id="Rectangle 9" o:spid="_x0000_s1050" style="position:absolute;top:122;width:71009;height:2092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" fillcolor="#009fe3 [3204]" stroked="f" strokeweight="2pt"/>
                <v:shape id="_x0000_s1051" type="#_x0000_t41" style="position:absolute;left:3934;top:1594;width:5543;height:76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" adj="21544,21733,21640,-39" filled="f" strokecolor="white [3212]" strokeweight=".5pt">
                  <v:textbox>
                    <w:txbxContent>
                      <w:p w14:paraId="1606AFAE" w14:textId="41569358" w:rsidR="00F533F7" w:rsidRPr="001A5EBC" w:rsidRDefault="00F533F7" w:rsidP="00F533F7">
                        <w:pPr>
                          <w:jc w:val="right"/>
                          <w:rPr>
                            <w:rFonts w:asciiTheme="majorHAnsi" w:hAnsiTheme="majorHAnsi"/>
                            <w:b/>
                            <w:bCs/>
                            <w:color w:val="FFFFFF" w:themeColor="background1"/>
                            <w:sz w:val="80"/>
                            <w:szCs w:val="80"/>
                          </w:rPr>
                        </w:pPr>
                        <w:r w:rsidRPr="001A5EBC">
                          <w:rPr>
                            <w:rFonts w:asciiTheme="majorHAnsi" w:hAnsiTheme="majorHAnsi"/>
                            <w:b/>
                            <w:bCs/>
                            <w:color w:val="FFFFFF" w:themeColor="background1"/>
                            <w:sz w:val="80"/>
                            <w:szCs w:val="80"/>
                          </w:rPr>
                          <w:t>6</w:t>
                        </w:r>
                      </w:p>
                    </w:txbxContent>
                  </v:textbox>
                  <o:callout v:ext="edit" minusy="t"/>
                </v:shape>
                <v:shape id="Text Box 11" o:spid="_x0000_s1052" type="#_x0000_t202" style="position:absolute;left:11056;top:1381;width:58199;height:194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" filled="f" stroked="f" strokeweight=".5pt">
                  <v:textbox inset="0,0,0,0">
                    <w:txbxContent>
                      <w:p w14:paraId="07E50627" w14:textId="529FDE61" w:rsidR="00F533F7" w:rsidRPr="001A5EBC" w:rsidRDefault="001D702A" w:rsidP="00F533F7">
                        <w:pPr>
                          <w:pStyle w:val="StandardHeading16ptBlack"/>
                        </w:pPr>
                        <w:r w:rsidRPr="001A5EBC">
                          <w:t xml:space="preserve">All </w:t>
                        </w:r>
                        <w:r w:rsidR="004E67B2">
                          <w:t>S</w:t>
                        </w:r>
                        <w:r w:rsidRPr="001A5EBC">
                          <w:t>ector</w:t>
                        </w:r>
                        <w:r w:rsidR="00343102" w:rsidRPr="001A5EBC">
                          <w:t>s</w:t>
                        </w:r>
                      </w:p>
                      <w:p w14:paraId="73E91EEE" w14:textId="38C82B96" w:rsidR="00F533F7" w:rsidRDefault="00343102" w:rsidP="00BF4748">
                        <w:pPr>
                          <w:pStyle w:val="BodyText"/>
                          <w:rPr>
                            <w:color w:val="FFFFFF" w:themeColor="background1"/>
                            <w:sz w:val="24"/>
                            <w:szCs w:val="24"/>
                          </w:rPr>
                        </w:pPr>
                        <w:r w:rsidRPr="001A5EBC">
                          <w:rPr>
                            <w:b/>
                            <w:bCs/>
                            <w:color w:val="FFFFFF" w:themeColor="background1"/>
                            <w:sz w:val="24"/>
                            <w:szCs w:val="24"/>
                          </w:rPr>
                          <w:t xml:space="preserve">Based on the </w:t>
                        </w:r>
                        <w:r w:rsidR="00EC0F42" w:rsidRPr="001A5EBC">
                          <w:rPr>
                            <w:b/>
                            <w:bCs/>
                            <w:color w:val="FFFFFF" w:themeColor="background1"/>
                            <w:sz w:val="24"/>
                            <w:szCs w:val="24"/>
                          </w:rPr>
                          <w:t>public</w:t>
                        </w:r>
                        <w:r w:rsidR="007122FC" w:rsidRPr="001A5EBC">
                          <w:rPr>
                            <w:b/>
                            <w:bCs/>
                            <w:color w:val="FFFFFF" w:themeColor="background1"/>
                            <w:sz w:val="24"/>
                            <w:szCs w:val="24"/>
                          </w:rPr>
                          <w:t>-private</w:t>
                        </w:r>
                        <w:r w:rsidR="00EC0F42" w:rsidRPr="001A5EBC">
                          <w:rPr>
                            <w:b/>
                            <w:bCs/>
                            <w:color w:val="FFFFFF" w:themeColor="background1"/>
                            <w:sz w:val="24"/>
                            <w:szCs w:val="24"/>
                          </w:rPr>
                          <w:t xml:space="preserve"> splits identified for each sector of the economy, we estimated that </w:t>
                        </w:r>
                        <w:r w:rsidR="007122FC" w:rsidRPr="001A5EBC">
                          <w:rPr>
                            <w:b/>
                            <w:bCs/>
                            <w:color w:val="FFFFFF" w:themeColor="background1"/>
                            <w:sz w:val="24"/>
                            <w:szCs w:val="24"/>
                          </w:rPr>
                          <w:t xml:space="preserve">public budget will </w:t>
                        </w:r>
                        <w:r w:rsidR="002B09C6" w:rsidRPr="001A5EBC">
                          <w:rPr>
                            <w:b/>
                            <w:bCs/>
                            <w:color w:val="FFFFFF" w:themeColor="background1"/>
                            <w:sz w:val="24"/>
                            <w:szCs w:val="24"/>
                          </w:rPr>
                          <w:t>need to</w:t>
                        </w:r>
                        <w:r w:rsidR="007122FC" w:rsidRPr="001A5EBC">
                          <w:rPr>
                            <w:b/>
                            <w:bCs/>
                            <w:color w:val="FFFFFF" w:themeColor="background1"/>
                            <w:sz w:val="24"/>
                            <w:szCs w:val="24"/>
                          </w:rPr>
                          <w:t xml:space="preserve"> account for the </w:t>
                        </w:r>
                        <w:r w:rsidR="00075D99">
                          <w:rPr>
                            <w:b/>
                            <w:bCs/>
                            <w:color w:val="FFFFFF" w:themeColor="background1"/>
                            <w:sz w:val="24"/>
                            <w:szCs w:val="24"/>
                          </w:rPr>
                          <w:t>2</w:t>
                        </w:r>
                        <w:r w:rsidR="000D54EC">
                          <w:rPr>
                            <w:b/>
                            <w:bCs/>
                            <w:color w:val="FFFFFF" w:themeColor="background1"/>
                            <w:sz w:val="24"/>
                            <w:szCs w:val="24"/>
                          </w:rPr>
                          <w:t>7</w:t>
                        </w:r>
                        <w:r w:rsidR="007122FC" w:rsidRPr="001A5EBC">
                          <w:rPr>
                            <w:b/>
                            <w:bCs/>
                            <w:color w:val="FFFFFF" w:themeColor="background1"/>
                            <w:sz w:val="24"/>
                            <w:szCs w:val="24"/>
                          </w:rPr>
                          <w:t xml:space="preserve">% of the investments required to put the UK in a path to net zero, while </w:t>
                        </w:r>
                        <w:r w:rsidR="00257701" w:rsidRPr="001A5EBC">
                          <w:rPr>
                            <w:b/>
                            <w:bCs/>
                            <w:color w:val="FFFFFF" w:themeColor="background1"/>
                            <w:sz w:val="24"/>
                            <w:szCs w:val="24"/>
                          </w:rPr>
                          <w:t xml:space="preserve">private funds are expected to cover </w:t>
                        </w:r>
                        <w:r w:rsidR="007122FC" w:rsidRPr="001A5EBC">
                          <w:rPr>
                            <w:b/>
                            <w:bCs/>
                            <w:color w:val="FFFFFF" w:themeColor="background1"/>
                            <w:sz w:val="24"/>
                            <w:szCs w:val="24"/>
                          </w:rPr>
                          <w:t xml:space="preserve">the remaining </w:t>
                        </w:r>
                        <w:r w:rsidR="00075D99">
                          <w:rPr>
                            <w:b/>
                            <w:bCs/>
                            <w:color w:val="FFFFFF" w:themeColor="background1"/>
                            <w:sz w:val="24"/>
                            <w:szCs w:val="24"/>
                          </w:rPr>
                          <w:t>7</w:t>
                        </w:r>
                        <w:r w:rsidR="000D54EC">
                          <w:rPr>
                            <w:b/>
                            <w:bCs/>
                            <w:color w:val="FFFFFF" w:themeColor="background1"/>
                            <w:sz w:val="24"/>
                            <w:szCs w:val="24"/>
                          </w:rPr>
                          <w:t>3</w:t>
                        </w:r>
                        <w:r w:rsidR="00257701" w:rsidRPr="001A5EBC">
                          <w:rPr>
                            <w:b/>
                            <w:bCs/>
                            <w:color w:val="FFFFFF" w:themeColor="background1"/>
                            <w:sz w:val="24"/>
                            <w:szCs w:val="24"/>
                          </w:rPr>
                          <w:t>%</w:t>
                        </w:r>
                        <w:r w:rsidR="007122FC" w:rsidRPr="001A5EBC">
                          <w:rPr>
                            <w:b/>
                            <w:bCs/>
                            <w:color w:val="FFFFFF" w:themeColor="background1"/>
                            <w:sz w:val="24"/>
                            <w:szCs w:val="24"/>
                          </w:rPr>
                          <w:t>.</w:t>
                        </w:r>
                        <w:r w:rsidR="008D769D" w:rsidRPr="001A5EBC">
                          <w:rPr>
                            <w:b/>
                            <w:bCs/>
                            <w:color w:val="FFFFFF" w:themeColor="background1"/>
                            <w:sz w:val="24"/>
                            <w:szCs w:val="24"/>
                          </w:rPr>
                          <w:t xml:space="preserve"> </w:t>
                        </w:r>
                        <w:r w:rsidR="00EA53CE" w:rsidRPr="001A5EBC">
                          <w:rPr>
                            <w:color w:val="FFFFFF" w:themeColor="background1"/>
                            <w:sz w:val="24"/>
                            <w:szCs w:val="24"/>
                          </w:rPr>
                          <w:t>Th</w:t>
                        </w:r>
                        <w:r w:rsidR="00CE19FD" w:rsidRPr="001A5EBC">
                          <w:rPr>
                            <w:color w:val="FFFFFF" w:themeColor="background1"/>
                            <w:sz w:val="24"/>
                            <w:szCs w:val="24"/>
                          </w:rPr>
                          <w:t xml:space="preserve">is outcome is in line with research from the United Nations Climate Change, </w:t>
                        </w:r>
                        <w:r w:rsidR="00BF4748" w:rsidRPr="001A5EBC">
                          <w:rPr>
                            <w:color w:val="FFFFFF" w:themeColor="background1"/>
                            <w:sz w:val="24"/>
                            <w:szCs w:val="24"/>
                          </w:rPr>
                          <w:t>stating that private actors could provide 70% of the required net zero financing</w:t>
                        </w:r>
                        <w:r w:rsidR="00CB5297">
                          <w:rPr>
                            <w:color w:val="FFFFFF" w:themeColor="background1"/>
                            <w:sz w:val="24"/>
                            <w:szCs w:val="24"/>
                          </w:rPr>
                          <w:t xml:space="preserve">. </w:t>
                        </w:r>
                        <w:r w:rsidR="00496F60" w:rsidRPr="001A5EBC">
                          <w:rPr>
                            <w:color w:val="FFFFFF" w:themeColor="background1"/>
                            <w:sz w:val="24"/>
                            <w:szCs w:val="24"/>
                          </w:rPr>
                          <w:t xml:space="preserve">The remaining 30% can be covered by </w:t>
                        </w:r>
                        <w:r w:rsidR="00C63E8D" w:rsidRPr="001A5EBC">
                          <w:rPr>
                            <w:color w:val="FFFFFF" w:themeColor="background1"/>
                            <w:sz w:val="24"/>
                            <w:szCs w:val="24"/>
                          </w:rPr>
                          <w:t>p</w:t>
                        </w:r>
                        <w:r w:rsidR="00496F60" w:rsidRPr="001A5EBC">
                          <w:rPr>
                            <w:color w:val="FFFFFF" w:themeColor="background1"/>
                            <w:sz w:val="24"/>
                            <w:szCs w:val="24"/>
                          </w:rPr>
                          <w:t>ublic and institutional ac</w:t>
                        </w:r>
                        <w:r w:rsidR="004A6E59" w:rsidRPr="001A5EBC">
                          <w:rPr>
                            <w:color w:val="FFFFFF" w:themeColor="background1"/>
                            <w:sz w:val="24"/>
                            <w:szCs w:val="24"/>
                          </w:rPr>
                          <w:t xml:space="preserve">tion, </w:t>
                        </w:r>
                        <w:r w:rsidR="00496F60" w:rsidRPr="001A5EBC">
                          <w:rPr>
                            <w:color w:val="FFFFFF" w:themeColor="background1"/>
                            <w:sz w:val="24"/>
                            <w:szCs w:val="24"/>
                          </w:rPr>
                          <w:t>help</w:t>
                        </w:r>
                        <w:r w:rsidR="004A6E59" w:rsidRPr="001A5EBC">
                          <w:rPr>
                            <w:color w:val="FFFFFF" w:themeColor="background1"/>
                            <w:sz w:val="24"/>
                            <w:szCs w:val="24"/>
                          </w:rPr>
                          <w:t>ing</w:t>
                        </w:r>
                        <w:r w:rsidR="00496F60" w:rsidRPr="001A5EBC">
                          <w:rPr>
                            <w:color w:val="FFFFFF" w:themeColor="background1"/>
                            <w:sz w:val="24"/>
                            <w:szCs w:val="24"/>
                          </w:rPr>
                          <w:t xml:space="preserve"> </w:t>
                        </w:r>
                        <w:r w:rsidR="00BE1D77" w:rsidRPr="001A5EBC">
                          <w:rPr>
                            <w:color w:val="FFFFFF" w:themeColor="background1"/>
                            <w:sz w:val="24"/>
                            <w:szCs w:val="24"/>
                          </w:rPr>
                          <w:t xml:space="preserve">to </w:t>
                        </w:r>
                        <w:r w:rsidR="00C63E8D" w:rsidRPr="001A5EBC">
                          <w:rPr>
                            <w:color w:val="FFFFFF" w:themeColor="background1"/>
                            <w:sz w:val="24"/>
                            <w:szCs w:val="24"/>
                          </w:rPr>
                          <w:t>realiz</w:t>
                        </w:r>
                        <w:r w:rsidR="00BE1D77" w:rsidRPr="001A5EBC">
                          <w:rPr>
                            <w:color w:val="FFFFFF" w:themeColor="background1"/>
                            <w:sz w:val="24"/>
                            <w:szCs w:val="24"/>
                          </w:rPr>
                          <w:t>e the</w:t>
                        </w:r>
                        <w:r w:rsidR="00496F60" w:rsidRPr="001A5EBC">
                          <w:rPr>
                            <w:color w:val="FFFFFF" w:themeColor="background1"/>
                            <w:sz w:val="24"/>
                            <w:szCs w:val="24"/>
                          </w:rPr>
                          <w:t xml:space="preserve"> full potential of private capital.</w:t>
                        </w:r>
                        <w:r w:rsidR="00BF4748" w:rsidRPr="001A5EBC">
                          <w:rPr>
                            <w:color w:val="FFFFFF" w:themeColor="background1"/>
                            <w:sz w:val="24"/>
                            <w:szCs w:val="24"/>
                          </w:rPr>
                          <w:t xml:space="preserve"> </w:t>
                        </w:r>
                        <w:r w:rsidR="00B60695">
                          <w:rPr>
                            <w:color w:val="FFFFFF" w:themeColor="background1"/>
                            <w:sz w:val="24"/>
                            <w:szCs w:val="24"/>
                          </w:rPr>
                          <w:t xml:space="preserve">This equates to a leverage ratio of </w:t>
                        </w:r>
                        <w:r w:rsidR="00E04F28">
                          <w:rPr>
                            <w:color w:val="FFFFFF" w:themeColor="background1"/>
                            <w:sz w:val="24"/>
                            <w:szCs w:val="24"/>
                          </w:rPr>
                          <w:t>1:2.65 – that is for every £1 of government spending, an additional £2.65 of private investment may be expected.</w:t>
                        </w:r>
                      </w:p>
                      <w:p w14:paraId="51548114" w14:textId="77777777" w:rsidR="00F533F7" w:rsidRPr="001A5EBC" w:rsidRDefault="00F533F7" w:rsidP="00F533F7">
                        <w:pPr>
                          <w:rPr>
                            <w:color w:val="FFFFFF" w:themeColor="background1"/>
                          </w:rPr>
                        </w:pPr>
                      </w:p>
                    </w:txbxContent>
                  </v:textbox>
                </v:shape>
                <w10:wrap anchorx="margin"/>
              </v:group>
            </w:pict>
          </mc:Fallback>
        </mc:AlternateContent>
      </w:r>
      <w:r w:rsidR="00CF1658" w:rsidRPr="001A5EBC">
        <w:rPr>
          <w:noProof/>
        </w:rPr>
        <mc:AlternateContent>
          <mc:Choice Requires="wpg">
            <w:drawing>
              <wp:anchor distT="0" distB="0" distL="114300" distR="114300" simplePos="0" relativeHeight="251657234" behindDoc="0" locked="0" layoutInCell="1" allowOverlap="1" wp14:anchorId="7D25FB05" wp14:editId="5243BFC5">
                <wp:simplePos x="0" y="0"/>
                <wp:positionH relativeFrom="margin">
                  <wp:posOffset>-659130</wp:posOffset>
                </wp:positionH>
                <wp:positionV relativeFrom="paragraph">
                  <wp:posOffset>-162771</wp:posOffset>
                </wp:positionV>
                <wp:extent cx="7099935" cy="1429174"/>
                <wp:effectExtent l="0" t="0" r="5715" b="0"/>
                <wp:wrapNone/>
                <wp:docPr id="313248446" name="Group 12"/>
                <wp:cNvGraphicFramePr/>
                <a:graphic xmlns:a="http://schemas.openxmlformats.org/drawingml/2006/main">
                  <a:graphicData uri="http://schemas.microsoft.com/office/word/2010/wordprocessingGroup">
                    <wpg:wgp>
                      <wpg:cNvGrpSpPr/>
                      <wpg:grpSpPr>
                        <a:xfrm>
                          <a:off x="0" y="0"/>
                          <a:ext cx="7099935" cy="1429174"/>
                          <a:chOff x="0" y="12204"/>
                          <a:chExt cx="7020000" cy="1198800"/>
                        </a:xfrm>
                      </wpg:grpSpPr>
                      <wps:wsp>
                        <wps:cNvPr id="85951685" name="Rectangle 9"/>
                        <wps:cNvSpPr/>
                        <wps:spPr>
                          <a:xfrm>
                            <a:off x="0" y="12204"/>
                            <a:ext cx="7020000" cy="1198800"/>
                          </a:xfrm>
                          <a:prstGeom prst="rect">
                            <a:avLst/>
                          </a:prstGeom>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64580604" name="Text Box 10"/>
                        <wps:cNvSpPr txBox="1"/>
                        <wps:spPr>
                          <a:xfrm>
                            <a:off x="393405" y="159489"/>
                            <a:ext cx="554355" cy="762635"/>
                          </a:xfrm>
                          <a:prstGeom prst="callout1">
                            <a:avLst>
                              <a:gd name="adj1" fmla="val -182"/>
                              <a:gd name="adj2" fmla="val 100186"/>
                              <a:gd name="adj3" fmla="val 100614"/>
                              <a:gd name="adj4" fmla="val 99739"/>
                            </a:avLst>
                          </a:prstGeom>
                          <a:noFill/>
                          <a:ln w="6350">
                            <a:solidFill>
                              <a:schemeClr val="bg1"/>
                            </a:solidFill>
                          </a:ln>
                        </wps:spPr>
                        <wps:txbx>
                          <w:txbxContent>
                            <w:p w14:paraId="1F8740B3" w14:textId="77777777" w:rsidR="00A20E03" w:rsidRPr="001A5EBC" w:rsidRDefault="00A20E03" w:rsidP="00A20E03">
                              <w:pPr>
                                <w:jc w:val="right"/>
                                <w:rPr>
                                  <w:rFonts w:asciiTheme="majorHAnsi" w:hAnsiTheme="majorHAnsi"/>
                                  <w:b/>
                                  <w:bCs/>
                                  <w:color w:val="FFFFFF" w:themeColor="background1"/>
                                  <w:sz w:val="80"/>
                                  <w:szCs w:val="80"/>
                                </w:rPr>
                              </w:pPr>
                              <w:r w:rsidRPr="001A5EBC">
                                <w:rPr>
                                  <w:rFonts w:asciiTheme="majorHAnsi" w:hAnsiTheme="majorHAnsi"/>
                                  <w:b/>
                                  <w:bCs/>
                                  <w:color w:val="FFFFFF" w:themeColor="background1"/>
                                  <w:sz w:val="80"/>
                                  <w:szCs w:val="80"/>
                                </w:rPr>
                                <w:t>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627410035" name="Text Box 11"/>
                        <wps:cNvSpPr txBox="1"/>
                        <wps:spPr>
                          <a:xfrm>
                            <a:off x="1105696" y="138205"/>
                            <a:ext cx="5819874" cy="1072610"/>
                          </a:xfrm>
                          <a:prstGeom prst="rect">
                            <a:avLst/>
                          </a:prstGeom>
                          <a:noFill/>
                          <a:ln w="6350">
                            <a:noFill/>
                          </a:ln>
                        </wps:spPr>
                        <wps:txbx>
                          <w:txbxContent>
                            <w:p w14:paraId="22C9DC4F" w14:textId="3CC81311" w:rsidR="00A20E03" w:rsidRPr="001A5EBC" w:rsidRDefault="00A20E03" w:rsidP="00A20E03">
                              <w:pPr>
                                <w:pStyle w:val="StandardHeading16ptBlack"/>
                              </w:pPr>
                              <w:r w:rsidRPr="001A5EBC">
                                <w:t>Land</w:t>
                              </w:r>
                              <w:r w:rsidR="00BE1D77" w:rsidRPr="001A5EBC">
                                <w:t xml:space="preserve"> </w:t>
                              </w:r>
                              <w:r w:rsidR="004E67B2">
                                <w:t>U</w:t>
                              </w:r>
                              <w:r w:rsidR="00BE1D77" w:rsidRPr="001A5EBC">
                                <w:t>se</w:t>
                              </w:r>
                            </w:p>
                            <w:p w14:paraId="35158EE7" w14:textId="3B0491FF" w:rsidR="00963F27" w:rsidRPr="001A5EBC" w:rsidRDefault="0073199E" w:rsidP="0083544A">
                              <w:pPr>
                                <w:pStyle w:val="ListBullet"/>
                                <w:numPr>
                                  <w:ilvl w:val="0"/>
                                  <w:numId w:val="0"/>
                                </w:numPr>
                                <w:rPr>
                                  <w:color w:val="FFFFFF" w:themeColor="background1"/>
                                  <w:sz w:val="24"/>
                                  <w:szCs w:val="24"/>
                                </w:rPr>
                              </w:pPr>
                              <w:r w:rsidRPr="001A5EBC">
                                <w:rPr>
                                  <w:b/>
                                  <w:bCs/>
                                  <w:color w:val="FFFFFF" w:themeColor="background1"/>
                                  <w:sz w:val="24"/>
                                  <w:szCs w:val="24"/>
                                </w:rPr>
                                <w:t>P</w:t>
                              </w:r>
                              <w:r w:rsidR="00690571" w:rsidRPr="001A5EBC">
                                <w:rPr>
                                  <w:b/>
                                  <w:bCs/>
                                  <w:color w:val="FFFFFF" w:themeColor="background1"/>
                                  <w:sz w:val="24"/>
                                  <w:szCs w:val="24"/>
                                </w:rPr>
                                <w:t>ublic</w:t>
                              </w:r>
                              <w:r w:rsidRPr="001A5EBC">
                                <w:rPr>
                                  <w:b/>
                                  <w:bCs/>
                                  <w:color w:val="FFFFFF" w:themeColor="background1"/>
                                  <w:sz w:val="24"/>
                                  <w:szCs w:val="24"/>
                                </w:rPr>
                                <w:t xml:space="preserve"> and private</w:t>
                              </w:r>
                              <w:r w:rsidR="00690571" w:rsidRPr="001A5EBC">
                                <w:rPr>
                                  <w:b/>
                                  <w:bCs/>
                                  <w:color w:val="FFFFFF" w:themeColor="background1"/>
                                  <w:sz w:val="24"/>
                                  <w:szCs w:val="24"/>
                                </w:rPr>
                                <w:t xml:space="preserve"> investments can</w:t>
                              </w:r>
                              <w:r w:rsidR="00053D4D">
                                <w:rPr>
                                  <w:b/>
                                  <w:bCs/>
                                  <w:color w:val="FFFFFF" w:themeColor="background1"/>
                                  <w:sz w:val="24"/>
                                  <w:szCs w:val="24"/>
                                </w:rPr>
                                <w:t xml:space="preserve"> each</w:t>
                              </w:r>
                              <w:r w:rsidR="00690571" w:rsidRPr="001A5EBC">
                                <w:rPr>
                                  <w:b/>
                                  <w:bCs/>
                                  <w:color w:val="FFFFFF" w:themeColor="background1"/>
                                  <w:sz w:val="24"/>
                                  <w:szCs w:val="24"/>
                                </w:rPr>
                                <w:t xml:space="preserve"> be expected to account for </w:t>
                              </w:r>
                              <w:r w:rsidR="00053D4D">
                                <w:rPr>
                                  <w:b/>
                                  <w:bCs/>
                                  <w:color w:val="FFFFFF" w:themeColor="background1"/>
                                  <w:sz w:val="24"/>
                                  <w:szCs w:val="24"/>
                                </w:rPr>
                                <w:t>50</w:t>
                              </w:r>
                              <w:r w:rsidR="00963F27" w:rsidRPr="001A5EBC">
                                <w:rPr>
                                  <w:b/>
                                  <w:bCs/>
                                  <w:color w:val="FFFFFF" w:themeColor="background1"/>
                                  <w:sz w:val="24"/>
                                  <w:szCs w:val="24"/>
                                </w:rPr>
                                <w:t>%</w:t>
                              </w:r>
                              <w:r w:rsidR="00053D4D">
                                <w:rPr>
                                  <w:b/>
                                  <w:bCs/>
                                  <w:color w:val="FFFFFF" w:themeColor="background1"/>
                                  <w:sz w:val="24"/>
                                  <w:szCs w:val="24"/>
                                </w:rPr>
                                <w:t xml:space="preserve"> </w:t>
                              </w:r>
                              <w:r w:rsidR="00A040AF" w:rsidRPr="001A5EBC">
                                <w:rPr>
                                  <w:b/>
                                  <w:bCs/>
                                  <w:color w:val="FFFFFF" w:themeColor="background1"/>
                                  <w:sz w:val="24"/>
                                  <w:szCs w:val="24"/>
                                </w:rPr>
                                <w:t xml:space="preserve">of the required investments respectively. </w:t>
                              </w:r>
                              <w:r w:rsidR="00183935" w:rsidRPr="001A5EBC">
                                <w:rPr>
                                  <w:color w:val="FFFFFF" w:themeColor="background1"/>
                                  <w:sz w:val="24"/>
                                  <w:szCs w:val="24"/>
                                </w:rPr>
                                <w:t xml:space="preserve">Of the </w:t>
                              </w:r>
                              <w:r w:rsidR="00963F27" w:rsidRPr="001A5EBC">
                                <w:rPr>
                                  <w:color w:val="FFFFFF" w:themeColor="background1"/>
                                  <w:sz w:val="24"/>
                                  <w:szCs w:val="24"/>
                                </w:rPr>
                                <w:t>£</w:t>
                              </w:r>
                              <w:r w:rsidR="00B12750" w:rsidRPr="001A5EBC">
                                <w:rPr>
                                  <w:color w:val="FFFFFF" w:themeColor="background1"/>
                                  <w:sz w:val="24"/>
                                  <w:szCs w:val="24"/>
                                </w:rPr>
                                <w:t>1</w:t>
                              </w:r>
                              <w:r w:rsidR="00963F27" w:rsidRPr="001A5EBC">
                                <w:rPr>
                                  <w:color w:val="FFFFFF" w:themeColor="background1"/>
                                  <w:sz w:val="24"/>
                                  <w:szCs w:val="24"/>
                                </w:rPr>
                                <w:t xml:space="preserve">bn pa </w:t>
                              </w:r>
                              <w:r w:rsidR="00C70EFF" w:rsidRPr="001A5EBC">
                                <w:rPr>
                                  <w:color w:val="FFFFFF" w:themeColor="background1"/>
                                  <w:sz w:val="24"/>
                                  <w:szCs w:val="24"/>
                                </w:rPr>
                                <w:t xml:space="preserve">investments </w:t>
                              </w:r>
                              <w:r w:rsidR="00963F27" w:rsidRPr="001A5EBC">
                                <w:rPr>
                                  <w:color w:val="FFFFFF" w:themeColor="background1"/>
                                  <w:sz w:val="24"/>
                                  <w:szCs w:val="24"/>
                                </w:rPr>
                                <w:t>in the North, £</w:t>
                              </w:r>
                              <w:r w:rsidR="00B12750" w:rsidRPr="001A5EBC">
                                <w:rPr>
                                  <w:color w:val="FFFFFF" w:themeColor="background1"/>
                                  <w:sz w:val="24"/>
                                  <w:szCs w:val="24"/>
                                </w:rPr>
                                <w:t>0.</w:t>
                              </w:r>
                              <w:r w:rsidR="00542D4E" w:rsidRPr="001A5EBC">
                                <w:rPr>
                                  <w:color w:val="FFFFFF" w:themeColor="background1"/>
                                  <w:sz w:val="24"/>
                                  <w:szCs w:val="24"/>
                                </w:rPr>
                                <w:t>5</w:t>
                              </w:r>
                              <w:r w:rsidR="00963F27" w:rsidRPr="001A5EBC">
                                <w:rPr>
                                  <w:color w:val="FFFFFF" w:themeColor="background1"/>
                                  <w:sz w:val="24"/>
                                  <w:szCs w:val="24"/>
                                </w:rPr>
                                <w:t>bn</w:t>
                              </w:r>
                              <w:r w:rsidR="00C70EFF" w:rsidRPr="001A5EBC">
                                <w:rPr>
                                  <w:color w:val="FFFFFF" w:themeColor="background1"/>
                                  <w:sz w:val="24"/>
                                  <w:szCs w:val="24"/>
                                </w:rPr>
                                <w:t xml:space="preserve"> would be </w:t>
                              </w:r>
                              <w:r w:rsidR="00963F27" w:rsidRPr="001A5EBC">
                                <w:rPr>
                                  <w:color w:val="FFFFFF" w:themeColor="background1"/>
                                  <w:sz w:val="24"/>
                                  <w:szCs w:val="24"/>
                                </w:rPr>
                                <w:t>public investment (primarily in direct</w:t>
                              </w:r>
                              <w:r w:rsidR="003B16FB">
                                <w:rPr>
                                  <w:color w:val="FFFFFF" w:themeColor="background1"/>
                                  <w:sz w:val="24"/>
                                  <w:szCs w:val="24"/>
                                </w:rPr>
                                <w:t xml:space="preserve"> </w:t>
                              </w:r>
                              <w:r w:rsidR="00963F27" w:rsidRPr="001A5EBC">
                                <w:rPr>
                                  <w:color w:val="FFFFFF" w:themeColor="background1"/>
                                  <w:sz w:val="24"/>
                                  <w:szCs w:val="24"/>
                                </w:rPr>
                                <w:t>funding</w:t>
                              </w:r>
                              <w:r w:rsidR="004C33BA" w:rsidRPr="001A5EBC">
                                <w:rPr>
                                  <w:color w:val="FFFFFF" w:themeColor="background1"/>
                                  <w:sz w:val="24"/>
                                  <w:szCs w:val="24"/>
                                </w:rPr>
                                <w:t xml:space="preserve"> </w:t>
                              </w:r>
                              <w:r w:rsidR="00963F27" w:rsidRPr="001A5EBC">
                                <w:rPr>
                                  <w:color w:val="FFFFFF" w:themeColor="background1"/>
                                  <w:sz w:val="24"/>
                                  <w:szCs w:val="24"/>
                                </w:rPr>
                                <w:t>of environmental restoration and grants to encourage sustainable agricultural practices)</w:t>
                              </w:r>
                              <w:r w:rsidR="00292657" w:rsidRPr="001A5EBC">
                                <w:rPr>
                                  <w:color w:val="FFFFFF" w:themeColor="background1"/>
                                  <w:sz w:val="24"/>
                                  <w:szCs w:val="24"/>
                                </w:rPr>
                                <w:t xml:space="preserve"> and around £0.</w:t>
                              </w:r>
                              <w:r w:rsidR="00542D4E" w:rsidRPr="001A5EBC">
                                <w:rPr>
                                  <w:color w:val="FFFFFF" w:themeColor="background1"/>
                                  <w:sz w:val="24"/>
                                  <w:szCs w:val="24"/>
                                </w:rPr>
                                <w:t>5</w:t>
                              </w:r>
                              <w:r w:rsidR="00292657" w:rsidRPr="001A5EBC">
                                <w:rPr>
                                  <w:color w:val="FFFFFF" w:themeColor="background1"/>
                                  <w:sz w:val="24"/>
                                  <w:szCs w:val="24"/>
                                </w:rPr>
                                <w:t xml:space="preserve">bn would be covered by the private sector. </w:t>
                              </w:r>
                            </w:p>
                            <w:p w14:paraId="17180358" w14:textId="77777777" w:rsidR="00963F27" w:rsidRPr="001A5EBC" w:rsidRDefault="00963F27" w:rsidP="00963F27">
                              <w:pPr>
                                <w:pStyle w:val="BodyText"/>
                              </w:pPr>
                            </w:p>
                            <w:p w14:paraId="0F450F21" w14:textId="77777777" w:rsidR="00A20E03" w:rsidRPr="001A5EBC" w:rsidRDefault="00A20E03" w:rsidP="00A20E03">
                              <w:pPr>
                                <w:rPr>
                                  <w:color w:val="FFFFFF" w:themeColor="background1"/>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D25FB05" id="_x0000_s1053" style="position:absolute;margin-left:-51.9pt;margin-top:-12.8pt;width:559.05pt;height:112.55pt;z-index:251657234;mso-position-horizontal-relative:margin;mso-width-relative:margin;mso-height-relative:margin" coordorigin=",122" coordsize="70200,119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">
                <v:rect id="Rectangle 9" o:spid="_x0000_s1054" style="position:absolute;top:122;width:70200;height:119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" fillcolor="#009fe3 [3204]" stroked="f" strokeweight="2pt"/>
                <v:shape id="_x0000_s1055" type="#_x0000_t41" style="position:absolute;left:3934;top:1594;width:5543;height:76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" adj="21544,21733,21640,-39" filled="f" strokecolor="white [3212]" strokeweight=".5pt">
                  <v:textbox>
                    <w:txbxContent>
                      <w:p w14:paraId="1F8740B3" w14:textId="77777777" w:rsidR="00A20E03" w:rsidRPr="001A5EBC" w:rsidRDefault="00A20E03" w:rsidP="00A20E03">
                        <w:pPr>
                          <w:jc w:val="right"/>
                          <w:rPr>
                            <w:rFonts w:asciiTheme="majorHAnsi" w:hAnsiTheme="majorHAnsi"/>
                            <w:b/>
                            <w:bCs/>
                            <w:color w:val="FFFFFF" w:themeColor="background1"/>
                            <w:sz w:val="80"/>
                            <w:szCs w:val="80"/>
                          </w:rPr>
                        </w:pPr>
                        <w:r w:rsidRPr="001A5EBC">
                          <w:rPr>
                            <w:rFonts w:asciiTheme="majorHAnsi" w:hAnsiTheme="majorHAnsi"/>
                            <w:b/>
                            <w:bCs/>
                            <w:color w:val="FFFFFF" w:themeColor="background1"/>
                            <w:sz w:val="80"/>
                            <w:szCs w:val="80"/>
                          </w:rPr>
                          <w:t>5</w:t>
                        </w:r>
                      </w:p>
                    </w:txbxContent>
                  </v:textbox>
                  <o:callout v:ext="edit" minusy="t"/>
                </v:shape>
                <v:shape id="Text Box 11" o:spid="_x0000_s1056" type="#_x0000_t202" style="position:absolute;left:11056;top:1382;width:58199;height:107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" filled="f" stroked="f" strokeweight=".5pt">
                  <v:textbox inset="0,0,0,0">
                    <w:txbxContent>
                      <w:p w14:paraId="22C9DC4F" w14:textId="3CC81311" w:rsidR="00A20E03" w:rsidRPr="001A5EBC" w:rsidRDefault="00A20E03" w:rsidP="00A20E03">
                        <w:pPr>
                          <w:pStyle w:val="StandardHeading16ptBlack"/>
                        </w:pPr>
                        <w:r w:rsidRPr="001A5EBC">
                          <w:t>Land</w:t>
                        </w:r>
                        <w:r w:rsidR="00BE1D77" w:rsidRPr="001A5EBC">
                          <w:t xml:space="preserve"> </w:t>
                        </w:r>
                        <w:r w:rsidR="004E67B2">
                          <w:t>U</w:t>
                        </w:r>
                        <w:r w:rsidR="00BE1D77" w:rsidRPr="001A5EBC">
                          <w:t>se</w:t>
                        </w:r>
                      </w:p>
                      <w:p w14:paraId="35158EE7" w14:textId="3B0491FF" w:rsidR="00963F27" w:rsidRPr="001A5EBC" w:rsidRDefault="0073199E" w:rsidP="0083544A">
                        <w:pPr>
                          <w:pStyle w:val="ListBullet"/>
                          <w:numPr>
                            <w:ilvl w:val="0"/>
                            <w:numId w:val="0"/>
                          </w:numPr>
                          <w:rPr>
                            <w:color w:val="FFFFFF" w:themeColor="background1"/>
                            <w:sz w:val="24"/>
                            <w:szCs w:val="24"/>
                          </w:rPr>
                        </w:pPr>
                        <w:r w:rsidRPr="001A5EBC">
                          <w:rPr>
                            <w:b/>
                            <w:bCs/>
                            <w:color w:val="FFFFFF" w:themeColor="background1"/>
                            <w:sz w:val="24"/>
                            <w:szCs w:val="24"/>
                          </w:rPr>
                          <w:t>P</w:t>
                        </w:r>
                        <w:r w:rsidR="00690571" w:rsidRPr="001A5EBC">
                          <w:rPr>
                            <w:b/>
                            <w:bCs/>
                            <w:color w:val="FFFFFF" w:themeColor="background1"/>
                            <w:sz w:val="24"/>
                            <w:szCs w:val="24"/>
                          </w:rPr>
                          <w:t>ublic</w:t>
                        </w:r>
                        <w:r w:rsidRPr="001A5EBC">
                          <w:rPr>
                            <w:b/>
                            <w:bCs/>
                            <w:color w:val="FFFFFF" w:themeColor="background1"/>
                            <w:sz w:val="24"/>
                            <w:szCs w:val="24"/>
                          </w:rPr>
                          <w:t xml:space="preserve"> and private</w:t>
                        </w:r>
                        <w:r w:rsidR="00690571" w:rsidRPr="001A5EBC">
                          <w:rPr>
                            <w:b/>
                            <w:bCs/>
                            <w:color w:val="FFFFFF" w:themeColor="background1"/>
                            <w:sz w:val="24"/>
                            <w:szCs w:val="24"/>
                          </w:rPr>
                          <w:t xml:space="preserve"> investments can</w:t>
                        </w:r>
                        <w:r w:rsidR="00053D4D">
                          <w:rPr>
                            <w:b/>
                            <w:bCs/>
                            <w:color w:val="FFFFFF" w:themeColor="background1"/>
                            <w:sz w:val="24"/>
                            <w:szCs w:val="24"/>
                          </w:rPr>
                          <w:t xml:space="preserve"> each</w:t>
                        </w:r>
                        <w:r w:rsidR="00690571" w:rsidRPr="001A5EBC">
                          <w:rPr>
                            <w:b/>
                            <w:bCs/>
                            <w:color w:val="FFFFFF" w:themeColor="background1"/>
                            <w:sz w:val="24"/>
                            <w:szCs w:val="24"/>
                          </w:rPr>
                          <w:t xml:space="preserve"> be expected to account for </w:t>
                        </w:r>
                        <w:r w:rsidR="00053D4D">
                          <w:rPr>
                            <w:b/>
                            <w:bCs/>
                            <w:color w:val="FFFFFF" w:themeColor="background1"/>
                            <w:sz w:val="24"/>
                            <w:szCs w:val="24"/>
                          </w:rPr>
                          <w:t>50</w:t>
                        </w:r>
                        <w:r w:rsidR="00963F27" w:rsidRPr="001A5EBC">
                          <w:rPr>
                            <w:b/>
                            <w:bCs/>
                            <w:color w:val="FFFFFF" w:themeColor="background1"/>
                            <w:sz w:val="24"/>
                            <w:szCs w:val="24"/>
                          </w:rPr>
                          <w:t>%</w:t>
                        </w:r>
                        <w:r w:rsidR="00053D4D">
                          <w:rPr>
                            <w:b/>
                            <w:bCs/>
                            <w:color w:val="FFFFFF" w:themeColor="background1"/>
                            <w:sz w:val="24"/>
                            <w:szCs w:val="24"/>
                          </w:rPr>
                          <w:t xml:space="preserve"> </w:t>
                        </w:r>
                        <w:r w:rsidR="00A040AF" w:rsidRPr="001A5EBC">
                          <w:rPr>
                            <w:b/>
                            <w:bCs/>
                            <w:color w:val="FFFFFF" w:themeColor="background1"/>
                            <w:sz w:val="24"/>
                            <w:szCs w:val="24"/>
                          </w:rPr>
                          <w:t xml:space="preserve">of the required investments respectively. </w:t>
                        </w:r>
                        <w:r w:rsidR="00183935" w:rsidRPr="001A5EBC">
                          <w:rPr>
                            <w:color w:val="FFFFFF" w:themeColor="background1"/>
                            <w:sz w:val="24"/>
                            <w:szCs w:val="24"/>
                          </w:rPr>
                          <w:t xml:space="preserve">Of the </w:t>
                        </w:r>
                        <w:r w:rsidR="00963F27" w:rsidRPr="001A5EBC">
                          <w:rPr>
                            <w:color w:val="FFFFFF" w:themeColor="background1"/>
                            <w:sz w:val="24"/>
                            <w:szCs w:val="24"/>
                          </w:rPr>
                          <w:t>£</w:t>
                        </w:r>
                        <w:r w:rsidR="00B12750" w:rsidRPr="001A5EBC">
                          <w:rPr>
                            <w:color w:val="FFFFFF" w:themeColor="background1"/>
                            <w:sz w:val="24"/>
                            <w:szCs w:val="24"/>
                          </w:rPr>
                          <w:t>1</w:t>
                        </w:r>
                        <w:r w:rsidR="00963F27" w:rsidRPr="001A5EBC">
                          <w:rPr>
                            <w:color w:val="FFFFFF" w:themeColor="background1"/>
                            <w:sz w:val="24"/>
                            <w:szCs w:val="24"/>
                          </w:rPr>
                          <w:t xml:space="preserve">bn pa </w:t>
                        </w:r>
                        <w:r w:rsidR="00C70EFF" w:rsidRPr="001A5EBC">
                          <w:rPr>
                            <w:color w:val="FFFFFF" w:themeColor="background1"/>
                            <w:sz w:val="24"/>
                            <w:szCs w:val="24"/>
                          </w:rPr>
                          <w:t xml:space="preserve">investments </w:t>
                        </w:r>
                        <w:r w:rsidR="00963F27" w:rsidRPr="001A5EBC">
                          <w:rPr>
                            <w:color w:val="FFFFFF" w:themeColor="background1"/>
                            <w:sz w:val="24"/>
                            <w:szCs w:val="24"/>
                          </w:rPr>
                          <w:t>in the North, £</w:t>
                        </w:r>
                        <w:r w:rsidR="00B12750" w:rsidRPr="001A5EBC">
                          <w:rPr>
                            <w:color w:val="FFFFFF" w:themeColor="background1"/>
                            <w:sz w:val="24"/>
                            <w:szCs w:val="24"/>
                          </w:rPr>
                          <w:t>0.</w:t>
                        </w:r>
                        <w:r w:rsidR="00542D4E" w:rsidRPr="001A5EBC">
                          <w:rPr>
                            <w:color w:val="FFFFFF" w:themeColor="background1"/>
                            <w:sz w:val="24"/>
                            <w:szCs w:val="24"/>
                          </w:rPr>
                          <w:t>5</w:t>
                        </w:r>
                        <w:r w:rsidR="00963F27" w:rsidRPr="001A5EBC">
                          <w:rPr>
                            <w:color w:val="FFFFFF" w:themeColor="background1"/>
                            <w:sz w:val="24"/>
                            <w:szCs w:val="24"/>
                          </w:rPr>
                          <w:t>bn</w:t>
                        </w:r>
                        <w:r w:rsidR="00C70EFF" w:rsidRPr="001A5EBC">
                          <w:rPr>
                            <w:color w:val="FFFFFF" w:themeColor="background1"/>
                            <w:sz w:val="24"/>
                            <w:szCs w:val="24"/>
                          </w:rPr>
                          <w:t xml:space="preserve"> would be </w:t>
                        </w:r>
                        <w:r w:rsidR="00963F27" w:rsidRPr="001A5EBC">
                          <w:rPr>
                            <w:color w:val="FFFFFF" w:themeColor="background1"/>
                            <w:sz w:val="24"/>
                            <w:szCs w:val="24"/>
                          </w:rPr>
                          <w:t>public investment (primarily in direct</w:t>
                        </w:r>
                        <w:r w:rsidR="003B16FB">
                          <w:rPr>
                            <w:color w:val="FFFFFF" w:themeColor="background1"/>
                            <w:sz w:val="24"/>
                            <w:szCs w:val="24"/>
                          </w:rPr>
                          <w:t xml:space="preserve"> </w:t>
                        </w:r>
                        <w:r w:rsidR="00963F27" w:rsidRPr="001A5EBC">
                          <w:rPr>
                            <w:color w:val="FFFFFF" w:themeColor="background1"/>
                            <w:sz w:val="24"/>
                            <w:szCs w:val="24"/>
                          </w:rPr>
                          <w:t>funding</w:t>
                        </w:r>
                        <w:r w:rsidR="004C33BA" w:rsidRPr="001A5EBC">
                          <w:rPr>
                            <w:color w:val="FFFFFF" w:themeColor="background1"/>
                            <w:sz w:val="24"/>
                            <w:szCs w:val="24"/>
                          </w:rPr>
                          <w:t xml:space="preserve"> </w:t>
                        </w:r>
                        <w:r w:rsidR="00963F27" w:rsidRPr="001A5EBC">
                          <w:rPr>
                            <w:color w:val="FFFFFF" w:themeColor="background1"/>
                            <w:sz w:val="24"/>
                            <w:szCs w:val="24"/>
                          </w:rPr>
                          <w:t>of environmental restoration and grants to encourage sustainable agricultural practices)</w:t>
                        </w:r>
                        <w:r w:rsidR="00292657" w:rsidRPr="001A5EBC">
                          <w:rPr>
                            <w:color w:val="FFFFFF" w:themeColor="background1"/>
                            <w:sz w:val="24"/>
                            <w:szCs w:val="24"/>
                          </w:rPr>
                          <w:t xml:space="preserve"> and around £0.</w:t>
                        </w:r>
                        <w:r w:rsidR="00542D4E" w:rsidRPr="001A5EBC">
                          <w:rPr>
                            <w:color w:val="FFFFFF" w:themeColor="background1"/>
                            <w:sz w:val="24"/>
                            <w:szCs w:val="24"/>
                          </w:rPr>
                          <w:t>5</w:t>
                        </w:r>
                        <w:r w:rsidR="00292657" w:rsidRPr="001A5EBC">
                          <w:rPr>
                            <w:color w:val="FFFFFF" w:themeColor="background1"/>
                            <w:sz w:val="24"/>
                            <w:szCs w:val="24"/>
                          </w:rPr>
                          <w:t xml:space="preserve">bn would be covered by the private sector. </w:t>
                        </w:r>
                      </w:p>
                      <w:p w14:paraId="17180358" w14:textId="77777777" w:rsidR="00963F27" w:rsidRPr="001A5EBC" w:rsidRDefault="00963F27" w:rsidP="00963F27">
                        <w:pPr>
                          <w:pStyle w:val="BodyText"/>
                        </w:pPr>
                      </w:p>
                      <w:p w14:paraId="0F450F21" w14:textId="77777777" w:rsidR="00A20E03" w:rsidRPr="001A5EBC" w:rsidRDefault="00A20E03" w:rsidP="00A20E03">
                        <w:pPr>
                          <w:rPr>
                            <w:color w:val="FFFFFF" w:themeColor="background1"/>
                          </w:rPr>
                        </w:pPr>
                      </w:p>
                    </w:txbxContent>
                  </v:textbox>
                </v:shape>
                <w10:wrap anchorx="margin"/>
              </v:group>
            </w:pict>
          </mc:Fallback>
        </mc:AlternateContent>
      </w:r>
      <w:bookmarkEnd w:id="11"/>
      <w:bookmarkEnd w:id="12"/>
    </w:p>
    <w:p w14:paraId="24440801" w14:textId="31BADAB9" w:rsidR="00F84948" w:rsidRPr="001A5EBC" w:rsidRDefault="00D43CB8" w:rsidP="001E1429">
      <w:pPr>
        <w:pStyle w:val="Heading1"/>
        <w:numPr>
          <w:ilvl w:val="0"/>
          <w:numId w:val="47"/>
        </w:numPr>
      </w:pPr>
      <w:bookmarkStart w:id="13" w:name="_Toc169011869"/>
      <w:r w:rsidRPr="001A5EBC">
        <w:lastRenderedPageBreak/>
        <w:t>References</w:t>
      </w:r>
      <w:bookmarkEnd w:id="6"/>
      <w:bookmarkEnd w:id="13"/>
    </w:p>
    <w:p w14:paraId="3EA7E37F" w14:textId="288B56AF" w:rsidR="008A4BA0" w:rsidRPr="001A5EBC" w:rsidRDefault="008A4BA0" w:rsidP="008A4BA0">
      <w:pPr>
        <w:pStyle w:val="BodyText"/>
        <w:rPr>
          <w:rStyle w:val="Hyperlink"/>
        </w:rPr>
      </w:pPr>
      <w:r w:rsidRPr="001A5EBC">
        <w:t>BEIS</w:t>
      </w:r>
      <w:r w:rsidR="008F2EC9" w:rsidRPr="001A5EBC">
        <w:t xml:space="preserve"> &amp; DESNZ</w:t>
      </w:r>
      <w:r w:rsidRPr="001A5EBC">
        <w:t xml:space="preserve">, 2021. Industrial decarbonisation strategy. Available at: </w:t>
      </w:r>
      <w:hyperlink r:id="rId47" w:anchor="annex-4-industry-decarbonisation-pathways-technical-annex" w:history="1">
        <w:r w:rsidRPr="001A5EBC">
          <w:rPr>
            <w:rStyle w:val="Hyperlink"/>
          </w:rPr>
          <w:t>Industrial decarbonisation strategy (accessible webpage) - GOV.UK (www.gov.uk)</w:t>
        </w:r>
      </w:hyperlink>
    </w:p>
    <w:p w14:paraId="38BFA557" w14:textId="676343B5" w:rsidR="00677F00" w:rsidRDefault="00677F00" w:rsidP="00073700">
      <w:pPr>
        <w:pStyle w:val="BodyText"/>
        <w:rPr>
          <w:rStyle w:val="Hyperlink"/>
          <w:color w:val="auto"/>
          <w:u w:val="none"/>
        </w:rPr>
      </w:pPr>
      <w:r>
        <w:rPr>
          <w:rStyle w:val="Hyperlink"/>
          <w:color w:val="auto"/>
          <w:u w:val="none"/>
        </w:rPr>
        <w:t>Cambridge Econometrics, 2023: Economic Scenarios for the Northern Powerhouse Independent Economic Review</w:t>
      </w:r>
      <w:r w:rsidR="00AF2DEF">
        <w:rPr>
          <w:rStyle w:val="Hyperlink"/>
          <w:color w:val="auto"/>
          <w:u w:val="none"/>
        </w:rPr>
        <w:t>.</w:t>
      </w:r>
      <w:r>
        <w:rPr>
          <w:rStyle w:val="Hyperlink"/>
          <w:color w:val="auto"/>
          <w:u w:val="none"/>
        </w:rPr>
        <w:t xml:space="preserve"> Available at: </w:t>
      </w:r>
      <w:hyperlink r:id="rId48" w:history="1">
        <w:r>
          <w:rPr>
            <w:rStyle w:val="Hyperlink"/>
          </w:rPr>
          <w:t>Economic scenarios for the Northern Powerhouse Independent Economic Review (transportforthenorth.com)</w:t>
        </w:r>
      </w:hyperlink>
    </w:p>
    <w:p w14:paraId="19A677E4" w14:textId="240040B8" w:rsidR="00073700" w:rsidRPr="001A5EBC" w:rsidRDefault="00073700" w:rsidP="00073700">
      <w:pPr>
        <w:pStyle w:val="BodyText"/>
      </w:pPr>
      <w:r w:rsidRPr="001A5EBC">
        <w:rPr>
          <w:rStyle w:val="Hyperlink"/>
          <w:color w:val="auto"/>
          <w:u w:val="none"/>
        </w:rPr>
        <w:t xml:space="preserve">Citizens Advise, 2023. Demand: </w:t>
      </w:r>
      <w:r w:rsidR="00FB3932" w:rsidRPr="001A5EBC">
        <w:rPr>
          <w:rStyle w:val="Hyperlink"/>
          <w:color w:val="auto"/>
          <w:u w:val="none"/>
        </w:rPr>
        <w:t>Net zero</w:t>
      </w:r>
      <w:r w:rsidRPr="001A5EBC">
        <w:rPr>
          <w:rStyle w:val="Hyperlink"/>
          <w:color w:val="auto"/>
          <w:u w:val="none"/>
        </w:rPr>
        <w:t>. Tackling the barriers to increased homeowner demand for retrofit measures</w:t>
      </w:r>
    </w:p>
    <w:p w14:paraId="4AF0CB3F" w14:textId="5EDE06C1" w:rsidR="00F771F2" w:rsidRPr="001A5EBC" w:rsidRDefault="00F771F2" w:rsidP="00F771F2">
      <w:pPr>
        <w:pStyle w:val="BodyText"/>
        <w:rPr>
          <w:rStyle w:val="Hyperlink"/>
          <w:color w:val="auto"/>
          <w:u w:val="none"/>
        </w:rPr>
      </w:pPr>
      <w:r w:rsidRPr="001A5EBC">
        <w:rPr>
          <w:rStyle w:val="Hyperlink"/>
          <w:color w:val="auto"/>
          <w:u w:val="none"/>
        </w:rPr>
        <w:t xml:space="preserve">Climate Change Committee, 2023. Progress towards reaching </w:t>
      </w:r>
      <w:r w:rsidR="00FB3932" w:rsidRPr="001A5EBC">
        <w:rPr>
          <w:rStyle w:val="Hyperlink"/>
          <w:color w:val="auto"/>
          <w:u w:val="none"/>
        </w:rPr>
        <w:t>Net zero</w:t>
      </w:r>
      <w:r w:rsidRPr="001A5EBC">
        <w:rPr>
          <w:rStyle w:val="Hyperlink"/>
          <w:color w:val="auto"/>
          <w:u w:val="none"/>
        </w:rPr>
        <w:t xml:space="preserve"> in the UK. Available at: </w:t>
      </w:r>
      <w:hyperlink r:id="rId49" w:history="1">
        <w:r w:rsidR="00377191" w:rsidRPr="001A5EBC">
          <w:rPr>
            <w:rStyle w:val="Hyperlink"/>
          </w:rPr>
          <w:t xml:space="preserve">Progress towards reaching </w:t>
        </w:r>
        <w:r w:rsidR="00FB3932" w:rsidRPr="001A5EBC">
          <w:rPr>
            <w:rStyle w:val="Hyperlink"/>
          </w:rPr>
          <w:t>Net zero</w:t>
        </w:r>
        <w:r w:rsidR="00377191" w:rsidRPr="001A5EBC">
          <w:rPr>
            <w:rStyle w:val="Hyperlink"/>
          </w:rPr>
          <w:t xml:space="preserve"> in the UK - Climate Change Committee (theccc.org.uk)</w:t>
        </w:r>
      </w:hyperlink>
    </w:p>
    <w:p w14:paraId="4D8E6309" w14:textId="6934D5A2" w:rsidR="005E33F8" w:rsidRPr="001A5EBC" w:rsidRDefault="005E33F8" w:rsidP="0022314E">
      <w:pPr>
        <w:pStyle w:val="BodyText"/>
        <w:rPr>
          <w:rStyle w:val="Hyperlink"/>
          <w:color w:val="auto"/>
          <w:u w:val="none"/>
        </w:rPr>
      </w:pPr>
      <w:r w:rsidRPr="001A5EBC">
        <w:rPr>
          <w:rStyle w:val="Hyperlink"/>
          <w:color w:val="auto"/>
          <w:u w:val="none"/>
        </w:rPr>
        <w:t>Climate Change Committee, 202</w:t>
      </w:r>
      <w:r w:rsidR="005C5711" w:rsidRPr="001A5EBC">
        <w:rPr>
          <w:rStyle w:val="Hyperlink"/>
          <w:color w:val="auto"/>
          <w:u w:val="none"/>
        </w:rPr>
        <w:t>0</w:t>
      </w:r>
      <w:r w:rsidRPr="001A5EBC">
        <w:rPr>
          <w:rStyle w:val="Hyperlink"/>
          <w:color w:val="auto"/>
          <w:u w:val="none"/>
        </w:rPr>
        <w:t xml:space="preserve">. Sixth Carbon Budget. Available at: </w:t>
      </w:r>
      <w:hyperlink r:id="rId50" w:history="1">
        <w:r w:rsidR="005C5711" w:rsidRPr="001A5EBC">
          <w:rPr>
            <w:rStyle w:val="Hyperlink"/>
          </w:rPr>
          <w:t>Sixth Carbon Budget - Climate Change Committee (theccc.org.uk)</w:t>
        </w:r>
      </w:hyperlink>
    </w:p>
    <w:p w14:paraId="2DB2D6DE" w14:textId="61A33753" w:rsidR="0022314E" w:rsidRPr="001A5EBC" w:rsidRDefault="0022314E" w:rsidP="0022314E">
      <w:pPr>
        <w:pStyle w:val="BodyText"/>
        <w:rPr>
          <w:color w:val="0000FF" w:themeColor="hyperlink"/>
          <w:u w:val="single"/>
        </w:rPr>
      </w:pPr>
      <w:r w:rsidRPr="001A5EBC">
        <w:rPr>
          <w:rStyle w:val="Hyperlink"/>
          <w:color w:val="auto"/>
          <w:u w:val="none"/>
        </w:rPr>
        <w:t>Climate Policy Initiative, 2023. Global Landscape of Climate Finance 2023. Available at</w:t>
      </w:r>
      <w:r w:rsidRPr="001A5EBC">
        <w:rPr>
          <w:rStyle w:val="Hyperlink"/>
        </w:rPr>
        <w:t xml:space="preserve">: </w:t>
      </w:r>
      <w:hyperlink r:id="rId51" w:history="1">
        <w:r w:rsidRPr="001A5EBC">
          <w:rPr>
            <w:rStyle w:val="Hyperlink"/>
          </w:rPr>
          <w:t>Global-Landscape-of-Climate-Finance-2023.pdf (climatepolicyinitiative.org)</w:t>
        </w:r>
      </w:hyperlink>
    </w:p>
    <w:p w14:paraId="2E3884B3" w14:textId="11FA142A" w:rsidR="00F66779" w:rsidRPr="001A5EBC" w:rsidRDefault="00A031ED" w:rsidP="006B70C8">
      <w:pPr>
        <w:pStyle w:val="BodyText"/>
        <w:rPr>
          <w:rStyle w:val="Hyperlink"/>
        </w:rPr>
      </w:pPr>
      <w:r w:rsidRPr="001A5EBC">
        <w:t xml:space="preserve">DESNZ, 2021. </w:t>
      </w:r>
      <w:r w:rsidR="00FB3932" w:rsidRPr="001A5EBC">
        <w:t>Net zero</w:t>
      </w:r>
      <w:r w:rsidRPr="001A5EBC">
        <w:t xml:space="preserve"> Strategy: Building Back Greener. Available at: </w:t>
      </w:r>
      <w:hyperlink r:id="rId52" w:history="1">
        <w:r w:rsidR="00FB3932" w:rsidRPr="001A5EBC">
          <w:rPr>
            <w:rStyle w:val="Hyperlink"/>
          </w:rPr>
          <w:t>Net zero</w:t>
        </w:r>
        <w:r w:rsidRPr="001A5EBC">
          <w:rPr>
            <w:rStyle w:val="Hyperlink"/>
          </w:rPr>
          <w:t xml:space="preserve"> Strategy: Build Back Greener - GOV.UK (www.gov.uk)</w:t>
        </w:r>
      </w:hyperlink>
    </w:p>
    <w:p w14:paraId="3BAB105D" w14:textId="553E071B" w:rsidR="002D3DED" w:rsidRPr="001A5EBC" w:rsidRDefault="002D3DED" w:rsidP="004856A0">
      <w:pPr>
        <w:pStyle w:val="BodyText"/>
      </w:pPr>
      <w:r w:rsidRPr="001A5EBC">
        <w:t xml:space="preserve">EEIG, 2019. </w:t>
      </w:r>
      <w:r w:rsidR="004856A0" w:rsidRPr="001A5EBC">
        <w:t xml:space="preserve">Making energy efficiency a public and private infrastructure investment priority. Available at: </w:t>
      </w:r>
      <w:hyperlink r:id="rId53" w:history="1">
        <w:r w:rsidR="004856A0" w:rsidRPr="001A5EBC">
          <w:rPr>
            <w:rStyle w:val="Hyperlink"/>
          </w:rPr>
          <w:t>EEIG_NET-ZERO_LITMUS_TEST_2019.pdf (nea.org.uk)</w:t>
        </w:r>
      </w:hyperlink>
    </w:p>
    <w:p w14:paraId="442D6BB8" w14:textId="67C290C3" w:rsidR="00275FD9" w:rsidRPr="001A5EBC" w:rsidRDefault="00275FD9" w:rsidP="006B70C8">
      <w:pPr>
        <w:pStyle w:val="BodyText"/>
        <w:rPr>
          <w:rStyle w:val="Hyperlink"/>
        </w:rPr>
      </w:pPr>
      <w:r w:rsidRPr="001A5EBC">
        <w:t xml:space="preserve">Energy UK &amp; Oxford Economics, 2023. </w:t>
      </w:r>
      <w:r w:rsidR="006B70C8" w:rsidRPr="001A5EBC">
        <w:t xml:space="preserve">The clean growth gap. </w:t>
      </w:r>
      <w:proofErr w:type="gramStart"/>
      <w:r w:rsidR="006B70C8" w:rsidRPr="001A5EBC">
        <w:t>How</w:t>
      </w:r>
      <w:proofErr w:type="gramEnd"/>
      <w:r w:rsidR="006B70C8" w:rsidRPr="001A5EBC">
        <w:t xml:space="preserve"> low carbon energy investment can transform the UK. Available at: </w:t>
      </w:r>
      <w:hyperlink r:id="rId54" w:history="1">
        <w:r w:rsidR="006B70C8" w:rsidRPr="001A5EBC">
          <w:rPr>
            <w:rStyle w:val="Hyperlink"/>
          </w:rPr>
          <w:t>Clean-Growth-Gap-How-low-carbon-energy-investment-can-transform-the-UK.pdf (energy-uk.org.uk)</w:t>
        </w:r>
      </w:hyperlink>
    </w:p>
    <w:p w14:paraId="6024E00C" w14:textId="41E43C84" w:rsidR="00AA1752" w:rsidRPr="001A5EBC" w:rsidRDefault="00AA1752" w:rsidP="006B70C8">
      <w:pPr>
        <w:pStyle w:val="BodyText"/>
      </w:pPr>
      <w:r w:rsidRPr="001A5EBC">
        <w:rPr>
          <w:rStyle w:val="Hyperlink"/>
          <w:color w:val="auto"/>
          <w:u w:val="none"/>
        </w:rPr>
        <w:t xml:space="preserve">Frontier Economics, 2022. </w:t>
      </w:r>
      <w:r w:rsidR="00DE14AA" w:rsidRPr="001A5EBC">
        <w:rPr>
          <w:rStyle w:val="Hyperlink"/>
          <w:color w:val="auto"/>
          <w:u w:val="none"/>
        </w:rPr>
        <w:t>The UK</w:t>
      </w:r>
      <w:r w:rsidR="00E267F9" w:rsidRPr="001A5EBC">
        <w:rPr>
          <w:rStyle w:val="Hyperlink"/>
          <w:color w:val="auto"/>
          <w:u w:val="none"/>
        </w:rPr>
        <w:t xml:space="preserve">’s </w:t>
      </w:r>
      <w:r w:rsidR="00FB3932" w:rsidRPr="001A5EBC">
        <w:rPr>
          <w:rStyle w:val="Hyperlink"/>
          <w:color w:val="auto"/>
          <w:u w:val="none"/>
        </w:rPr>
        <w:t>Net zero</w:t>
      </w:r>
      <w:r w:rsidR="00E267F9" w:rsidRPr="001A5EBC">
        <w:rPr>
          <w:rStyle w:val="Hyperlink"/>
          <w:color w:val="auto"/>
          <w:u w:val="none"/>
        </w:rPr>
        <w:t xml:space="preserve"> Investment Gaps. Available at:</w:t>
      </w:r>
      <w:r w:rsidR="00E267F9" w:rsidRPr="001A5EBC">
        <w:rPr>
          <w:rStyle w:val="Hyperlink"/>
          <w:color w:val="auto"/>
        </w:rPr>
        <w:t xml:space="preserve"> </w:t>
      </w:r>
      <w:hyperlink r:id="rId55" w:history="1">
        <w:r w:rsidR="00E267F9" w:rsidRPr="001A5EBC">
          <w:rPr>
            <w:rStyle w:val="Hyperlink"/>
          </w:rPr>
          <w:t>Net-zero-investment-gap-22.10.26-Final-STC.pdf (e3g.org)</w:t>
        </w:r>
      </w:hyperlink>
    </w:p>
    <w:p w14:paraId="4ADBA125" w14:textId="56907C30" w:rsidR="00B90AB4" w:rsidRPr="001A5EBC" w:rsidRDefault="00B90AB4" w:rsidP="006B70C8">
      <w:pPr>
        <w:pStyle w:val="BodyText"/>
      </w:pPr>
      <w:r w:rsidRPr="001A5EBC">
        <w:t xml:space="preserve">House of Commons, 2023. Funding for major infrastructure projects. Available at:  </w:t>
      </w:r>
      <w:hyperlink r:id="rId56" w:history="1">
        <w:r w:rsidRPr="001A5EBC">
          <w:rPr>
            <w:rStyle w:val="Hyperlink"/>
          </w:rPr>
          <w:t>CDP-2023-0096.pdf (parliament.uk)</w:t>
        </w:r>
      </w:hyperlink>
    </w:p>
    <w:p w14:paraId="32EA9B05" w14:textId="2A797535" w:rsidR="0080526A" w:rsidRPr="001A5EBC" w:rsidRDefault="0080526A" w:rsidP="00392CF2">
      <w:pPr>
        <w:pStyle w:val="BodyText"/>
        <w:rPr>
          <w:rStyle w:val="Hyperlink"/>
        </w:rPr>
      </w:pPr>
      <w:r w:rsidRPr="001A5EBC">
        <w:t>IEA</w:t>
      </w:r>
      <w:r w:rsidR="00292CE6" w:rsidRPr="001A5EBC">
        <w:t xml:space="preserve">, 2022. </w:t>
      </w:r>
      <w:r w:rsidR="00392CF2" w:rsidRPr="001A5EBC">
        <w:t xml:space="preserve">Scaling up Private Finance for Clean Energy in Emerging and Developing Economies. Available at: </w:t>
      </w:r>
      <w:hyperlink r:id="rId57" w:history="1">
        <w:r w:rsidR="008824BA" w:rsidRPr="001A5EBC">
          <w:rPr>
            <w:rStyle w:val="Hyperlink"/>
          </w:rPr>
          <w:t>Scaling up Private Finance for Clean Energy in EMDEs (iea.blob.core.windows.net)</w:t>
        </w:r>
      </w:hyperlink>
    </w:p>
    <w:p w14:paraId="3241EDC9" w14:textId="2807F3BA" w:rsidR="00DA3363" w:rsidRPr="001A5EBC" w:rsidRDefault="001C072E" w:rsidP="00B957BF">
      <w:pPr>
        <w:pStyle w:val="BodyText"/>
        <w:rPr>
          <w:rStyle w:val="Hyperlink"/>
          <w:color w:val="auto"/>
          <w:u w:val="none"/>
        </w:rPr>
      </w:pPr>
      <w:r w:rsidRPr="001A5EBC">
        <w:rPr>
          <w:rStyle w:val="Hyperlink"/>
          <w:color w:val="auto"/>
          <w:u w:val="none"/>
        </w:rPr>
        <w:t xml:space="preserve">Infrastructure and Projects Authority, 2021. </w:t>
      </w:r>
      <w:r w:rsidR="00B957BF" w:rsidRPr="001A5EBC">
        <w:rPr>
          <w:rStyle w:val="Hyperlink"/>
          <w:color w:val="auto"/>
          <w:u w:val="none"/>
        </w:rPr>
        <w:t xml:space="preserve">Analysis of the National Infrastructure and Construction Pipeline </w:t>
      </w:r>
      <w:r w:rsidR="00B957BF" w:rsidRPr="001A5EBC">
        <w:rPr>
          <w:rStyle w:val="Hyperlink"/>
          <w:color w:val="auto"/>
          <w:u w:val="none"/>
        </w:rPr>
        <w:lastRenderedPageBreak/>
        <w:t xml:space="preserve">2021. Available at: </w:t>
      </w:r>
      <w:hyperlink r:id="rId58" w:history="1">
        <w:r w:rsidR="00554A9D" w:rsidRPr="001A5EBC">
          <w:rPr>
            <w:rStyle w:val="Hyperlink"/>
          </w:rPr>
          <w:t>Analysis of the National Infrastructure and Construction Pipeline 2021 (publishing.service.gov.uk)</w:t>
        </w:r>
      </w:hyperlink>
    </w:p>
    <w:p w14:paraId="40B4BA00" w14:textId="0763A9A5" w:rsidR="000B4E1C" w:rsidRPr="001A5EBC" w:rsidRDefault="000B4E1C" w:rsidP="00392CF2">
      <w:pPr>
        <w:pStyle w:val="BodyText"/>
        <w:rPr>
          <w:rStyle w:val="Hyperlink"/>
        </w:rPr>
      </w:pPr>
      <w:r w:rsidRPr="001A5EBC">
        <w:t xml:space="preserve">IRENA, </w:t>
      </w:r>
      <w:r w:rsidR="006263CF" w:rsidRPr="001A5EBC">
        <w:t>2023. Scaling up energy transition investments to meet the 1.5</w:t>
      </w:r>
      <w:r w:rsidR="00804E36" w:rsidRPr="001A5EBC">
        <w:t xml:space="preserve">C goal. Available at: </w:t>
      </w:r>
      <w:hyperlink r:id="rId59" w:anchor=":~:text=Globally%2C%20the%20private%20sector%20committed,PV%20came%20from%20private%20finance." w:history="1">
        <w:r w:rsidRPr="001A5EBC">
          <w:rPr>
            <w:rStyle w:val="Hyperlink"/>
          </w:rPr>
          <w:t>Detail (irena.org)</w:t>
        </w:r>
      </w:hyperlink>
    </w:p>
    <w:p w14:paraId="1EEE7082" w14:textId="7A73157B" w:rsidR="00144C7B" w:rsidRPr="001A5EBC" w:rsidRDefault="008375BE" w:rsidP="008B200F">
      <w:pPr>
        <w:pStyle w:val="BodyText"/>
        <w:jc w:val="both"/>
      </w:pPr>
      <w:r w:rsidRPr="001A5EBC">
        <w:rPr>
          <w:rStyle w:val="Hyperlink"/>
          <w:color w:val="auto"/>
          <w:u w:val="none"/>
        </w:rPr>
        <w:t>The Climate Change Committee, 202</w:t>
      </w:r>
      <w:r w:rsidR="00541EA4" w:rsidRPr="001A5EBC">
        <w:rPr>
          <w:rStyle w:val="Hyperlink"/>
          <w:color w:val="auto"/>
          <w:u w:val="none"/>
        </w:rPr>
        <w:t>0</w:t>
      </w:r>
      <w:r w:rsidR="00136072" w:rsidRPr="001A5EBC">
        <w:rPr>
          <w:rStyle w:val="Hyperlink"/>
          <w:color w:val="auto"/>
          <w:u w:val="none"/>
        </w:rPr>
        <w:t xml:space="preserve">. The Sixth Carbon Budget: </w:t>
      </w:r>
      <w:r w:rsidR="008B200F" w:rsidRPr="001A5EBC">
        <w:rPr>
          <w:rStyle w:val="Hyperlink"/>
          <w:color w:val="auto"/>
          <w:u w:val="none"/>
        </w:rPr>
        <w:t>Agriculture and land use, land use change and forestry.</w:t>
      </w:r>
      <w:r w:rsidR="008B200F" w:rsidRPr="001A5EBC">
        <w:rPr>
          <w:rStyle w:val="Hyperlink"/>
          <w:color w:val="auto"/>
        </w:rPr>
        <w:t xml:space="preserve"> </w:t>
      </w:r>
      <w:r w:rsidR="008B200F" w:rsidRPr="001A5EBC">
        <w:rPr>
          <w:rStyle w:val="Hyperlink"/>
        </w:rPr>
        <w:t xml:space="preserve">Available at: </w:t>
      </w:r>
      <w:hyperlink r:id="rId60" w:history="1">
        <w:r w:rsidR="008B200F" w:rsidRPr="001A5EBC">
          <w:rPr>
            <w:rStyle w:val="Hyperlink"/>
          </w:rPr>
          <w:t>Sector-summary-Agriculture-land-use-land-use-change-forestry.pdf (theccc.org.uk)</w:t>
        </w:r>
      </w:hyperlink>
    </w:p>
    <w:p w14:paraId="26CB6BBC" w14:textId="4EA3AB25" w:rsidR="00F32682" w:rsidRPr="001A5EBC" w:rsidRDefault="00F32682" w:rsidP="008B200F">
      <w:pPr>
        <w:pStyle w:val="BodyText"/>
        <w:jc w:val="both"/>
      </w:pPr>
      <w:r w:rsidRPr="001A5EBC">
        <w:t xml:space="preserve">United Nations </w:t>
      </w:r>
      <w:r w:rsidR="003A7A44" w:rsidRPr="001A5EBC">
        <w:t>Environment</w:t>
      </w:r>
      <w:r w:rsidRPr="001A5EBC">
        <w:t xml:space="preserve"> Programme, 2023. State of Finance for Nature. Available at: </w:t>
      </w:r>
      <w:hyperlink r:id="rId61" w:history="1">
        <w:r w:rsidRPr="001A5EBC">
          <w:rPr>
            <w:rStyle w:val="Hyperlink"/>
          </w:rPr>
          <w:t>State of Finance for Nature 2023 | UNEP - UN Environment Programme</w:t>
        </w:r>
      </w:hyperlink>
      <w:r w:rsidR="00F73EB5" w:rsidRPr="001A5EBC">
        <w:t>.</w:t>
      </w:r>
    </w:p>
    <w:p w14:paraId="74B1137B" w14:textId="6BF262B3" w:rsidR="0005131E" w:rsidRPr="001A5EBC" w:rsidRDefault="00597CD7" w:rsidP="00597CD7">
      <w:pPr>
        <w:pStyle w:val="BodyText"/>
        <w:jc w:val="both"/>
        <w:rPr>
          <w:rStyle w:val="Hyperlink"/>
        </w:rPr>
      </w:pPr>
      <w:r w:rsidRPr="001A5EBC">
        <w:t xml:space="preserve">UNFCC, 2022. </w:t>
      </w:r>
      <w:r w:rsidR="00FB3932" w:rsidRPr="001A5EBC">
        <w:t>Net zero</w:t>
      </w:r>
      <w:r w:rsidRPr="001A5EBC">
        <w:t xml:space="preserve"> Financing Roadmap. Available at: </w:t>
      </w:r>
      <w:hyperlink r:id="rId62">
        <w:r w:rsidR="008A0BA3" w:rsidRPr="001A5EBC">
          <w:rPr>
            <w:rStyle w:val="Hyperlink"/>
          </w:rPr>
          <w:t>Financing Roadmaps (gfanzero.com)</w:t>
        </w:r>
      </w:hyperlink>
    </w:p>
    <w:p w14:paraId="5BA363D7" w14:textId="2DED7AE6" w:rsidR="125A970A" w:rsidRPr="001A5EBC" w:rsidRDefault="125A970A" w:rsidP="1F44CF35">
      <w:pPr>
        <w:pStyle w:val="BodyText"/>
        <w:jc w:val="both"/>
      </w:pPr>
      <w:r w:rsidRPr="001A5EBC">
        <w:t xml:space="preserve">UK Infrastructure Bank, Our role in Natural Markets. Available at: </w:t>
      </w:r>
      <w:hyperlink r:id="rId63" w:history="1">
        <w:r w:rsidRPr="001A5EBC">
          <w:rPr>
            <w:rStyle w:val="Hyperlink"/>
          </w:rPr>
          <w:t>Microsoft Word - Natural capital - discussion paper (ukib.org.uk)</w:t>
        </w:r>
      </w:hyperlink>
    </w:p>
    <w:p w14:paraId="328B63CF" w14:textId="57FB7984" w:rsidR="00F84948" w:rsidRPr="001A5EBC" w:rsidRDefault="0005131E" w:rsidP="00597CD7">
      <w:pPr>
        <w:pStyle w:val="BodyText"/>
        <w:jc w:val="both"/>
      </w:pPr>
      <w:r w:rsidRPr="001A5EBC">
        <w:t xml:space="preserve">World Bank, 2017. Who sponsors infrastructure project? Disentangling public and private contributions. Available at: </w:t>
      </w:r>
      <w:hyperlink r:id="rId64" w:history="1">
        <w:r w:rsidR="00052C65" w:rsidRPr="001A5EBC">
          <w:rPr>
            <w:rStyle w:val="Hyperlink"/>
          </w:rPr>
          <w:t>SPIReport_2017_small_interactive.pdf (worldbank.org)</w:t>
        </w:r>
      </w:hyperlink>
    </w:p>
    <w:sectPr w:rsidR="00F84948" w:rsidRPr="001A5EBC" w:rsidSect="00F86EF8">
      <w:headerReference w:type="default" r:id="rId65"/>
      <w:footerReference w:type="default" r:id="rId66"/>
      <w:pgSz w:w="11910" w:h="16840"/>
      <w:pgMar w:top="2155" w:right="680" w:bottom="1361" w:left="686" w:header="539" w:footer="51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EEFB04E" w14:textId="77777777" w:rsidR="00C77CB5" w:rsidRPr="001A5EBC" w:rsidRDefault="00C77CB5">
      <w:r w:rsidRPr="001A5EBC">
        <w:separator/>
      </w:r>
    </w:p>
  </w:endnote>
  <w:endnote w:type="continuationSeparator" w:id="0">
    <w:p w14:paraId="0FCFD044" w14:textId="77777777" w:rsidR="00C77CB5" w:rsidRPr="001A5EBC" w:rsidRDefault="00C77CB5">
      <w:r w:rsidRPr="001A5EBC">
        <w:continuationSeparator/>
      </w:r>
    </w:p>
  </w:endnote>
  <w:endnote w:type="continuationNotice" w:id="1">
    <w:p w14:paraId="5ED73BCE" w14:textId="77777777" w:rsidR="00C77CB5" w:rsidRPr="001A5EBC" w:rsidRDefault="00C77CB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Kaleko 105 Round">
    <w:altName w:val="Calibri"/>
    <w:panose1 w:val="020B0604020202020204"/>
    <w:charset w:val="00"/>
    <w:family w:val="swiss"/>
    <w:notTrueType/>
    <w:pitch w:val="variable"/>
    <w:sig w:usb0="800000AF" w:usb1="5000204A" w:usb2="00000000" w:usb3="00000000" w:csb0="00000083" w:csb1="00000000"/>
  </w:font>
  <w:font w:name="Kaleko105Round-Book">
    <w:altName w:val="Cambria"/>
    <w:panose1 w:val="020B0604020202020204"/>
    <w:charset w:val="00"/>
    <w:family w:val="roman"/>
    <w:pitch w:val="variable"/>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00"/>
    <w:family w:val="modern"/>
    <w:pitch w:val="fixed"/>
    <w:sig w:usb0="E10006FF" w:usb1="4000FCFF" w:usb2="00000009"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pPr w:vertAnchor="page" w:tblpY="15888"/>
      <w:tblOverlap w:val="never"/>
      <w:tblW w:w="1119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814"/>
      <w:gridCol w:w="9380"/>
    </w:tblGrid>
    <w:tr w:rsidR="000628A0" w:rsidRPr="001A5EBC" w14:paraId="1942141E" w14:textId="77777777" w:rsidTr="002F7B3A">
      <w:trPr>
        <w:cantSplit/>
        <w:trHeight w:hRule="exact" w:val="198"/>
      </w:trPr>
      <w:tc>
        <w:tcPr>
          <w:tcW w:w="1814" w:type="dxa"/>
          <w:vMerge w:val="restart"/>
          <w:vAlign w:val="center"/>
        </w:tcPr>
        <w:p w14:paraId="4E8677B4" w14:textId="77777777" w:rsidR="000628A0" w:rsidRPr="001A5EBC" w:rsidRDefault="000628A0" w:rsidP="008649D8">
          <w:pPr>
            <w:pStyle w:val="FooterWhite"/>
            <w:framePr w:wrap="auto" w:vAnchor="margin" w:yAlign="inline"/>
            <w:suppressOverlap w:val="0"/>
            <w:rPr>
              <w:noProof w:val="0"/>
            </w:rPr>
          </w:pPr>
          <w:r w:rsidRPr="001A5EBC">
            <w:rPr>
              <w:noProof w:val="0"/>
            </w:rPr>
            <w:fldChar w:fldCharType="begin"/>
          </w:r>
          <w:r w:rsidRPr="001A5EBC">
            <w:rPr>
              <w:noProof w:val="0"/>
            </w:rPr>
            <w:instrText xml:space="preserve"> PAGE   \* MERGEFORMAT </w:instrText>
          </w:r>
          <w:r w:rsidRPr="001A5EBC">
            <w:rPr>
              <w:noProof w:val="0"/>
            </w:rPr>
            <w:fldChar w:fldCharType="separate"/>
          </w:r>
          <w:r w:rsidRPr="001A5EBC">
            <w:rPr>
              <w:noProof w:val="0"/>
            </w:rPr>
            <w:t>1</w:t>
          </w:r>
          <w:r w:rsidRPr="001A5EBC">
            <w:rPr>
              <w:noProof w:val="0"/>
            </w:rPr>
            <w:fldChar w:fldCharType="end"/>
          </w:r>
        </w:p>
      </w:tc>
      <w:tc>
        <w:tcPr>
          <w:tcW w:w="9380" w:type="dxa"/>
          <w:tcBorders>
            <w:bottom w:val="single" w:sz="2" w:space="0" w:color="FFFFFF" w:themeColor="background1"/>
          </w:tcBorders>
        </w:tcPr>
        <w:p w14:paraId="17AB149A" w14:textId="77777777" w:rsidR="000628A0" w:rsidRPr="001A5EBC" w:rsidRDefault="000628A0" w:rsidP="008649D8">
          <w:pPr>
            <w:pStyle w:val="Footer"/>
          </w:pPr>
        </w:p>
      </w:tc>
    </w:tr>
    <w:tr w:rsidR="000628A0" w:rsidRPr="001A5EBC" w14:paraId="65FC2C3A" w14:textId="77777777" w:rsidTr="002F7B3A">
      <w:trPr>
        <w:cantSplit/>
        <w:trHeight w:hRule="exact" w:val="170"/>
      </w:trPr>
      <w:tc>
        <w:tcPr>
          <w:tcW w:w="1814" w:type="dxa"/>
          <w:vMerge/>
        </w:tcPr>
        <w:p w14:paraId="170A70E8" w14:textId="77777777" w:rsidR="000628A0" w:rsidRPr="001A5EBC" w:rsidRDefault="000628A0" w:rsidP="008649D8">
          <w:pPr>
            <w:pStyle w:val="Footer"/>
          </w:pPr>
        </w:p>
      </w:tc>
      <w:tc>
        <w:tcPr>
          <w:tcW w:w="9380" w:type="dxa"/>
          <w:tcBorders>
            <w:top w:val="single" w:sz="2" w:space="0" w:color="FFFFFF" w:themeColor="background1"/>
          </w:tcBorders>
        </w:tcPr>
        <w:p w14:paraId="069A3BFE" w14:textId="77777777" w:rsidR="000628A0" w:rsidRPr="001A5EBC" w:rsidRDefault="000628A0" w:rsidP="008649D8">
          <w:pPr>
            <w:pStyle w:val="Footer"/>
          </w:pPr>
        </w:p>
      </w:tc>
    </w:tr>
  </w:tbl>
  <w:p w14:paraId="1639ACAD" w14:textId="77777777" w:rsidR="000628A0" w:rsidRPr="001A5EBC" w:rsidRDefault="000628A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pPr w:vertAnchor="page" w:tblpY="15888"/>
      <w:tblOverlap w:val="never"/>
      <w:tblW w:w="1119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814"/>
      <w:gridCol w:w="9380"/>
    </w:tblGrid>
    <w:tr w:rsidR="00D61FD3" w:rsidRPr="001A5EBC" w14:paraId="1D4045E1" w14:textId="77777777" w:rsidTr="00603EE2">
      <w:trPr>
        <w:cantSplit/>
        <w:trHeight w:hRule="exact" w:val="198"/>
      </w:trPr>
      <w:tc>
        <w:tcPr>
          <w:tcW w:w="1814" w:type="dxa"/>
          <w:vMerge w:val="restart"/>
          <w:vAlign w:val="center"/>
        </w:tcPr>
        <w:p w14:paraId="6BBCE65E" w14:textId="77777777" w:rsidR="00D61FD3" w:rsidRPr="001A5EBC" w:rsidRDefault="00D61FD3" w:rsidP="008649D8">
          <w:pPr>
            <w:pStyle w:val="Footer"/>
          </w:pPr>
          <w:r w:rsidRPr="001A5EBC">
            <w:fldChar w:fldCharType="begin"/>
          </w:r>
          <w:r w:rsidRPr="001A5EBC">
            <w:instrText xml:space="preserve"> PAGE   \* MERGEFORMAT </w:instrText>
          </w:r>
          <w:r w:rsidRPr="001A5EBC">
            <w:fldChar w:fldCharType="separate"/>
          </w:r>
          <w:r w:rsidRPr="001A5EBC">
            <w:t>1</w:t>
          </w:r>
          <w:r w:rsidRPr="001A5EBC">
            <w:fldChar w:fldCharType="end"/>
          </w:r>
        </w:p>
      </w:tc>
      <w:tc>
        <w:tcPr>
          <w:tcW w:w="9380" w:type="dxa"/>
          <w:tcBorders>
            <w:bottom w:val="single" w:sz="2" w:space="0" w:color="auto"/>
          </w:tcBorders>
        </w:tcPr>
        <w:p w14:paraId="48DE8FD2" w14:textId="77777777" w:rsidR="00D61FD3" w:rsidRPr="001A5EBC" w:rsidRDefault="00D61FD3" w:rsidP="008649D8">
          <w:pPr>
            <w:pStyle w:val="Footer"/>
          </w:pPr>
        </w:p>
      </w:tc>
    </w:tr>
    <w:tr w:rsidR="00D61FD3" w:rsidRPr="001A5EBC" w14:paraId="459E7F46" w14:textId="77777777" w:rsidTr="00603EE2">
      <w:trPr>
        <w:cantSplit/>
        <w:trHeight w:hRule="exact" w:val="170"/>
      </w:trPr>
      <w:tc>
        <w:tcPr>
          <w:tcW w:w="1814" w:type="dxa"/>
          <w:vMerge/>
        </w:tcPr>
        <w:p w14:paraId="45C5935E" w14:textId="77777777" w:rsidR="00D61FD3" w:rsidRPr="001A5EBC" w:rsidRDefault="00D61FD3" w:rsidP="008649D8">
          <w:pPr>
            <w:pStyle w:val="Footer"/>
          </w:pPr>
        </w:p>
      </w:tc>
      <w:tc>
        <w:tcPr>
          <w:tcW w:w="9380" w:type="dxa"/>
          <w:tcBorders>
            <w:top w:val="single" w:sz="2" w:space="0" w:color="auto"/>
          </w:tcBorders>
        </w:tcPr>
        <w:p w14:paraId="47B353B1" w14:textId="77777777" w:rsidR="00D61FD3" w:rsidRPr="001A5EBC" w:rsidRDefault="00D61FD3" w:rsidP="008649D8">
          <w:pPr>
            <w:pStyle w:val="Footer"/>
          </w:pPr>
        </w:p>
      </w:tc>
    </w:tr>
  </w:tbl>
  <w:p w14:paraId="6C856F54" w14:textId="77777777" w:rsidR="00D61FD3" w:rsidRPr="001A5EBC" w:rsidRDefault="00D61FD3" w:rsidP="008649D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pPr w:vertAnchor="page" w:tblpY="15888"/>
      <w:tblOverlap w:val="never"/>
      <w:tblW w:w="1119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814"/>
      <w:gridCol w:w="9380"/>
    </w:tblGrid>
    <w:tr w:rsidR="007570C3" w:rsidRPr="001A5EBC" w14:paraId="62A97354" w14:textId="77777777" w:rsidTr="00AF1E20">
      <w:trPr>
        <w:cantSplit/>
        <w:trHeight w:hRule="exact" w:val="198"/>
      </w:trPr>
      <w:tc>
        <w:tcPr>
          <w:tcW w:w="1814" w:type="dxa"/>
          <w:vMerge w:val="restart"/>
          <w:vAlign w:val="center"/>
        </w:tcPr>
        <w:p w14:paraId="782311CE" w14:textId="77777777" w:rsidR="007570C3" w:rsidRPr="001A5EBC" w:rsidRDefault="007570C3" w:rsidP="007570C3">
          <w:pPr>
            <w:pStyle w:val="Footer"/>
          </w:pPr>
          <w:r w:rsidRPr="001A5EBC">
            <w:fldChar w:fldCharType="begin"/>
          </w:r>
          <w:r w:rsidRPr="001A5EBC">
            <w:instrText xml:space="preserve"> PAGE   \* MERGEFORMAT </w:instrText>
          </w:r>
          <w:r w:rsidRPr="001A5EBC">
            <w:fldChar w:fldCharType="separate"/>
          </w:r>
          <w:r w:rsidRPr="001A5EBC">
            <w:t>1</w:t>
          </w:r>
          <w:r w:rsidRPr="001A5EBC">
            <w:fldChar w:fldCharType="end"/>
          </w:r>
        </w:p>
      </w:tc>
      <w:tc>
        <w:tcPr>
          <w:tcW w:w="9380" w:type="dxa"/>
          <w:tcBorders>
            <w:bottom w:val="single" w:sz="2" w:space="0" w:color="auto"/>
          </w:tcBorders>
        </w:tcPr>
        <w:p w14:paraId="746F0897" w14:textId="77777777" w:rsidR="007570C3" w:rsidRPr="001A5EBC" w:rsidRDefault="007570C3" w:rsidP="007570C3">
          <w:pPr>
            <w:pStyle w:val="Footer"/>
          </w:pPr>
        </w:p>
      </w:tc>
    </w:tr>
    <w:tr w:rsidR="007570C3" w:rsidRPr="001A5EBC" w14:paraId="13C12FFC" w14:textId="77777777" w:rsidTr="00AF1E20">
      <w:trPr>
        <w:cantSplit/>
        <w:trHeight w:hRule="exact" w:val="170"/>
      </w:trPr>
      <w:tc>
        <w:tcPr>
          <w:tcW w:w="1814" w:type="dxa"/>
          <w:vMerge/>
        </w:tcPr>
        <w:p w14:paraId="19BA3BB4" w14:textId="77777777" w:rsidR="007570C3" w:rsidRPr="001A5EBC" w:rsidRDefault="007570C3" w:rsidP="007570C3">
          <w:pPr>
            <w:pStyle w:val="Footer"/>
          </w:pPr>
        </w:p>
      </w:tc>
      <w:tc>
        <w:tcPr>
          <w:tcW w:w="9380" w:type="dxa"/>
          <w:tcBorders>
            <w:top w:val="single" w:sz="2" w:space="0" w:color="auto"/>
          </w:tcBorders>
        </w:tcPr>
        <w:p w14:paraId="1891283B" w14:textId="77777777" w:rsidR="007570C3" w:rsidRPr="001A5EBC" w:rsidRDefault="007570C3" w:rsidP="007570C3">
          <w:pPr>
            <w:pStyle w:val="Footer"/>
          </w:pPr>
        </w:p>
      </w:tc>
    </w:tr>
  </w:tbl>
  <w:p w14:paraId="755A9423" w14:textId="77777777" w:rsidR="00F84948" w:rsidRPr="001A5EBC" w:rsidRDefault="00F84948" w:rsidP="00E42F5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DCD4BEF" w14:textId="77777777" w:rsidR="00C77CB5" w:rsidRPr="001A5EBC" w:rsidRDefault="00C77CB5">
      <w:r w:rsidRPr="001A5EBC">
        <w:separator/>
      </w:r>
    </w:p>
  </w:footnote>
  <w:footnote w:type="continuationSeparator" w:id="0">
    <w:p w14:paraId="7395CE5C" w14:textId="77777777" w:rsidR="00C77CB5" w:rsidRPr="001A5EBC" w:rsidRDefault="00C77CB5">
      <w:r w:rsidRPr="001A5EBC">
        <w:continuationSeparator/>
      </w:r>
    </w:p>
  </w:footnote>
  <w:footnote w:type="continuationNotice" w:id="1">
    <w:p w14:paraId="78569B49" w14:textId="77777777" w:rsidR="00C77CB5" w:rsidRPr="001A5EBC" w:rsidRDefault="00C77CB5">
      <w:pPr>
        <w:spacing w:after="0" w:line="240" w:lineRule="auto"/>
      </w:pPr>
    </w:p>
  </w:footnote>
  <w:footnote w:id="2">
    <w:p w14:paraId="536F2CD7" w14:textId="77777777" w:rsidR="000163D1" w:rsidRPr="001A5EBC" w:rsidRDefault="000163D1" w:rsidP="000163D1">
      <w:pPr>
        <w:pStyle w:val="FootnoteText"/>
      </w:pPr>
      <w:r w:rsidRPr="001A5EBC">
        <w:rPr>
          <w:rStyle w:val="FootnoteReference"/>
        </w:rPr>
        <w:footnoteRef/>
      </w:r>
      <w:r w:rsidRPr="001A5EBC">
        <w:t xml:space="preserve"> </w:t>
      </w:r>
      <w:r w:rsidRPr="001A5EBC">
        <w:rPr>
          <w:rFonts w:cstheme="minorHAnsi"/>
          <w:sz w:val="16"/>
          <w:szCs w:val="16"/>
        </w:rPr>
        <w:t>Assuming that the UK no longer has State-owned Enterprises, and Multilateral Climate Funds (MCFs)</w:t>
      </w:r>
    </w:p>
  </w:footnote>
  <w:footnote w:id="3">
    <w:p w14:paraId="362D90D1" w14:textId="77777777" w:rsidR="000163D1" w:rsidRPr="001A5EBC" w:rsidRDefault="000163D1" w:rsidP="000163D1">
      <w:pPr>
        <w:pStyle w:val="FootnoteText"/>
        <w:spacing w:after="0"/>
      </w:pPr>
      <w:r w:rsidRPr="001A5EBC">
        <w:rPr>
          <w:rStyle w:val="FootnoteReference"/>
        </w:rPr>
        <w:footnoteRef/>
      </w:r>
      <w:r w:rsidRPr="001A5EBC">
        <w:t xml:space="preserve"> </w:t>
      </w:r>
      <w:r w:rsidRPr="001A5EBC">
        <w:rPr>
          <w:sz w:val="16"/>
          <w:szCs w:val="16"/>
        </w:rPr>
        <w:t>The Balance Pathway is a scenario for achieving Net Zero emissions in the UK by 2050.</w:t>
      </w:r>
    </w:p>
  </w:footnote>
  <w:footnote w:id="4">
    <w:p w14:paraId="0D197ACB" w14:textId="77777777" w:rsidR="000163D1" w:rsidRDefault="000163D1" w:rsidP="000163D1">
      <w:pPr>
        <w:pStyle w:val="FootnoteText"/>
        <w:spacing w:after="0" w:line="240" w:lineRule="auto"/>
        <w:jc w:val="both"/>
      </w:pPr>
      <w:r w:rsidRPr="001A5EBC">
        <w:rPr>
          <w:rStyle w:val="FootnoteReference"/>
        </w:rPr>
        <w:footnoteRef/>
      </w:r>
      <w:r w:rsidRPr="001A5EBC">
        <w:t xml:space="preserve"> </w:t>
      </w:r>
      <w:r w:rsidRPr="001A5EBC">
        <w:rPr>
          <w:sz w:val="16"/>
          <w:szCs w:val="16"/>
        </w:rPr>
        <w:t>Nature-based Solutions are actions to protect, conserve, restore, sustainably use and manage natural or modified terrestrial, freshwater, coastal and marine ecosystems, which address social, economic and environmental challenges effectively and adaptively, while simultaneously providing human well-being, ecosystem services and resilience and biodiversity benefits (United Nations Environment Assembly [UNEA])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105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5954"/>
      <w:gridCol w:w="4591"/>
    </w:tblGrid>
    <w:tr w:rsidR="000628A0" w:rsidRPr="001A5EBC" w14:paraId="79037408" w14:textId="77777777" w:rsidTr="00A42520">
      <w:trPr>
        <w:cantSplit/>
        <w:trHeight w:hRule="exact" w:val="170"/>
      </w:trPr>
      <w:sdt>
        <w:sdtPr>
          <w:alias w:val="Title"/>
          <w:tag w:val=""/>
          <w:id w:val="-1328130112"/>
          <w:dataBinding w:prefixMappings="xmlns:ns0='http://purl.org/dc/elements/1.1/' xmlns:ns1='http://schemas.openxmlformats.org/package/2006/metadata/core-properties' " w:xpath="/ns1:coreProperties[1]/ns0:title[1]" w:storeItemID="{6C3C8BC8-F283-45AE-878A-BAB7291924A1}"/>
          <w:text/>
        </w:sdtPr>
        <w:sdtEndPr/>
        <w:sdtContent>
          <w:tc>
            <w:tcPr>
              <w:tcW w:w="5954" w:type="dxa"/>
              <w:vMerge w:val="restart"/>
              <w:vAlign w:val="bottom"/>
            </w:tcPr>
            <w:p w14:paraId="0E0B05BE" w14:textId="76519B25" w:rsidR="000628A0" w:rsidRPr="001A5EBC" w:rsidRDefault="002F776E" w:rsidP="008649D8">
              <w:pPr>
                <w:pStyle w:val="HeaderWhite"/>
              </w:pPr>
              <w:r>
                <w:t>Public-Private Investment Splits in North of England: The Net Zero Scenario</w:t>
              </w:r>
            </w:p>
          </w:tc>
        </w:sdtContent>
      </w:sdt>
      <w:tc>
        <w:tcPr>
          <w:tcW w:w="4591" w:type="dxa"/>
        </w:tcPr>
        <w:p w14:paraId="57E7F734" w14:textId="77777777" w:rsidR="000628A0" w:rsidRPr="001A5EBC" w:rsidRDefault="000628A0" w:rsidP="008649D8">
          <w:pPr>
            <w:pStyle w:val="Header"/>
          </w:pPr>
        </w:p>
      </w:tc>
    </w:tr>
    <w:tr w:rsidR="000628A0" w:rsidRPr="001A5EBC" w14:paraId="7EF4F912" w14:textId="77777777" w:rsidTr="00A42520">
      <w:trPr>
        <w:cantSplit/>
        <w:trHeight w:hRule="exact" w:val="227"/>
      </w:trPr>
      <w:tc>
        <w:tcPr>
          <w:tcW w:w="5954" w:type="dxa"/>
          <w:vMerge/>
        </w:tcPr>
        <w:p w14:paraId="14875790" w14:textId="77777777" w:rsidR="000628A0" w:rsidRPr="001A5EBC" w:rsidRDefault="000628A0" w:rsidP="008649D8">
          <w:pPr>
            <w:pStyle w:val="Header"/>
          </w:pPr>
        </w:p>
      </w:tc>
      <w:tc>
        <w:tcPr>
          <w:tcW w:w="4591" w:type="dxa"/>
          <w:vAlign w:val="bottom"/>
        </w:tcPr>
        <w:p w14:paraId="2736DE25" w14:textId="77777777" w:rsidR="000628A0" w:rsidRPr="001A5EBC" w:rsidRDefault="000628A0" w:rsidP="008649D8">
          <w:pPr>
            <w:pStyle w:val="HeaderWhite"/>
            <w:jc w:val="right"/>
          </w:pPr>
          <w:r w:rsidRPr="001A5EBC">
            <w:t>CAMBRIDGE ECONOMETRICS</w:t>
          </w:r>
        </w:p>
      </w:tc>
    </w:tr>
  </w:tbl>
  <w:p w14:paraId="17041A42" w14:textId="20CFFAD3" w:rsidR="000628A0" w:rsidRPr="001A5EBC" w:rsidRDefault="000628A0" w:rsidP="008649D8">
    <w:pPr>
      <w:pStyle w:val="BodyText"/>
    </w:pPr>
    <w:r w:rsidRPr="001A5EBC">
      <w:rPr>
        <w:noProof/>
      </w:rPr>
      <mc:AlternateContent>
        <mc:Choice Requires="wps">
          <w:drawing>
            <wp:anchor distT="0" distB="0" distL="114300" distR="114300" simplePos="0" relativeHeight="251658242" behindDoc="0" locked="0" layoutInCell="1" allowOverlap="1" wp14:anchorId="06D7BD23" wp14:editId="33281B29">
              <wp:simplePos x="0" y="0"/>
              <wp:positionH relativeFrom="page">
                <wp:posOffset>0</wp:posOffset>
              </wp:positionH>
              <wp:positionV relativeFrom="page">
                <wp:posOffset>950595</wp:posOffset>
              </wp:positionV>
              <wp:extent cx="7560000" cy="0"/>
              <wp:effectExtent l="0" t="0" r="0" b="0"/>
              <wp:wrapNone/>
              <wp:docPr id="165819013" name="Straight Connector 3"/>
              <wp:cNvGraphicFramePr/>
              <a:graphic xmlns:a="http://schemas.openxmlformats.org/drawingml/2006/main">
                <a:graphicData uri="http://schemas.microsoft.com/office/word/2010/wordprocessingShape">
                  <wps:wsp>
                    <wps:cNvCnPr/>
                    <wps:spPr>
                      <a:xfrm>
                        <a:off x="0" y="0"/>
                        <a:ext cx="7560000" cy="0"/>
                      </a:xfrm>
                      <a:prstGeom prst="line">
                        <a:avLst/>
                      </a:prstGeom>
                      <a:ln>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5E9C09F" id="Straight Connector 3" o:spid="_x0000_s1026" style="position:absolute;z-index:251658242;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0,74.85pt" to="595.3pt,74.8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" strokecolor="white [3212]">
              <w10:wrap anchorx="page" anchory="page"/>
            </v:line>
          </w:pict>
        </mc:Fallback>
      </mc:AlternateContent>
    </w:r>
  </w:p>
  <w:p w14:paraId="13700D0D" w14:textId="77777777" w:rsidR="000628A0" w:rsidRPr="001A5EBC" w:rsidRDefault="000628A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105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395"/>
      <w:gridCol w:w="6150"/>
    </w:tblGrid>
    <w:tr w:rsidR="00D61FD3" w:rsidRPr="001A5EBC" w14:paraId="20DB33E6" w14:textId="77777777" w:rsidTr="002F7B3A">
      <w:trPr>
        <w:cantSplit/>
        <w:trHeight w:hRule="exact" w:val="170"/>
      </w:trPr>
      <w:tc>
        <w:tcPr>
          <w:tcW w:w="4395" w:type="dxa"/>
          <w:vMerge w:val="restart"/>
          <w:vAlign w:val="bottom"/>
        </w:tcPr>
        <w:p w14:paraId="1110F7B6" w14:textId="36391F06" w:rsidR="00D61FD3" w:rsidRPr="001A5EBC" w:rsidRDefault="00D61FD3" w:rsidP="008649D8">
          <w:pPr>
            <w:pStyle w:val="Header"/>
          </w:pPr>
        </w:p>
      </w:tc>
      <w:tc>
        <w:tcPr>
          <w:tcW w:w="6150" w:type="dxa"/>
        </w:tcPr>
        <w:p w14:paraId="52FBCC58" w14:textId="77777777" w:rsidR="00D61FD3" w:rsidRPr="001A5EBC" w:rsidRDefault="00D61FD3" w:rsidP="008649D8">
          <w:pPr>
            <w:pStyle w:val="Header"/>
          </w:pPr>
        </w:p>
      </w:tc>
    </w:tr>
    <w:tr w:rsidR="00D61FD3" w:rsidRPr="001A5EBC" w14:paraId="79A696C3" w14:textId="77777777" w:rsidTr="002F7B3A">
      <w:trPr>
        <w:cantSplit/>
        <w:trHeight w:hRule="exact" w:val="227"/>
      </w:trPr>
      <w:tc>
        <w:tcPr>
          <w:tcW w:w="4395" w:type="dxa"/>
          <w:vMerge/>
        </w:tcPr>
        <w:p w14:paraId="1462AF90" w14:textId="77777777" w:rsidR="00D61FD3" w:rsidRPr="001A5EBC" w:rsidRDefault="00D61FD3" w:rsidP="008649D8">
          <w:pPr>
            <w:pStyle w:val="Header"/>
          </w:pPr>
        </w:p>
      </w:tc>
      <w:tc>
        <w:tcPr>
          <w:tcW w:w="6150" w:type="dxa"/>
          <w:vAlign w:val="bottom"/>
        </w:tcPr>
        <w:p w14:paraId="28F5D2D9" w14:textId="486809E9" w:rsidR="00D61FD3" w:rsidRPr="001A5EBC" w:rsidRDefault="00D61FD3" w:rsidP="008649D8">
          <w:pPr>
            <w:pStyle w:val="Header"/>
            <w:jc w:val="right"/>
          </w:pPr>
        </w:p>
      </w:tc>
    </w:tr>
  </w:tbl>
  <w:p w14:paraId="06F29F12" w14:textId="77777777" w:rsidR="00D61FD3" w:rsidRPr="001A5EBC" w:rsidRDefault="00D61FD3" w:rsidP="00106894">
    <w:pPr>
      <w:pStyle w:val="BodyText"/>
    </w:pPr>
    <w:r w:rsidRPr="001A5EBC">
      <w:rPr>
        <w:noProof/>
      </w:rPr>
      <mc:AlternateContent>
        <mc:Choice Requires="wps">
          <w:drawing>
            <wp:anchor distT="0" distB="0" distL="0" distR="0" simplePos="0" relativeHeight="251658241" behindDoc="1" locked="0" layoutInCell="1" allowOverlap="1" wp14:anchorId="419FCD6C" wp14:editId="2A989110">
              <wp:simplePos x="0" y="0"/>
              <wp:positionH relativeFrom="page">
                <wp:posOffset>0</wp:posOffset>
              </wp:positionH>
              <wp:positionV relativeFrom="page">
                <wp:posOffset>953478</wp:posOffset>
              </wp:positionV>
              <wp:extent cx="7560309" cy="1270"/>
              <wp:effectExtent l="0" t="0" r="0" b="0"/>
              <wp:wrapNone/>
              <wp:docPr id="1753167975" name="Graphic 3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560309" cy="1270"/>
                      </a:xfrm>
                      <a:custGeom>
                        <a:avLst/>
                        <a:gdLst/>
                        <a:ahLst/>
                        <a:cxnLst/>
                        <a:rect l="l" t="t" r="r" b="b"/>
                        <a:pathLst>
                          <a:path w="7560309">
                            <a:moveTo>
                              <a:pt x="0" y="0"/>
                            </a:moveTo>
                            <a:lnTo>
                              <a:pt x="7560005" y="0"/>
                            </a:lnTo>
                          </a:path>
                        </a:pathLst>
                      </a:custGeom>
                      <a:ln w="317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31EF832" id="Graphic 33" o:spid="_x0000_s1026" style="position:absolute;margin-left:0;margin-top:75.1pt;width:595.3pt;height:.1pt;z-index:-251658239;visibility:visible;mso-wrap-style:square;mso-wrap-distance-left:0;mso-wrap-distance-top:0;mso-wrap-distance-right:0;mso-wrap-distance-bottom:0;mso-position-horizontal:absolute;mso-position-horizontal-relative:page;mso-position-vertical:absolute;mso-position-vertical-relative:page;v-text-anchor:top" coordsize="7560309,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" path="m,l7560005,e" filled="f" strokeweight=".25pt">
              <v:path arrowok="t"/>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105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5954"/>
      <w:gridCol w:w="4591"/>
    </w:tblGrid>
    <w:tr w:rsidR="00686EE2" w:rsidRPr="001A5EBC" w14:paraId="11B3AD97" w14:textId="77777777" w:rsidTr="000900F5">
      <w:trPr>
        <w:cantSplit/>
        <w:trHeight w:hRule="exact" w:val="170"/>
      </w:trPr>
      <w:sdt>
        <w:sdtPr>
          <w:alias w:val="Title"/>
          <w:tag w:val=""/>
          <w:id w:val="921756862"/>
          <w:dataBinding w:prefixMappings="xmlns:ns0='http://purl.org/dc/elements/1.1/' xmlns:ns1='http://schemas.openxmlformats.org/package/2006/metadata/core-properties' " w:xpath="/ns1:coreProperties[1]/ns0:title[1]" w:storeItemID="{6C3C8BC8-F283-45AE-878A-BAB7291924A1}"/>
          <w:text/>
        </w:sdtPr>
        <w:sdtEndPr/>
        <w:sdtContent>
          <w:tc>
            <w:tcPr>
              <w:tcW w:w="5954" w:type="dxa"/>
              <w:vMerge w:val="restart"/>
              <w:vAlign w:val="bottom"/>
            </w:tcPr>
            <w:p w14:paraId="365FFBF1" w14:textId="7ED178D5" w:rsidR="00686EE2" w:rsidRPr="001A5EBC" w:rsidRDefault="002F776E" w:rsidP="00686EE2">
              <w:pPr>
                <w:pStyle w:val="Header"/>
              </w:pPr>
              <w:r>
                <w:t>Public-Private Investment Splits in North of England: The Net Zero Scenario</w:t>
              </w:r>
            </w:p>
          </w:tc>
        </w:sdtContent>
      </w:sdt>
      <w:tc>
        <w:tcPr>
          <w:tcW w:w="4591" w:type="dxa"/>
        </w:tcPr>
        <w:p w14:paraId="1B511C34" w14:textId="77777777" w:rsidR="00686EE2" w:rsidRPr="001A5EBC" w:rsidRDefault="00686EE2" w:rsidP="007570C3">
          <w:pPr>
            <w:pStyle w:val="Header"/>
          </w:pPr>
        </w:p>
      </w:tc>
    </w:tr>
    <w:tr w:rsidR="00686EE2" w:rsidRPr="001A5EBC" w14:paraId="6D147827" w14:textId="77777777" w:rsidTr="000900F5">
      <w:trPr>
        <w:cantSplit/>
        <w:trHeight w:hRule="exact" w:val="227"/>
      </w:trPr>
      <w:tc>
        <w:tcPr>
          <w:tcW w:w="5954" w:type="dxa"/>
          <w:vMerge/>
        </w:tcPr>
        <w:p w14:paraId="35174443" w14:textId="77777777" w:rsidR="00686EE2" w:rsidRPr="001A5EBC" w:rsidRDefault="00686EE2" w:rsidP="007570C3">
          <w:pPr>
            <w:pStyle w:val="Header"/>
          </w:pPr>
        </w:p>
      </w:tc>
      <w:tc>
        <w:tcPr>
          <w:tcW w:w="4591" w:type="dxa"/>
          <w:vAlign w:val="bottom"/>
        </w:tcPr>
        <w:p w14:paraId="58A27FFA" w14:textId="77777777" w:rsidR="00686EE2" w:rsidRPr="001A5EBC" w:rsidRDefault="00686EE2" w:rsidP="00686EE2">
          <w:pPr>
            <w:pStyle w:val="Header"/>
            <w:jc w:val="right"/>
          </w:pPr>
          <w:r w:rsidRPr="001A5EBC">
            <w:t>CAMBRIDGE ECONOMETRICS</w:t>
          </w:r>
        </w:p>
      </w:tc>
    </w:tr>
  </w:tbl>
  <w:p w14:paraId="4552644F" w14:textId="77777777" w:rsidR="00F84948" w:rsidRPr="001A5EBC" w:rsidRDefault="00C557CF" w:rsidP="007570C3">
    <w:pPr>
      <w:pStyle w:val="Header"/>
    </w:pPr>
    <w:r w:rsidRPr="001A5EBC">
      <w:rPr>
        <w:noProof/>
      </w:rPr>
      <mc:AlternateContent>
        <mc:Choice Requires="wps">
          <w:drawing>
            <wp:anchor distT="0" distB="0" distL="114300" distR="114300" simplePos="0" relativeHeight="251658240" behindDoc="0" locked="0" layoutInCell="1" allowOverlap="1" wp14:anchorId="390E810E" wp14:editId="7C79C74E">
              <wp:simplePos x="0" y="0"/>
              <wp:positionH relativeFrom="page">
                <wp:posOffset>0</wp:posOffset>
              </wp:positionH>
              <wp:positionV relativeFrom="page">
                <wp:posOffset>951865</wp:posOffset>
              </wp:positionV>
              <wp:extent cx="7560000" cy="0"/>
              <wp:effectExtent l="0" t="0" r="0" b="0"/>
              <wp:wrapNone/>
              <wp:docPr id="318913196" name="Straight Connector 3"/>
              <wp:cNvGraphicFramePr/>
              <a:graphic xmlns:a="http://schemas.openxmlformats.org/drawingml/2006/main">
                <a:graphicData uri="http://schemas.microsoft.com/office/word/2010/wordprocessingShape">
                  <wps:wsp>
                    <wps:cNvCnPr/>
                    <wps:spPr>
                      <a:xfrm>
                        <a:off x="0" y="0"/>
                        <a:ext cx="75600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0C2CEF05" id="Straight Connector 3" o:spid="_x0000_s1026" style="position:absolute;z-index:251658240;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0,74.95pt" to="595.3pt,7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" strokecolor="#0b1f2c [3213]">
              <w10:wrap anchorx="page" anchory="page"/>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06E4AAA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C772F168"/>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74EE2C8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2FC881D2"/>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29E2377C"/>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CFC949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7EBA0C3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2C845A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25E3B50"/>
    <w:lvl w:ilvl="0">
      <w:start w:val="1"/>
      <w:numFmt w:val="decimal"/>
      <w:lvlText w:val="%1."/>
      <w:lvlJc w:val="left"/>
      <w:pPr>
        <w:ind w:left="1040" w:hanging="360"/>
      </w:pPr>
      <w:rPr>
        <w:rFonts w:hint="default"/>
        <w:b/>
        <w:i w:val="0"/>
        <w:color w:val="009FE3"/>
      </w:rPr>
    </w:lvl>
  </w:abstractNum>
  <w:abstractNum w:abstractNumId="9" w15:restartNumberingAfterBreak="0">
    <w:nsid w:val="FFFFFF89"/>
    <w:multiLevelType w:val="singleLevel"/>
    <w:tmpl w:val="D0D06E7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C76DDE"/>
    <w:multiLevelType w:val="hybridMultilevel"/>
    <w:tmpl w:val="4F1C5C34"/>
    <w:lvl w:ilvl="0" w:tplc="E662C4A4">
      <w:start w:val="1"/>
      <w:numFmt w:val="bullet"/>
      <w:pStyle w:val="ListBullet2"/>
      <w:lvlText w:val=""/>
      <w:lvlJc w:val="left"/>
      <w:pPr>
        <w:ind w:left="1683" w:hanging="360"/>
      </w:pPr>
      <w:rPr>
        <w:rFonts w:ascii="Symbol" w:hAnsi="Symbol" w:hint="default"/>
      </w:rPr>
    </w:lvl>
    <w:lvl w:ilvl="1" w:tplc="08090003" w:tentative="1">
      <w:start w:val="1"/>
      <w:numFmt w:val="bullet"/>
      <w:lvlText w:val="o"/>
      <w:lvlJc w:val="left"/>
      <w:pPr>
        <w:ind w:left="2403" w:hanging="360"/>
      </w:pPr>
      <w:rPr>
        <w:rFonts w:ascii="Courier New" w:hAnsi="Courier New" w:cs="Courier New" w:hint="default"/>
      </w:rPr>
    </w:lvl>
    <w:lvl w:ilvl="2" w:tplc="08090005" w:tentative="1">
      <w:start w:val="1"/>
      <w:numFmt w:val="bullet"/>
      <w:lvlText w:val=""/>
      <w:lvlJc w:val="left"/>
      <w:pPr>
        <w:ind w:left="3123" w:hanging="360"/>
      </w:pPr>
      <w:rPr>
        <w:rFonts w:ascii="Wingdings" w:hAnsi="Wingdings" w:hint="default"/>
      </w:rPr>
    </w:lvl>
    <w:lvl w:ilvl="3" w:tplc="08090001" w:tentative="1">
      <w:start w:val="1"/>
      <w:numFmt w:val="bullet"/>
      <w:lvlText w:val=""/>
      <w:lvlJc w:val="left"/>
      <w:pPr>
        <w:ind w:left="3843" w:hanging="360"/>
      </w:pPr>
      <w:rPr>
        <w:rFonts w:ascii="Symbol" w:hAnsi="Symbol" w:hint="default"/>
      </w:rPr>
    </w:lvl>
    <w:lvl w:ilvl="4" w:tplc="08090003" w:tentative="1">
      <w:start w:val="1"/>
      <w:numFmt w:val="bullet"/>
      <w:lvlText w:val="o"/>
      <w:lvlJc w:val="left"/>
      <w:pPr>
        <w:ind w:left="4563" w:hanging="360"/>
      </w:pPr>
      <w:rPr>
        <w:rFonts w:ascii="Courier New" w:hAnsi="Courier New" w:cs="Courier New" w:hint="default"/>
      </w:rPr>
    </w:lvl>
    <w:lvl w:ilvl="5" w:tplc="08090005" w:tentative="1">
      <w:start w:val="1"/>
      <w:numFmt w:val="bullet"/>
      <w:lvlText w:val=""/>
      <w:lvlJc w:val="left"/>
      <w:pPr>
        <w:ind w:left="5283" w:hanging="360"/>
      </w:pPr>
      <w:rPr>
        <w:rFonts w:ascii="Wingdings" w:hAnsi="Wingdings" w:hint="default"/>
      </w:rPr>
    </w:lvl>
    <w:lvl w:ilvl="6" w:tplc="08090001" w:tentative="1">
      <w:start w:val="1"/>
      <w:numFmt w:val="bullet"/>
      <w:lvlText w:val=""/>
      <w:lvlJc w:val="left"/>
      <w:pPr>
        <w:ind w:left="6003" w:hanging="360"/>
      </w:pPr>
      <w:rPr>
        <w:rFonts w:ascii="Symbol" w:hAnsi="Symbol" w:hint="default"/>
      </w:rPr>
    </w:lvl>
    <w:lvl w:ilvl="7" w:tplc="08090003" w:tentative="1">
      <w:start w:val="1"/>
      <w:numFmt w:val="bullet"/>
      <w:lvlText w:val="o"/>
      <w:lvlJc w:val="left"/>
      <w:pPr>
        <w:ind w:left="6723" w:hanging="360"/>
      </w:pPr>
      <w:rPr>
        <w:rFonts w:ascii="Courier New" w:hAnsi="Courier New" w:cs="Courier New" w:hint="default"/>
      </w:rPr>
    </w:lvl>
    <w:lvl w:ilvl="8" w:tplc="08090005" w:tentative="1">
      <w:start w:val="1"/>
      <w:numFmt w:val="bullet"/>
      <w:lvlText w:val=""/>
      <w:lvlJc w:val="left"/>
      <w:pPr>
        <w:ind w:left="7443" w:hanging="360"/>
      </w:pPr>
      <w:rPr>
        <w:rFonts w:ascii="Wingdings" w:hAnsi="Wingdings" w:hint="default"/>
      </w:rPr>
    </w:lvl>
  </w:abstractNum>
  <w:abstractNum w:abstractNumId="11" w15:restartNumberingAfterBreak="0">
    <w:nsid w:val="034D44C4"/>
    <w:multiLevelType w:val="hybridMultilevel"/>
    <w:tmpl w:val="CCF2D3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07922216"/>
    <w:multiLevelType w:val="hybridMultilevel"/>
    <w:tmpl w:val="F702B71A"/>
    <w:lvl w:ilvl="0" w:tplc="7BBE85A2">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09BE6411"/>
    <w:multiLevelType w:val="hybridMultilevel"/>
    <w:tmpl w:val="3EDAC028"/>
    <w:lvl w:ilvl="0" w:tplc="465A7B3A">
      <w:start w:val="1"/>
      <w:numFmt w:val="bullet"/>
      <w:lvlText w:val=""/>
      <w:lvlJc w:val="left"/>
      <w:pPr>
        <w:ind w:left="720" w:hanging="360"/>
      </w:pPr>
      <w:rPr>
        <w:rFonts w:ascii="Symbol" w:hAnsi="Symbol"/>
      </w:rPr>
    </w:lvl>
    <w:lvl w:ilvl="1" w:tplc="C9601FA4">
      <w:start w:val="1"/>
      <w:numFmt w:val="bullet"/>
      <w:lvlText w:val=""/>
      <w:lvlJc w:val="left"/>
      <w:pPr>
        <w:ind w:left="720" w:hanging="360"/>
      </w:pPr>
      <w:rPr>
        <w:rFonts w:ascii="Symbol" w:hAnsi="Symbol"/>
      </w:rPr>
    </w:lvl>
    <w:lvl w:ilvl="2" w:tplc="219A5450">
      <w:start w:val="1"/>
      <w:numFmt w:val="bullet"/>
      <w:lvlText w:val=""/>
      <w:lvlJc w:val="left"/>
      <w:pPr>
        <w:ind w:left="720" w:hanging="360"/>
      </w:pPr>
      <w:rPr>
        <w:rFonts w:ascii="Symbol" w:hAnsi="Symbol"/>
      </w:rPr>
    </w:lvl>
    <w:lvl w:ilvl="3" w:tplc="E51CE33C">
      <w:start w:val="1"/>
      <w:numFmt w:val="bullet"/>
      <w:lvlText w:val=""/>
      <w:lvlJc w:val="left"/>
      <w:pPr>
        <w:ind w:left="720" w:hanging="360"/>
      </w:pPr>
      <w:rPr>
        <w:rFonts w:ascii="Symbol" w:hAnsi="Symbol"/>
      </w:rPr>
    </w:lvl>
    <w:lvl w:ilvl="4" w:tplc="2738FAA4">
      <w:start w:val="1"/>
      <w:numFmt w:val="bullet"/>
      <w:lvlText w:val=""/>
      <w:lvlJc w:val="left"/>
      <w:pPr>
        <w:ind w:left="720" w:hanging="360"/>
      </w:pPr>
      <w:rPr>
        <w:rFonts w:ascii="Symbol" w:hAnsi="Symbol"/>
      </w:rPr>
    </w:lvl>
    <w:lvl w:ilvl="5" w:tplc="1A7C86A6">
      <w:start w:val="1"/>
      <w:numFmt w:val="bullet"/>
      <w:lvlText w:val=""/>
      <w:lvlJc w:val="left"/>
      <w:pPr>
        <w:ind w:left="720" w:hanging="360"/>
      </w:pPr>
      <w:rPr>
        <w:rFonts w:ascii="Symbol" w:hAnsi="Symbol"/>
      </w:rPr>
    </w:lvl>
    <w:lvl w:ilvl="6" w:tplc="3406483E">
      <w:start w:val="1"/>
      <w:numFmt w:val="bullet"/>
      <w:lvlText w:val=""/>
      <w:lvlJc w:val="left"/>
      <w:pPr>
        <w:ind w:left="720" w:hanging="360"/>
      </w:pPr>
      <w:rPr>
        <w:rFonts w:ascii="Symbol" w:hAnsi="Symbol"/>
      </w:rPr>
    </w:lvl>
    <w:lvl w:ilvl="7" w:tplc="C178CE1E">
      <w:start w:val="1"/>
      <w:numFmt w:val="bullet"/>
      <w:lvlText w:val=""/>
      <w:lvlJc w:val="left"/>
      <w:pPr>
        <w:ind w:left="720" w:hanging="360"/>
      </w:pPr>
      <w:rPr>
        <w:rFonts w:ascii="Symbol" w:hAnsi="Symbol"/>
      </w:rPr>
    </w:lvl>
    <w:lvl w:ilvl="8" w:tplc="FAB6CA34">
      <w:start w:val="1"/>
      <w:numFmt w:val="bullet"/>
      <w:lvlText w:val=""/>
      <w:lvlJc w:val="left"/>
      <w:pPr>
        <w:ind w:left="720" w:hanging="360"/>
      </w:pPr>
      <w:rPr>
        <w:rFonts w:ascii="Symbol" w:hAnsi="Symbol"/>
      </w:rPr>
    </w:lvl>
  </w:abstractNum>
  <w:abstractNum w:abstractNumId="14" w15:restartNumberingAfterBreak="0">
    <w:nsid w:val="0C083D86"/>
    <w:multiLevelType w:val="hybridMultilevel"/>
    <w:tmpl w:val="2A16F7D4"/>
    <w:lvl w:ilvl="0" w:tplc="6696FC42">
      <w:start w:val="1"/>
      <w:numFmt w:val="bullet"/>
      <w:lvlText w:val=""/>
      <w:lvlJc w:val="left"/>
      <w:pPr>
        <w:ind w:left="720" w:hanging="360"/>
      </w:pPr>
      <w:rPr>
        <w:rFonts w:ascii="Symbol" w:hAnsi="Symbol" w:hint="default"/>
        <w:color w:val="009FE3" w:themeColor="accen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0D744EEE"/>
    <w:multiLevelType w:val="hybridMultilevel"/>
    <w:tmpl w:val="74903B24"/>
    <w:lvl w:ilvl="0" w:tplc="24C8570A">
      <w:start w:val="1"/>
      <w:numFmt w:val="bullet"/>
      <w:lvlText w:val=""/>
      <w:lvlJc w:val="left"/>
      <w:pPr>
        <w:ind w:left="720" w:hanging="360"/>
      </w:pPr>
      <w:rPr>
        <w:rFonts w:ascii="Symbol" w:hAnsi="Symbol"/>
      </w:rPr>
    </w:lvl>
    <w:lvl w:ilvl="1" w:tplc="9ECA3B7A">
      <w:start w:val="1"/>
      <w:numFmt w:val="bullet"/>
      <w:lvlText w:val=""/>
      <w:lvlJc w:val="left"/>
      <w:pPr>
        <w:ind w:left="720" w:hanging="360"/>
      </w:pPr>
      <w:rPr>
        <w:rFonts w:ascii="Symbol" w:hAnsi="Symbol"/>
      </w:rPr>
    </w:lvl>
    <w:lvl w:ilvl="2" w:tplc="2A5A0824">
      <w:start w:val="1"/>
      <w:numFmt w:val="bullet"/>
      <w:lvlText w:val=""/>
      <w:lvlJc w:val="left"/>
      <w:pPr>
        <w:ind w:left="720" w:hanging="360"/>
      </w:pPr>
      <w:rPr>
        <w:rFonts w:ascii="Symbol" w:hAnsi="Symbol"/>
      </w:rPr>
    </w:lvl>
    <w:lvl w:ilvl="3" w:tplc="AAB22412">
      <w:start w:val="1"/>
      <w:numFmt w:val="bullet"/>
      <w:lvlText w:val=""/>
      <w:lvlJc w:val="left"/>
      <w:pPr>
        <w:ind w:left="720" w:hanging="360"/>
      </w:pPr>
      <w:rPr>
        <w:rFonts w:ascii="Symbol" w:hAnsi="Symbol"/>
      </w:rPr>
    </w:lvl>
    <w:lvl w:ilvl="4" w:tplc="393ABB54">
      <w:start w:val="1"/>
      <w:numFmt w:val="bullet"/>
      <w:lvlText w:val=""/>
      <w:lvlJc w:val="left"/>
      <w:pPr>
        <w:ind w:left="720" w:hanging="360"/>
      </w:pPr>
      <w:rPr>
        <w:rFonts w:ascii="Symbol" w:hAnsi="Symbol"/>
      </w:rPr>
    </w:lvl>
    <w:lvl w:ilvl="5" w:tplc="3D844762">
      <w:start w:val="1"/>
      <w:numFmt w:val="bullet"/>
      <w:lvlText w:val=""/>
      <w:lvlJc w:val="left"/>
      <w:pPr>
        <w:ind w:left="720" w:hanging="360"/>
      </w:pPr>
      <w:rPr>
        <w:rFonts w:ascii="Symbol" w:hAnsi="Symbol"/>
      </w:rPr>
    </w:lvl>
    <w:lvl w:ilvl="6" w:tplc="CE58B13E">
      <w:start w:val="1"/>
      <w:numFmt w:val="bullet"/>
      <w:lvlText w:val=""/>
      <w:lvlJc w:val="left"/>
      <w:pPr>
        <w:ind w:left="720" w:hanging="360"/>
      </w:pPr>
      <w:rPr>
        <w:rFonts w:ascii="Symbol" w:hAnsi="Symbol"/>
      </w:rPr>
    </w:lvl>
    <w:lvl w:ilvl="7" w:tplc="14A45D46">
      <w:start w:val="1"/>
      <w:numFmt w:val="bullet"/>
      <w:lvlText w:val=""/>
      <w:lvlJc w:val="left"/>
      <w:pPr>
        <w:ind w:left="720" w:hanging="360"/>
      </w:pPr>
      <w:rPr>
        <w:rFonts w:ascii="Symbol" w:hAnsi="Symbol"/>
      </w:rPr>
    </w:lvl>
    <w:lvl w:ilvl="8" w:tplc="AE627F84">
      <w:start w:val="1"/>
      <w:numFmt w:val="bullet"/>
      <w:lvlText w:val=""/>
      <w:lvlJc w:val="left"/>
      <w:pPr>
        <w:ind w:left="720" w:hanging="360"/>
      </w:pPr>
      <w:rPr>
        <w:rFonts w:ascii="Symbol" w:hAnsi="Symbol"/>
      </w:rPr>
    </w:lvl>
  </w:abstractNum>
  <w:abstractNum w:abstractNumId="16" w15:restartNumberingAfterBreak="0">
    <w:nsid w:val="18EE076F"/>
    <w:multiLevelType w:val="hybridMultilevel"/>
    <w:tmpl w:val="AA1C9E6E"/>
    <w:lvl w:ilvl="0" w:tplc="8E829BB6">
      <w:start w:val="1"/>
      <w:numFmt w:val="bullet"/>
      <w:lvlText w:val=""/>
      <w:lvlJc w:val="left"/>
      <w:pPr>
        <w:ind w:left="720" w:hanging="360"/>
      </w:pPr>
      <w:rPr>
        <w:rFonts w:ascii="Symbol" w:hAnsi="Symbol"/>
      </w:rPr>
    </w:lvl>
    <w:lvl w:ilvl="1" w:tplc="06A4351A">
      <w:start w:val="1"/>
      <w:numFmt w:val="bullet"/>
      <w:lvlText w:val=""/>
      <w:lvlJc w:val="left"/>
      <w:pPr>
        <w:ind w:left="720" w:hanging="360"/>
      </w:pPr>
      <w:rPr>
        <w:rFonts w:ascii="Symbol" w:hAnsi="Symbol"/>
      </w:rPr>
    </w:lvl>
    <w:lvl w:ilvl="2" w:tplc="A454AB40">
      <w:start w:val="1"/>
      <w:numFmt w:val="bullet"/>
      <w:lvlText w:val=""/>
      <w:lvlJc w:val="left"/>
      <w:pPr>
        <w:ind w:left="720" w:hanging="360"/>
      </w:pPr>
      <w:rPr>
        <w:rFonts w:ascii="Symbol" w:hAnsi="Symbol"/>
      </w:rPr>
    </w:lvl>
    <w:lvl w:ilvl="3" w:tplc="3586BE4C">
      <w:start w:val="1"/>
      <w:numFmt w:val="bullet"/>
      <w:lvlText w:val=""/>
      <w:lvlJc w:val="left"/>
      <w:pPr>
        <w:ind w:left="720" w:hanging="360"/>
      </w:pPr>
      <w:rPr>
        <w:rFonts w:ascii="Symbol" w:hAnsi="Symbol"/>
      </w:rPr>
    </w:lvl>
    <w:lvl w:ilvl="4" w:tplc="F0964AAC">
      <w:start w:val="1"/>
      <w:numFmt w:val="bullet"/>
      <w:lvlText w:val=""/>
      <w:lvlJc w:val="left"/>
      <w:pPr>
        <w:ind w:left="720" w:hanging="360"/>
      </w:pPr>
      <w:rPr>
        <w:rFonts w:ascii="Symbol" w:hAnsi="Symbol"/>
      </w:rPr>
    </w:lvl>
    <w:lvl w:ilvl="5" w:tplc="160E6DE2">
      <w:start w:val="1"/>
      <w:numFmt w:val="bullet"/>
      <w:lvlText w:val=""/>
      <w:lvlJc w:val="left"/>
      <w:pPr>
        <w:ind w:left="720" w:hanging="360"/>
      </w:pPr>
      <w:rPr>
        <w:rFonts w:ascii="Symbol" w:hAnsi="Symbol"/>
      </w:rPr>
    </w:lvl>
    <w:lvl w:ilvl="6" w:tplc="EB629526">
      <w:start w:val="1"/>
      <w:numFmt w:val="bullet"/>
      <w:lvlText w:val=""/>
      <w:lvlJc w:val="left"/>
      <w:pPr>
        <w:ind w:left="720" w:hanging="360"/>
      </w:pPr>
      <w:rPr>
        <w:rFonts w:ascii="Symbol" w:hAnsi="Symbol"/>
      </w:rPr>
    </w:lvl>
    <w:lvl w:ilvl="7" w:tplc="4A9C9A38">
      <w:start w:val="1"/>
      <w:numFmt w:val="bullet"/>
      <w:lvlText w:val=""/>
      <w:lvlJc w:val="left"/>
      <w:pPr>
        <w:ind w:left="720" w:hanging="360"/>
      </w:pPr>
      <w:rPr>
        <w:rFonts w:ascii="Symbol" w:hAnsi="Symbol"/>
      </w:rPr>
    </w:lvl>
    <w:lvl w:ilvl="8" w:tplc="EB8E3204">
      <w:start w:val="1"/>
      <w:numFmt w:val="bullet"/>
      <w:lvlText w:val=""/>
      <w:lvlJc w:val="left"/>
      <w:pPr>
        <w:ind w:left="720" w:hanging="360"/>
      </w:pPr>
      <w:rPr>
        <w:rFonts w:ascii="Symbol" w:hAnsi="Symbol"/>
      </w:rPr>
    </w:lvl>
  </w:abstractNum>
  <w:abstractNum w:abstractNumId="17" w15:restartNumberingAfterBreak="0">
    <w:nsid w:val="199477BF"/>
    <w:multiLevelType w:val="multilevel"/>
    <w:tmpl w:val="F4DC1C3E"/>
    <w:numStyleLink w:val="CEListNumber"/>
  </w:abstractNum>
  <w:abstractNum w:abstractNumId="18" w15:restartNumberingAfterBreak="0">
    <w:nsid w:val="1E1C473A"/>
    <w:multiLevelType w:val="hybridMultilevel"/>
    <w:tmpl w:val="8F8C6EE6"/>
    <w:lvl w:ilvl="0" w:tplc="FC4A2576">
      <w:start w:val="1"/>
      <w:numFmt w:val="bullet"/>
      <w:lvlText w:val=""/>
      <w:lvlJc w:val="left"/>
      <w:pPr>
        <w:ind w:left="720" w:hanging="360"/>
      </w:pPr>
      <w:rPr>
        <w:rFonts w:ascii="Symbol" w:hAnsi="Symbol"/>
      </w:rPr>
    </w:lvl>
    <w:lvl w:ilvl="1" w:tplc="8DA0D9D0">
      <w:start w:val="1"/>
      <w:numFmt w:val="bullet"/>
      <w:lvlText w:val=""/>
      <w:lvlJc w:val="left"/>
      <w:pPr>
        <w:ind w:left="720" w:hanging="360"/>
      </w:pPr>
      <w:rPr>
        <w:rFonts w:ascii="Symbol" w:hAnsi="Symbol"/>
      </w:rPr>
    </w:lvl>
    <w:lvl w:ilvl="2" w:tplc="8A3EF256">
      <w:start w:val="1"/>
      <w:numFmt w:val="bullet"/>
      <w:lvlText w:val=""/>
      <w:lvlJc w:val="left"/>
      <w:pPr>
        <w:ind w:left="720" w:hanging="360"/>
      </w:pPr>
      <w:rPr>
        <w:rFonts w:ascii="Symbol" w:hAnsi="Symbol"/>
      </w:rPr>
    </w:lvl>
    <w:lvl w:ilvl="3" w:tplc="92F434A0">
      <w:start w:val="1"/>
      <w:numFmt w:val="bullet"/>
      <w:lvlText w:val=""/>
      <w:lvlJc w:val="left"/>
      <w:pPr>
        <w:ind w:left="720" w:hanging="360"/>
      </w:pPr>
      <w:rPr>
        <w:rFonts w:ascii="Symbol" w:hAnsi="Symbol"/>
      </w:rPr>
    </w:lvl>
    <w:lvl w:ilvl="4" w:tplc="608EADE6">
      <w:start w:val="1"/>
      <w:numFmt w:val="bullet"/>
      <w:lvlText w:val=""/>
      <w:lvlJc w:val="left"/>
      <w:pPr>
        <w:ind w:left="720" w:hanging="360"/>
      </w:pPr>
      <w:rPr>
        <w:rFonts w:ascii="Symbol" w:hAnsi="Symbol"/>
      </w:rPr>
    </w:lvl>
    <w:lvl w:ilvl="5" w:tplc="F698ABEE">
      <w:start w:val="1"/>
      <w:numFmt w:val="bullet"/>
      <w:lvlText w:val=""/>
      <w:lvlJc w:val="left"/>
      <w:pPr>
        <w:ind w:left="720" w:hanging="360"/>
      </w:pPr>
      <w:rPr>
        <w:rFonts w:ascii="Symbol" w:hAnsi="Symbol"/>
      </w:rPr>
    </w:lvl>
    <w:lvl w:ilvl="6" w:tplc="54FEE6E2">
      <w:start w:val="1"/>
      <w:numFmt w:val="bullet"/>
      <w:lvlText w:val=""/>
      <w:lvlJc w:val="left"/>
      <w:pPr>
        <w:ind w:left="720" w:hanging="360"/>
      </w:pPr>
      <w:rPr>
        <w:rFonts w:ascii="Symbol" w:hAnsi="Symbol"/>
      </w:rPr>
    </w:lvl>
    <w:lvl w:ilvl="7" w:tplc="FF3A22B4">
      <w:start w:val="1"/>
      <w:numFmt w:val="bullet"/>
      <w:lvlText w:val=""/>
      <w:lvlJc w:val="left"/>
      <w:pPr>
        <w:ind w:left="720" w:hanging="360"/>
      </w:pPr>
      <w:rPr>
        <w:rFonts w:ascii="Symbol" w:hAnsi="Symbol"/>
      </w:rPr>
    </w:lvl>
    <w:lvl w:ilvl="8" w:tplc="B04622BC">
      <w:start w:val="1"/>
      <w:numFmt w:val="bullet"/>
      <w:lvlText w:val=""/>
      <w:lvlJc w:val="left"/>
      <w:pPr>
        <w:ind w:left="720" w:hanging="360"/>
      </w:pPr>
      <w:rPr>
        <w:rFonts w:ascii="Symbol" w:hAnsi="Symbol"/>
      </w:rPr>
    </w:lvl>
  </w:abstractNum>
  <w:abstractNum w:abstractNumId="19" w15:restartNumberingAfterBreak="0">
    <w:nsid w:val="1E613679"/>
    <w:multiLevelType w:val="hybridMultilevel"/>
    <w:tmpl w:val="09FC478A"/>
    <w:lvl w:ilvl="0" w:tplc="E2428CDC">
      <w:start w:val="1"/>
      <w:numFmt w:val="decimal"/>
      <w:lvlText w:val="%1."/>
      <w:lvlJc w:val="left"/>
      <w:pPr>
        <w:ind w:left="1020" w:hanging="341"/>
      </w:pPr>
      <w:rPr>
        <w:rFonts w:ascii="Arial" w:eastAsia="Arial" w:hAnsi="Arial" w:cs="Arial" w:hint="default"/>
        <w:b w:val="0"/>
        <w:bCs w:val="0"/>
        <w:i w:val="0"/>
        <w:iCs w:val="0"/>
        <w:spacing w:val="0"/>
        <w:w w:val="100"/>
        <w:sz w:val="28"/>
        <w:szCs w:val="28"/>
        <w:lang w:val="en-US" w:eastAsia="en-US" w:bidi="ar-SA"/>
      </w:rPr>
    </w:lvl>
    <w:lvl w:ilvl="1" w:tplc="617EA624">
      <w:numFmt w:val="bullet"/>
      <w:lvlText w:val="•"/>
      <w:lvlJc w:val="left"/>
      <w:pPr>
        <w:ind w:left="2108" w:hanging="341"/>
      </w:pPr>
      <w:rPr>
        <w:rFonts w:hint="default"/>
        <w:lang w:val="en-US" w:eastAsia="en-US" w:bidi="ar-SA"/>
      </w:rPr>
    </w:lvl>
    <w:lvl w:ilvl="2" w:tplc="4C3ACC8A">
      <w:numFmt w:val="bullet"/>
      <w:lvlText w:val="•"/>
      <w:lvlJc w:val="left"/>
      <w:pPr>
        <w:ind w:left="3197" w:hanging="341"/>
      </w:pPr>
      <w:rPr>
        <w:rFonts w:hint="default"/>
        <w:lang w:val="en-US" w:eastAsia="en-US" w:bidi="ar-SA"/>
      </w:rPr>
    </w:lvl>
    <w:lvl w:ilvl="3" w:tplc="637CF68C">
      <w:numFmt w:val="bullet"/>
      <w:lvlText w:val="•"/>
      <w:lvlJc w:val="left"/>
      <w:pPr>
        <w:ind w:left="4285" w:hanging="341"/>
      </w:pPr>
      <w:rPr>
        <w:rFonts w:hint="default"/>
        <w:lang w:val="en-US" w:eastAsia="en-US" w:bidi="ar-SA"/>
      </w:rPr>
    </w:lvl>
    <w:lvl w:ilvl="4" w:tplc="0CBE2A68">
      <w:numFmt w:val="bullet"/>
      <w:lvlText w:val="•"/>
      <w:lvlJc w:val="left"/>
      <w:pPr>
        <w:ind w:left="5374" w:hanging="341"/>
      </w:pPr>
      <w:rPr>
        <w:rFonts w:hint="default"/>
        <w:lang w:val="en-US" w:eastAsia="en-US" w:bidi="ar-SA"/>
      </w:rPr>
    </w:lvl>
    <w:lvl w:ilvl="5" w:tplc="2B68961A">
      <w:numFmt w:val="bullet"/>
      <w:lvlText w:val="•"/>
      <w:lvlJc w:val="left"/>
      <w:pPr>
        <w:ind w:left="6462" w:hanging="341"/>
      </w:pPr>
      <w:rPr>
        <w:rFonts w:hint="default"/>
        <w:lang w:val="en-US" w:eastAsia="en-US" w:bidi="ar-SA"/>
      </w:rPr>
    </w:lvl>
    <w:lvl w:ilvl="6" w:tplc="F7D8C55C">
      <w:numFmt w:val="bullet"/>
      <w:lvlText w:val="•"/>
      <w:lvlJc w:val="left"/>
      <w:pPr>
        <w:ind w:left="7551" w:hanging="341"/>
      </w:pPr>
      <w:rPr>
        <w:rFonts w:hint="default"/>
        <w:lang w:val="en-US" w:eastAsia="en-US" w:bidi="ar-SA"/>
      </w:rPr>
    </w:lvl>
    <w:lvl w:ilvl="7" w:tplc="E2F6749A">
      <w:numFmt w:val="bullet"/>
      <w:lvlText w:val="•"/>
      <w:lvlJc w:val="left"/>
      <w:pPr>
        <w:ind w:left="8639" w:hanging="341"/>
      </w:pPr>
      <w:rPr>
        <w:rFonts w:hint="default"/>
        <w:lang w:val="en-US" w:eastAsia="en-US" w:bidi="ar-SA"/>
      </w:rPr>
    </w:lvl>
    <w:lvl w:ilvl="8" w:tplc="AC303BF6">
      <w:numFmt w:val="bullet"/>
      <w:lvlText w:val="•"/>
      <w:lvlJc w:val="left"/>
      <w:pPr>
        <w:ind w:left="9728" w:hanging="341"/>
      </w:pPr>
      <w:rPr>
        <w:rFonts w:hint="default"/>
        <w:lang w:val="en-US" w:eastAsia="en-US" w:bidi="ar-SA"/>
      </w:rPr>
    </w:lvl>
  </w:abstractNum>
  <w:abstractNum w:abstractNumId="20" w15:restartNumberingAfterBreak="0">
    <w:nsid w:val="1EE977BC"/>
    <w:multiLevelType w:val="hybridMultilevel"/>
    <w:tmpl w:val="5D9A70A8"/>
    <w:lvl w:ilvl="0" w:tplc="5A86405E">
      <w:start w:val="1"/>
      <w:numFmt w:val="bullet"/>
      <w:lvlText w:val=""/>
      <w:lvlJc w:val="left"/>
      <w:pPr>
        <w:ind w:left="720" w:hanging="360"/>
      </w:pPr>
      <w:rPr>
        <w:rFonts w:ascii="Symbol" w:hAnsi="Symbol"/>
      </w:rPr>
    </w:lvl>
    <w:lvl w:ilvl="1" w:tplc="A4F83EB4">
      <w:start w:val="1"/>
      <w:numFmt w:val="bullet"/>
      <w:lvlText w:val=""/>
      <w:lvlJc w:val="left"/>
      <w:pPr>
        <w:ind w:left="720" w:hanging="360"/>
      </w:pPr>
      <w:rPr>
        <w:rFonts w:ascii="Symbol" w:hAnsi="Symbol"/>
      </w:rPr>
    </w:lvl>
    <w:lvl w:ilvl="2" w:tplc="032CFBF2">
      <w:start w:val="1"/>
      <w:numFmt w:val="bullet"/>
      <w:lvlText w:val=""/>
      <w:lvlJc w:val="left"/>
      <w:pPr>
        <w:ind w:left="720" w:hanging="360"/>
      </w:pPr>
      <w:rPr>
        <w:rFonts w:ascii="Symbol" w:hAnsi="Symbol"/>
      </w:rPr>
    </w:lvl>
    <w:lvl w:ilvl="3" w:tplc="1494EF46">
      <w:start w:val="1"/>
      <w:numFmt w:val="bullet"/>
      <w:lvlText w:val=""/>
      <w:lvlJc w:val="left"/>
      <w:pPr>
        <w:ind w:left="720" w:hanging="360"/>
      </w:pPr>
      <w:rPr>
        <w:rFonts w:ascii="Symbol" w:hAnsi="Symbol"/>
      </w:rPr>
    </w:lvl>
    <w:lvl w:ilvl="4" w:tplc="E084D076">
      <w:start w:val="1"/>
      <w:numFmt w:val="bullet"/>
      <w:lvlText w:val=""/>
      <w:lvlJc w:val="left"/>
      <w:pPr>
        <w:ind w:left="720" w:hanging="360"/>
      </w:pPr>
      <w:rPr>
        <w:rFonts w:ascii="Symbol" w:hAnsi="Symbol"/>
      </w:rPr>
    </w:lvl>
    <w:lvl w:ilvl="5" w:tplc="CD3E51FE">
      <w:start w:val="1"/>
      <w:numFmt w:val="bullet"/>
      <w:lvlText w:val=""/>
      <w:lvlJc w:val="left"/>
      <w:pPr>
        <w:ind w:left="720" w:hanging="360"/>
      </w:pPr>
      <w:rPr>
        <w:rFonts w:ascii="Symbol" w:hAnsi="Symbol"/>
      </w:rPr>
    </w:lvl>
    <w:lvl w:ilvl="6" w:tplc="08108B90">
      <w:start w:val="1"/>
      <w:numFmt w:val="bullet"/>
      <w:lvlText w:val=""/>
      <w:lvlJc w:val="left"/>
      <w:pPr>
        <w:ind w:left="720" w:hanging="360"/>
      </w:pPr>
      <w:rPr>
        <w:rFonts w:ascii="Symbol" w:hAnsi="Symbol"/>
      </w:rPr>
    </w:lvl>
    <w:lvl w:ilvl="7" w:tplc="8E9207E0">
      <w:start w:val="1"/>
      <w:numFmt w:val="bullet"/>
      <w:lvlText w:val=""/>
      <w:lvlJc w:val="left"/>
      <w:pPr>
        <w:ind w:left="720" w:hanging="360"/>
      </w:pPr>
      <w:rPr>
        <w:rFonts w:ascii="Symbol" w:hAnsi="Symbol"/>
      </w:rPr>
    </w:lvl>
    <w:lvl w:ilvl="8" w:tplc="572C8980">
      <w:start w:val="1"/>
      <w:numFmt w:val="bullet"/>
      <w:lvlText w:val=""/>
      <w:lvlJc w:val="left"/>
      <w:pPr>
        <w:ind w:left="720" w:hanging="360"/>
      </w:pPr>
      <w:rPr>
        <w:rFonts w:ascii="Symbol" w:hAnsi="Symbol"/>
      </w:rPr>
    </w:lvl>
  </w:abstractNum>
  <w:abstractNum w:abstractNumId="21" w15:restartNumberingAfterBreak="0">
    <w:nsid w:val="24E65588"/>
    <w:multiLevelType w:val="multilevel"/>
    <w:tmpl w:val="CF0EDBBC"/>
    <w:lvl w:ilvl="0">
      <w:start w:val="1"/>
      <w:numFmt w:val="decimal"/>
      <w:lvlText w:val="%1."/>
      <w:lvlJc w:val="left"/>
      <w:pPr>
        <w:ind w:left="1400" w:hanging="721"/>
      </w:pPr>
      <w:rPr>
        <w:rFonts w:ascii="Kaleko 105 Round" w:eastAsia="Kaleko105Round-Book" w:hAnsi="Kaleko 105 Round" w:cs="Kaleko105Round-Book" w:hint="default"/>
        <w:b w:val="0"/>
        <w:bCs w:val="0"/>
        <w:i w:val="0"/>
        <w:iCs w:val="0"/>
        <w:color w:val="0B1F2C"/>
        <w:spacing w:val="0"/>
        <w:w w:val="100"/>
        <w:sz w:val="56"/>
        <w:szCs w:val="56"/>
        <w:lang w:val="en-US" w:eastAsia="en-US" w:bidi="ar-SA"/>
      </w:rPr>
    </w:lvl>
    <w:lvl w:ilvl="1">
      <w:start w:val="1"/>
      <w:numFmt w:val="decimal"/>
      <w:lvlText w:val="%1.%2."/>
      <w:lvlJc w:val="left"/>
      <w:pPr>
        <w:ind w:left="1102" w:hanging="422"/>
      </w:pPr>
      <w:rPr>
        <w:rFonts w:ascii="Kaleko 105 Round" w:eastAsia="Kaleko105Round-Book" w:hAnsi="Kaleko 105 Round" w:cs="Kaleko105Round-Book" w:hint="default"/>
        <w:b w:val="0"/>
        <w:bCs w:val="0"/>
        <w:i w:val="0"/>
        <w:iCs w:val="0"/>
        <w:color w:val="009FE3"/>
        <w:spacing w:val="0"/>
        <w:w w:val="100"/>
        <w:sz w:val="32"/>
        <w:szCs w:val="32"/>
        <w:lang w:val="en-US" w:eastAsia="en-US" w:bidi="ar-SA"/>
      </w:rPr>
    </w:lvl>
    <w:lvl w:ilvl="2">
      <w:numFmt w:val="bullet"/>
      <w:pStyle w:val="ListBullet"/>
      <w:lvlText w:val="•"/>
      <w:lvlJc w:val="left"/>
      <w:pPr>
        <w:ind w:left="963" w:hanging="284"/>
      </w:pPr>
      <w:rPr>
        <w:rFonts w:ascii="Kaleko105Round-Book" w:eastAsia="Kaleko105Round-Book" w:hAnsi="Kaleko105Round-Book" w:cs="Kaleko105Round-Book" w:hint="default"/>
        <w:b w:val="0"/>
        <w:bCs w:val="0"/>
        <w:i w:val="0"/>
        <w:iCs w:val="0"/>
        <w:color w:val="009FE3"/>
        <w:spacing w:val="0"/>
        <w:w w:val="100"/>
        <w:sz w:val="20"/>
        <w:szCs w:val="20"/>
        <w:lang w:val="en-US" w:eastAsia="en-US" w:bidi="ar-SA"/>
      </w:rPr>
    </w:lvl>
    <w:lvl w:ilvl="3">
      <w:numFmt w:val="bullet"/>
      <w:lvlText w:val="•"/>
      <w:lvlJc w:val="left"/>
      <w:pPr>
        <w:ind w:left="1400" w:hanging="284"/>
      </w:pPr>
      <w:rPr>
        <w:rFonts w:hint="default"/>
        <w:lang w:val="en-US" w:eastAsia="en-US" w:bidi="ar-SA"/>
      </w:rPr>
    </w:lvl>
    <w:lvl w:ilvl="4">
      <w:numFmt w:val="bullet"/>
      <w:lvlText w:val="•"/>
      <w:lvlJc w:val="left"/>
      <w:pPr>
        <w:ind w:left="2900" w:hanging="284"/>
      </w:pPr>
      <w:rPr>
        <w:rFonts w:hint="default"/>
        <w:lang w:val="en-US" w:eastAsia="en-US" w:bidi="ar-SA"/>
      </w:rPr>
    </w:lvl>
    <w:lvl w:ilvl="5">
      <w:numFmt w:val="bullet"/>
      <w:lvlText w:val="•"/>
      <w:lvlJc w:val="left"/>
      <w:pPr>
        <w:ind w:left="4401" w:hanging="284"/>
      </w:pPr>
      <w:rPr>
        <w:rFonts w:hint="default"/>
        <w:lang w:val="en-US" w:eastAsia="en-US" w:bidi="ar-SA"/>
      </w:rPr>
    </w:lvl>
    <w:lvl w:ilvl="6">
      <w:numFmt w:val="bullet"/>
      <w:lvlText w:val="•"/>
      <w:lvlJc w:val="left"/>
      <w:pPr>
        <w:ind w:left="5902" w:hanging="284"/>
      </w:pPr>
      <w:rPr>
        <w:rFonts w:hint="default"/>
        <w:lang w:val="en-US" w:eastAsia="en-US" w:bidi="ar-SA"/>
      </w:rPr>
    </w:lvl>
    <w:lvl w:ilvl="7">
      <w:numFmt w:val="bullet"/>
      <w:lvlText w:val="•"/>
      <w:lvlJc w:val="left"/>
      <w:pPr>
        <w:ind w:left="7403" w:hanging="284"/>
      </w:pPr>
      <w:rPr>
        <w:rFonts w:hint="default"/>
        <w:lang w:val="en-US" w:eastAsia="en-US" w:bidi="ar-SA"/>
      </w:rPr>
    </w:lvl>
    <w:lvl w:ilvl="8">
      <w:numFmt w:val="bullet"/>
      <w:lvlText w:val="•"/>
      <w:lvlJc w:val="left"/>
      <w:pPr>
        <w:ind w:left="8903" w:hanging="284"/>
      </w:pPr>
      <w:rPr>
        <w:rFonts w:hint="default"/>
        <w:lang w:val="en-US" w:eastAsia="en-US" w:bidi="ar-SA"/>
      </w:rPr>
    </w:lvl>
  </w:abstractNum>
  <w:abstractNum w:abstractNumId="22" w15:restartNumberingAfterBreak="0">
    <w:nsid w:val="28C840C6"/>
    <w:multiLevelType w:val="hybridMultilevel"/>
    <w:tmpl w:val="7250EAB4"/>
    <w:lvl w:ilvl="0" w:tplc="8E364F02">
      <w:start w:val="1"/>
      <w:numFmt w:val="bullet"/>
      <w:lvlText w:val=""/>
      <w:lvlJc w:val="left"/>
      <w:pPr>
        <w:ind w:left="720" w:hanging="360"/>
      </w:pPr>
      <w:rPr>
        <w:rFonts w:ascii="Symbol" w:hAnsi="Symbol"/>
      </w:rPr>
    </w:lvl>
    <w:lvl w:ilvl="1" w:tplc="62E08846">
      <w:start w:val="1"/>
      <w:numFmt w:val="bullet"/>
      <w:lvlText w:val=""/>
      <w:lvlJc w:val="left"/>
      <w:pPr>
        <w:ind w:left="720" w:hanging="360"/>
      </w:pPr>
      <w:rPr>
        <w:rFonts w:ascii="Symbol" w:hAnsi="Symbol"/>
      </w:rPr>
    </w:lvl>
    <w:lvl w:ilvl="2" w:tplc="7D6C10EC">
      <w:start w:val="1"/>
      <w:numFmt w:val="bullet"/>
      <w:lvlText w:val=""/>
      <w:lvlJc w:val="left"/>
      <w:pPr>
        <w:ind w:left="720" w:hanging="360"/>
      </w:pPr>
      <w:rPr>
        <w:rFonts w:ascii="Symbol" w:hAnsi="Symbol"/>
      </w:rPr>
    </w:lvl>
    <w:lvl w:ilvl="3" w:tplc="9ECC84C6">
      <w:start w:val="1"/>
      <w:numFmt w:val="bullet"/>
      <w:lvlText w:val=""/>
      <w:lvlJc w:val="left"/>
      <w:pPr>
        <w:ind w:left="720" w:hanging="360"/>
      </w:pPr>
      <w:rPr>
        <w:rFonts w:ascii="Symbol" w:hAnsi="Symbol"/>
      </w:rPr>
    </w:lvl>
    <w:lvl w:ilvl="4" w:tplc="0C08F490">
      <w:start w:val="1"/>
      <w:numFmt w:val="bullet"/>
      <w:lvlText w:val=""/>
      <w:lvlJc w:val="left"/>
      <w:pPr>
        <w:ind w:left="720" w:hanging="360"/>
      </w:pPr>
      <w:rPr>
        <w:rFonts w:ascii="Symbol" w:hAnsi="Symbol"/>
      </w:rPr>
    </w:lvl>
    <w:lvl w:ilvl="5" w:tplc="D5163CD2">
      <w:start w:val="1"/>
      <w:numFmt w:val="bullet"/>
      <w:lvlText w:val=""/>
      <w:lvlJc w:val="left"/>
      <w:pPr>
        <w:ind w:left="720" w:hanging="360"/>
      </w:pPr>
      <w:rPr>
        <w:rFonts w:ascii="Symbol" w:hAnsi="Symbol"/>
      </w:rPr>
    </w:lvl>
    <w:lvl w:ilvl="6" w:tplc="D5A477B0">
      <w:start w:val="1"/>
      <w:numFmt w:val="bullet"/>
      <w:lvlText w:val=""/>
      <w:lvlJc w:val="left"/>
      <w:pPr>
        <w:ind w:left="720" w:hanging="360"/>
      </w:pPr>
      <w:rPr>
        <w:rFonts w:ascii="Symbol" w:hAnsi="Symbol"/>
      </w:rPr>
    </w:lvl>
    <w:lvl w:ilvl="7" w:tplc="3AECC054">
      <w:start w:val="1"/>
      <w:numFmt w:val="bullet"/>
      <w:lvlText w:val=""/>
      <w:lvlJc w:val="left"/>
      <w:pPr>
        <w:ind w:left="720" w:hanging="360"/>
      </w:pPr>
      <w:rPr>
        <w:rFonts w:ascii="Symbol" w:hAnsi="Symbol"/>
      </w:rPr>
    </w:lvl>
    <w:lvl w:ilvl="8" w:tplc="F45AE132">
      <w:start w:val="1"/>
      <w:numFmt w:val="bullet"/>
      <w:lvlText w:val=""/>
      <w:lvlJc w:val="left"/>
      <w:pPr>
        <w:ind w:left="720" w:hanging="360"/>
      </w:pPr>
      <w:rPr>
        <w:rFonts w:ascii="Symbol" w:hAnsi="Symbol"/>
      </w:rPr>
    </w:lvl>
  </w:abstractNum>
  <w:abstractNum w:abstractNumId="23" w15:restartNumberingAfterBreak="0">
    <w:nsid w:val="2BF1019A"/>
    <w:multiLevelType w:val="multilevel"/>
    <w:tmpl w:val="1AEC50B0"/>
    <w:styleLink w:val="CENumberedHeadings"/>
    <w:lvl w:ilvl="0">
      <w:start w:val="1"/>
      <w:numFmt w:val="decimal"/>
      <w:lvlText w:val="%1."/>
      <w:lvlJc w:val="left"/>
      <w:pPr>
        <w:ind w:left="720" w:hanging="720"/>
      </w:pPr>
      <w:rPr>
        <w:rFonts w:ascii="Kaleko 105 Round" w:eastAsia="Kaleko105Round-Book" w:hAnsi="Kaleko 105 Round" w:cs="Kaleko105Round-Book" w:hint="default"/>
        <w:b w:val="0"/>
        <w:bCs w:val="0"/>
        <w:i w:val="0"/>
        <w:iCs w:val="0"/>
        <w:color w:val="0B1F2C"/>
        <w:spacing w:val="0"/>
        <w:w w:val="100"/>
        <w:sz w:val="56"/>
        <w:szCs w:val="56"/>
        <w:lang w:val="en-US" w:eastAsia="en-US" w:bidi="ar-SA"/>
      </w:rPr>
    </w:lvl>
    <w:lvl w:ilvl="1">
      <w:start w:val="1"/>
      <w:numFmt w:val="decimal"/>
      <w:lvlText w:val="%1.%2."/>
      <w:lvlJc w:val="left"/>
      <w:pPr>
        <w:ind w:left="720" w:hanging="720"/>
      </w:pPr>
      <w:rPr>
        <w:rFonts w:ascii="Kaleko 105 Round" w:eastAsia="Kaleko105Round-Book" w:hAnsi="Kaleko 105 Round" w:cs="Kaleko105Round-Book" w:hint="default"/>
        <w:b w:val="0"/>
        <w:bCs w:val="0"/>
        <w:i w:val="0"/>
        <w:iCs w:val="0"/>
        <w:color w:val="009FE3"/>
        <w:spacing w:val="0"/>
        <w:w w:val="100"/>
        <w:sz w:val="32"/>
        <w:szCs w:val="32"/>
        <w:lang w:val="en-US" w:eastAsia="en-US" w:bidi="ar-SA"/>
      </w:rPr>
    </w:lvl>
    <w:lvl w:ilvl="2">
      <w:start w:val="1"/>
      <w:numFmt w:val="decimal"/>
      <w:lvlText w:val="%1.%2.%3"/>
      <w:lvlJc w:val="left"/>
      <w:pPr>
        <w:ind w:left="720" w:hanging="720"/>
      </w:pPr>
      <w:rPr>
        <w:rFonts w:hint="default"/>
        <w:b w:val="0"/>
        <w:bCs w:val="0"/>
        <w:i w:val="0"/>
        <w:iCs w:val="0"/>
        <w:color w:val="009FE3"/>
        <w:spacing w:val="0"/>
        <w:w w:val="100"/>
        <w:sz w:val="20"/>
        <w:szCs w:val="20"/>
        <w:lang w:val="en-US" w:eastAsia="en-US" w:bidi="ar-SA"/>
      </w:rPr>
    </w:lvl>
    <w:lvl w:ilvl="3">
      <w:numFmt w:val="none"/>
      <w:lvlText w:val=""/>
      <w:lvlJc w:val="left"/>
      <w:pPr>
        <w:ind w:left="1400" w:hanging="284"/>
      </w:pPr>
      <w:rPr>
        <w:rFonts w:hint="default"/>
        <w:lang w:val="en-US" w:eastAsia="en-US" w:bidi="ar-SA"/>
      </w:rPr>
    </w:lvl>
    <w:lvl w:ilvl="4">
      <w:numFmt w:val="none"/>
      <w:lvlText w:val=""/>
      <w:lvlJc w:val="left"/>
      <w:pPr>
        <w:ind w:left="2900" w:hanging="284"/>
      </w:pPr>
      <w:rPr>
        <w:rFonts w:hint="default"/>
        <w:lang w:val="en-US" w:eastAsia="en-US" w:bidi="ar-SA"/>
      </w:rPr>
    </w:lvl>
    <w:lvl w:ilvl="5">
      <w:numFmt w:val="none"/>
      <w:lvlText w:val="%6"/>
      <w:lvlJc w:val="left"/>
      <w:pPr>
        <w:ind w:left="4401" w:hanging="284"/>
      </w:pPr>
      <w:rPr>
        <w:rFonts w:hint="default"/>
        <w:lang w:val="en-US" w:eastAsia="en-US" w:bidi="ar-SA"/>
      </w:rPr>
    </w:lvl>
    <w:lvl w:ilvl="6">
      <w:start w:val="1"/>
      <w:numFmt w:val="none"/>
      <w:lvlText w:val="%7"/>
      <w:lvlJc w:val="left"/>
      <w:pPr>
        <w:ind w:left="5902" w:hanging="284"/>
      </w:pPr>
      <w:rPr>
        <w:rFonts w:hint="default"/>
        <w:lang w:val="en-US" w:eastAsia="en-US" w:bidi="ar-SA"/>
      </w:rPr>
    </w:lvl>
    <w:lvl w:ilvl="7">
      <w:numFmt w:val="none"/>
      <w:lvlText w:val=""/>
      <w:lvlJc w:val="left"/>
      <w:pPr>
        <w:ind w:left="7403" w:hanging="284"/>
      </w:pPr>
      <w:rPr>
        <w:rFonts w:hint="default"/>
        <w:lang w:val="en-US" w:eastAsia="en-US" w:bidi="ar-SA"/>
      </w:rPr>
    </w:lvl>
    <w:lvl w:ilvl="8">
      <w:numFmt w:val="bullet"/>
      <w:lvlText w:val="•"/>
      <w:lvlJc w:val="left"/>
      <w:pPr>
        <w:ind w:left="8903" w:hanging="284"/>
      </w:pPr>
      <w:rPr>
        <w:rFonts w:hint="default"/>
        <w:lang w:val="en-US" w:eastAsia="en-US" w:bidi="ar-SA"/>
      </w:rPr>
    </w:lvl>
  </w:abstractNum>
  <w:abstractNum w:abstractNumId="24" w15:restartNumberingAfterBreak="0">
    <w:nsid w:val="386A012A"/>
    <w:multiLevelType w:val="hybridMultilevel"/>
    <w:tmpl w:val="1040D71C"/>
    <w:lvl w:ilvl="0" w:tplc="21D67A02">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397A47ED"/>
    <w:multiLevelType w:val="multilevel"/>
    <w:tmpl w:val="1AEC50B0"/>
    <w:numStyleLink w:val="CENumberedHeadings"/>
  </w:abstractNum>
  <w:abstractNum w:abstractNumId="26" w15:restartNumberingAfterBreak="0">
    <w:nsid w:val="39C87679"/>
    <w:multiLevelType w:val="hybridMultilevel"/>
    <w:tmpl w:val="BF4AEE00"/>
    <w:lvl w:ilvl="0" w:tplc="0C544EC4">
      <w:start w:val="1"/>
      <w:numFmt w:val="bullet"/>
      <w:lvlText w:val=""/>
      <w:lvlJc w:val="left"/>
      <w:pPr>
        <w:ind w:left="720" w:hanging="360"/>
      </w:pPr>
      <w:rPr>
        <w:rFonts w:ascii="Symbol" w:hAnsi="Symbol"/>
      </w:rPr>
    </w:lvl>
    <w:lvl w:ilvl="1" w:tplc="4EB85F7C">
      <w:start w:val="1"/>
      <w:numFmt w:val="bullet"/>
      <w:lvlText w:val=""/>
      <w:lvlJc w:val="left"/>
      <w:pPr>
        <w:ind w:left="720" w:hanging="360"/>
      </w:pPr>
      <w:rPr>
        <w:rFonts w:ascii="Symbol" w:hAnsi="Symbol"/>
      </w:rPr>
    </w:lvl>
    <w:lvl w:ilvl="2" w:tplc="9A867248">
      <w:start w:val="1"/>
      <w:numFmt w:val="bullet"/>
      <w:lvlText w:val=""/>
      <w:lvlJc w:val="left"/>
      <w:pPr>
        <w:ind w:left="720" w:hanging="360"/>
      </w:pPr>
      <w:rPr>
        <w:rFonts w:ascii="Symbol" w:hAnsi="Symbol"/>
      </w:rPr>
    </w:lvl>
    <w:lvl w:ilvl="3" w:tplc="B372BA1E">
      <w:start w:val="1"/>
      <w:numFmt w:val="bullet"/>
      <w:lvlText w:val=""/>
      <w:lvlJc w:val="left"/>
      <w:pPr>
        <w:ind w:left="720" w:hanging="360"/>
      </w:pPr>
      <w:rPr>
        <w:rFonts w:ascii="Symbol" w:hAnsi="Symbol"/>
      </w:rPr>
    </w:lvl>
    <w:lvl w:ilvl="4" w:tplc="8314F96E">
      <w:start w:val="1"/>
      <w:numFmt w:val="bullet"/>
      <w:lvlText w:val=""/>
      <w:lvlJc w:val="left"/>
      <w:pPr>
        <w:ind w:left="720" w:hanging="360"/>
      </w:pPr>
      <w:rPr>
        <w:rFonts w:ascii="Symbol" w:hAnsi="Symbol"/>
      </w:rPr>
    </w:lvl>
    <w:lvl w:ilvl="5" w:tplc="79286142">
      <w:start w:val="1"/>
      <w:numFmt w:val="bullet"/>
      <w:lvlText w:val=""/>
      <w:lvlJc w:val="left"/>
      <w:pPr>
        <w:ind w:left="720" w:hanging="360"/>
      </w:pPr>
      <w:rPr>
        <w:rFonts w:ascii="Symbol" w:hAnsi="Symbol"/>
      </w:rPr>
    </w:lvl>
    <w:lvl w:ilvl="6" w:tplc="8EF27166">
      <w:start w:val="1"/>
      <w:numFmt w:val="bullet"/>
      <w:lvlText w:val=""/>
      <w:lvlJc w:val="left"/>
      <w:pPr>
        <w:ind w:left="720" w:hanging="360"/>
      </w:pPr>
      <w:rPr>
        <w:rFonts w:ascii="Symbol" w:hAnsi="Symbol"/>
      </w:rPr>
    </w:lvl>
    <w:lvl w:ilvl="7" w:tplc="AF084C4E">
      <w:start w:val="1"/>
      <w:numFmt w:val="bullet"/>
      <w:lvlText w:val=""/>
      <w:lvlJc w:val="left"/>
      <w:pPr>
        <w:ind w:left="720" w:hanging="360"/>
      </w:pPr>
      <w:rPr>
        <w:rFonts w:ascii="Symbol" w:hAnsi="Symbol"/>
      </w:rPr>
    </w:lvl>
    <w:lvl w:ilvl="8" w:tplc="9C66649C">
      <w:start w:val="1"/>
      <w:numFmt w:val="bullet"/>
      <w:lvlText w:val=""/>
      <w:lvlJc w:val="left"/>
      <w:pPr>
        <w:ind w:left="720" w:hanging="360"/>
      </w:pPr>
      <w:rPr>
        <w:rFonts w:ascii="Symbol" w:hAnsi="Symbol"/>
      </w:rPr>
    </w:lvl>
  </w:abstractNum>
  <w:abstractNum w:abstractNumId="27" w15:restartNumberingAfterBreak="0">
    <w:nsid w:val="3A230A77"/>
    <w:multiLevelType w:val="multilevel"/>
    <w:tmpl w:val="1AEC50B0"/>
    <w:numStyleLink w:val="CENumberedHeadings"/>
  </w:abstractNum>
  <w:abstractNum w:abstractNumId="28" w15:restartNumberingAfterBreak="0">
    <w:nsid w:val="3C4A3033"/>
    <w:multiLevelType w:val="hybridMultilevel"/>
    <w:tmpl w:val="9FD63EA2"/>
    <w:lvl w:ilvl="0" w:tplc="37508938">
      <w:start w:val="1"/>
      <w:numFmt w:val="bullet"/>
      <w:lvlText w:val=""/>
      <w:lvlJc w:val="left"/>
      <w:pPr>
        <w:ind w:left="720" w:hanging="360"/>
      </w:pPr>
      <w:rPr>
        <w:rFonts w:ascii="Symbol" w:hAnsi="Symbol"/>
      </w:rPr>
    </w:lvl>
    <w:lvl w:ilvl="1" w:tplc="CE345ED8">
      <w:start w:val="1"/>
      <w:numFmt w:val="bullet"/>
      <w:lvlText w:val=""/>
      <w:lvlJc w:val="left"/>
      <w:pPr>
        <w:ind w:left="720" w:hanging="360"/>
      </w:pPr>
      <w:rPr>
        <w:rFonts w:ascii="Symbol" w:hAnsi="Symbol"/>
      </w:rPr>
    </w:lvl>
    <w:lvl w:ilvl="2" w:tplc="D70A44F2">
      <w:start w:val="1"/>
      <w:numFmt w:val="bullet"/>
      <w:lvlText w:val=""/>
      <w:lvlJc w:val="left"/>
      <w:pPr>
        <w:ind w:left="720" w:hanging="360"/>
      </w:pPr>
      <w:rPr>
        <w:rFonts w:ascii="Symbol" w:hAnsi="Symbol"/>
      </w:rPr>
    </w:lvl>
    <w:lvl w:ilvl="3" w:tplc="5232DDB6">
      <w:start w:val="1"/>
      <w:numFmt w:val="bullet"/>
      <w:lvlText w:val=""/>
      <w:lvlJc w:val="left"/>
      <w:pPr>
        <w:ind w:left="720" w:hanging="360"/>
      </w:pPr>
      <w:rPr>
        <w:rFonts w:ascii="Symbol" w:hAnsi="Symbol"/>
      </w:rPr>
    </w:lvl>
    <w:lvl w:ilvl="4" w:tplc="08D667FE">
      <w:start w:val="1"/>
      <w:numFmt w:val="bullet"/>
      <w:lvlText w:val=""/>
      <w:lvlJc w:val="left"/>
      <w:pPr>
        <w:ind w:left="720" w:hanging="360"/>
      </w:pPr>
      <w:rPr>
        <w:rFonts w:ascii="Symbol" w:hAnsi="Symbol"/>
      </w:rPr>
    </w:lvl>
    <w:lvl w:ilvl="5" w:tplc="06927C38">
      <w:start w:val="1"/>
      <w:numFmt w:val="bullet"/>
      <w:lvlText w:val=""/>
      <w:lvlJc w:val="left"/>
      <w:pPr>
        <w:ind w:left="720" w:hanging="360"/>
      </w:pPr>
      <w:rPr>
        <w:rFonts w:ascii="Symbol" w:hAnsi="Symbol"/>
      </w:rPr>
    </w:lvl>
    <w:lvl w:ilvl="6" w:tplc="E1809600">
      <w:start w:val="1"/>
      <w:numFmt w:val="bullet"/>
      <w:lvlText w:val=""/>
      <w:lvlJc w:val="left"/>
      <w:pPr>
        <w:ind w:left="720" w:hanging="360"/>
      </w:pPr>
      <w:rPr>
        <w:rFonts w:ascii="Symbol" w:hAnsi="Symbol"/>
      </w:rPr>
    </w:lvl>
    <w:lvl w:ilvl="7" w:tplc="2052425A">
      <w:start w:val="1"/>
      <w:numFmt w:val="bullet"/>
      <w:lvlText w:val=""/>
      <w:lvlJc w:val="left"/>
      <w:pPr>
        <w:ind w:left="720" w:hanging="360"/>
      </w:pPr>
      <w:rPr>
        <w:rFonts w:ascii="Symbol" w:hAnsi="Symbol"/>
      </w:rPr>
    </w:lvl>
    <w:lvl w:ilvl="8" w:tplc="C7AEF590">
      <w:start w:val="1"/>
      <w:numFmt w:val="bullet"/>
      <w:lvlText w:val=""/>
      <w:lvlJc w:val="left"/>
      <w:pPr>
        <w:ind w:left="720" w:hanging="360"/>
      </w:pPr>
      <w:rPr>
        <w:rFonts w:ascii="Symbol" w:hAnsi="Symbol"/>
      </w:rPr>
    </w:lvl>
  </w:abstractNum>
  <w:abstractNum w:abstractNumId="29" w15:restartNumberingAfterBreak="0">
    <w:nsid w:val="3EE5268F"/>
    <w:multiLevelType w:val="hybridMultilevel"/>
    <w:tmpl w:val="E2A8E0B4"/>
    <w:lvl w:ilvl="0" w:tplc="FC0020F8">
      <w:start w:val="1"/>
      <w:numFmt w:val="bullet"/>
      <w:lvlText w:val=""/>
      <w:lvlJc w:val="left"/>
      <w:pPr>
        <w:ind w:left="720" w:hanging="360"/>
      </w:pPr>
      <w:rPr>
        <w:rFonts w:ascii="Symbol" w:hAnsi="Symbol"/>
      </w:rPr>
    </w:lvl>
    <w:lvl w:ilvl="1" w:tplc="0A2EC694">
      <w:start w:val="1"/>
      <w:numFmt w:val="bullet"/>
      <w:lvlText w:val=""/>
      <w:lvlJc w:val="left"/>
      <w:pPr>
        <w:ind w:left="720" w:hanging="360"/>
      </w:pPr>
      <w:rPr>
        <w:rFonts w:ascii="Symbol" w:hAnsi="Symbol"/>
      </w:rPr>
    </w:lvl>
    <w:lvl w:ilvl="2" w:tplc="CA64E3A0">
      <w:start w:val="1"/>
      <w:numFmt w:val="bullet"/>
      <w:lvlText w:val=""/>
      <w:lvlJc w:val="left"/>
      <w:pPr>
        <w:ind w:left="720" w:hanging="360"/>
      </w:pPr>
      <w:rPr>
        <w:rFonts w:ascii="Symbol" w:hAnsi="Symbol"/>
      </w:rPr>
    </w:lvl>
    <w:lvl w:ilvl="3" w:tplc="25EC3C52">
      <w:start w:val="1"/>
      <w:numFmt w:val="bullet"/>
      <w:lvlText w:val=""/>
      <w:lvlJc w:val="left"/>
      <w:pPr>
        <w:ind w:left="720" w:hanging="360"/>
      </w:pPr>
      <w:rPr>
        <w:rFonts w:ascii="Symbol" w:hAnsi="Symbol"/>
      </w:rPr>
    </w:lvl>
    <w:lvl w:ilvl="4" w:tplc="6A7EDF5A">
      <w:start w:val="1"/>
      <w:numFmt w:val="bullet"/>
      <w:lvlText w:val=""/>
      <w:lvlJc w:val="left"/>
      <w:pPr>
        <w:ind w:left="720" w:hanging="360"/>
      </w:pPr>
      <w:rPr>
        <w:rFonts w:ascii="Symbol" w:hAnsi="Symbol"/>
      </w:rPr>
    </w:lvl>
    <w:lvl w:ilvl="5" w:tplc="FEC44A28">
      <w:start w:val="1"/>
      <w:numFmt w:val="bullet"/>
      <w:lvlText w:val=""/>
      <w:lvlJc w:val="left"/>
      <w:pPr>
        <w:ind w:left="720" w:hanging="360"/>
      </w:pPr>
      <w:rPr>
        <w:rFonts w:ascii="Symbol" w:hAnsi="Symbol"/>
      </w:rPr>
    </w:lvl>
    <w:lvl w:ilvl="6" w:tplc="4C2CA47A">
      <w:start w:val="1"/>
      <w:numFmt w:val="bullet"/>
      <w:lvlText w:val=""/>
      <w:lvlJc w:val="left"/>
      <w:pPr>
        <w:ind w:left="720" w:hanging="360"/>
      </w:pPr>
      <w:rPr>
        <w:rFonts w:ascii="Symbol" w:hAnsi="Symbol"/>
      </w:rPr>
    </w:lvl>
    <w:lvl w:ilvl="7" w:tplc="633A4448">
      <w:start w:val="1"/>
      <w:numFmt w:val="bullet"/>
      <w:lvlText w:val=""/>
      <w:lvlJc w:val="left"/>
      <w:pPr>
        <w:ind w:left="720" w:hanging="360"/>
      </w:pPr>
      <w:rPr>
        <w:rFonts w:ascii="Symbol" w:hAnsi="Symbol"/>
      </w:rPr>
    </w:lvl>
    <w:lvl w:ilvl="8" w:tplc="085C0164">
      <w:start w:val="1"/>
      <w:numFmt w:val="bullet"/>
      <w:lvlText w:val=""/>
      <w:lvlJc w:val="left"/>
      <w:pPr>
        <w:ind w:left="720" w:hanging="360"/>
      </w:pPr>
      <w:rPr>
        <w:rFonts w:ascii="Symbol" w:hAnsi="Symbol"/>
      </w:rPr>
    </w:lvl>
  </w:abstractNum>
  <w:abstractNum w:abstractNumId="30" w15:restartNumberingAfterBreak="0">
    <w:nsid w:val="46AA371F"/>
    <w:multiLevelType w:val="multilevel"/>
    <w:tmpl w:val="1AEC50B0"/>
    <w:numStyleLink w:val="CENumberedHeadings"/>
  </w:abstractNum>
  <w:abstractNum w:abstractNumId="31" w15:restartNumberingAfterBreak="0">
    <w:nsid w:val="47C169AB"/>
    <w:multiLevelType w:val="hybridMultilevel"/>
    <w:tmpl w:val="BA3053FE"/>
    <w:lvl w:ilvl="0" w:tplc="6696FC42">
      <w:start w:val="1"/>
      <w:numFmt w:val="bullet"/>
      <w:lvlText w:val=""/>
      <w:lvlJc w:val="left"/>
      <w:pPr>
        <w:ind w:left="720" w:hanging="360"/>
      </w:pPr>
      <w:rPr>
        <w:rFonts w:ascii="Symbol" w:hAnsi="Symbol" w:hint="default"/>
        <w:color w:val="009FE3" w:themeColor="accent1"/>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4AB95C1D"/>
    <w:multiLevelType w:val="multilevel"/>
    <w:tmpl w:val="813C5054"/>
    <w:styleLink w:val="CEAppendixNumberedHeadings"/>
    <w:lvl w:ilvl="0">
      <w:start w:val="1"/>
      <w:numFmt w:val="upperLetter"/>
      <w:lvlText w:val="Appendix %1 - "/>
      <w:lvlJc w:val="left"/>
      <w:pPr>
        <w:tabs>
          <w:tab w:val="num" w:pos="2211"/>
        </w:tabs>
        <w:ind w:left="2211" w:hanging="2211"/>
      </w:pPr>
      <w:rPr>
        <w:rFonts w:hint="default"/>
      </w:rPr>
    </w:lvl>
    <w:lvl w:ilvl="1">
      <w:start w:val="1"/>
      <w:numFmt w:val="none"/>
      <w:lvlText w:val=""/>
      <w:lvlJc w:val="left"/>
      <w:pPr>
        <w:ind w:left="720" w:hanging="360"/>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33" w15:restartNumberingAfterBreak="0">
    <w:nsid w:val="4F2748BE"/>
    <w:multiLevelType w:val="multilevel"/>
    <w:tmpl w:val="F4DC1C3E"/>
    <w:styleLink w:val="CEListNumber"/>
    <w:lvl w:ilvl="0">
      <w:start w:val="1"/>
      <w:numFmt w:val="decimal"/>
      <w:pStyle w:val="ListNumber"/>
      <w:lvlText w:val="%1."/>
      <w:lvlJc w:val="left"/>
      <w:pPr>
        <w:tabs>
          <w:tab w:val="num" w:pos="454"/>
        </w:tabs>
        <w:ind w:left="454" w:hanging="454"/>
      </w:pPr>
      <w:rPr>
        <w:rFonts w:hint="default"/>
        <w:b/>
        <w:color w:val="009FE3" w:themeColor="accent1"/>
      </w:rPr>
    </w:lvl>
    <w:lvl w:ilvl="1">
      <w:start w:val="1"/>
      <w:numFmt w:val="none"/>
      <w:lvlText w:val=""/>
      <w:lvlJc w:val="left"/>
      <w:pPr>
        <w:ind w:left="720" w:hanging="360"/>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34" w15:restartNumberingAfterBreak="0">
    <w:nsid w:val="4F67629F"/>
    <w:multiLevelType w:val="hybridMultilevel"/>
    <w:tmpl w:val="593A8D8A"/>
    <w:lvl w:ilvl="0" w:tplc="D222FCEE">
      <w:start w:val="1"/>
      <w:numFmt w:val="bullet"/>
      <w:pStyle w:val="ListBullet4"/>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35" w15:restartNumberingAfterBreak="0">
    <w:nsid w:val="59D0508F"/>
    <w:multiLevelType w:val="multilevel"/>
    <w:tmpl w:val="1AEC50B0"/>
    <w:numStyleLink w:val="CENumberedHeadings"/>
  </w:abstractNum>
  <w:abstractNum w:abstractNumId="36" w15:restartNumberingAfterBreak="0">
    <w:nsid w:val="5F074D74"/>
    <w:multiLevelType w:val="hybridMultilevel"/>
    <w:tmpl w:val="4732C548"/>
    <w:lvl w:ilvl="0" w:tplc="F660845E">
      <w:start w:val="1"/>
      <w:numFmt w:val="decimal"/>
      <w:lvlText w:val="%1."/>
      <w:lvlJc w:val="left"/>
      <w:pPr>
        <w:ind w:left="963" w:hanging="284"/>
      </w:pPr>
      <w:rPr>
        <w:rFonts w:ascii="Arial" w:eastAsia="Arial" w:hAnsi="Arial" w:cs="Arial" w:hint="default"/>
        <w:b/>
        <w:bCs/>
        <w:i w:val="0"/>
        <w:iCs w:val="0"/>
        <w:color w:val="009FE3"/>
        <w:spacing w:val="0"/>
        <w:w w:val="100"/>
        <w:sz w:val="20"/>
        <w:szCs w:val="20"/>
        <w:lang w:val="en-US" w:eastAsia="en-US" w:bidi="ar-SA"/>
      </w:rPr>
    </w:lvl>
    <w:lvl w:ilvl="1" w:tplc="835CC988">
      <w:numFmt w:val="bullet"/>
      <w:lvlText w:val="•"/>
      <w:lvlJc w:val="left"/>
      <w:pPr>
        <w:ind w:left="1190" w:hanging="227"/>
      </w:pPr>
      <w:rPr>
        <w:rFonts w:ascii="Kaleko105Round-Book" w:eastAsia="Kaleko105Round-Book" w:hAnsi="Kaleko105Round-Book" w:cs="Kaleko105Round-Book" w:hint="default"/>
        <w:b w:val="0"/>
        <w:bCs w:val="0"/>
        <w:i w:val="0"/>
        <w:iCs w:val="0"/>
        <w:color w:val="009FE3"/>
        <w:spacing w:val="0"/>
        <w:w w:val="100"/>
        <w:sz w:val="20"/>
        <w:szCs w:val="20"/>
        <w:lang w:val="en-US" w:eastAsia="en-US" w:bidi="ar-SA"/>
      </w:rPr>
    </w:lvl>
    <w:lvl w:ilvl="2" w:tplc="E2BE3354">
      <w:numFmt w:val="bullet"/>
      <w:lvlText w:val="•"/>
      <w:lvlJc w:val="left"/>
      <w:pPr>
        <w:ind w:left="2389" w:hanging="227"/>
      </w:pPr>
      <w:rPr>
        <w:rFonts w:hint="default"/>
        <w:lang w:val="en-US" w:eastAsia="en-US" w:bidi="ar-SA"/>
      </w:rPr>
    </w:lvl>
    <w:lvl w:ilvl="3" w:tplc="A250498E">
      <w:numFmt w:val="bullet"/>
      <w:lvlText w:val="•"/>
      <w:lvlJc w:val="left"/>
      <w:pPr>
        <w:ind w:left="3579" w:hanging="227"/>
      </w:pPr>
      <w:rPr>
        <w:rFonts w:hint="default"/>
        <w:lang w:val="en-US" w:eastAsia="en-US" w:bidi="ar-SA"/>
      </w:rPr>
    </w:lvl>
    <w:lvl w:ilvl="4" w:tplc="2D266E14">
      <w:numFmt w:val="bullet"/>
      <w:lvlText w:val="•"/>
      <w:lvlJc w:val="left"/>
      <w:pPr>
        <w:ind w:left="4768" w:hanging="227"/>
      </w:pPr>
      <w:rPr>
        <w:rFonts w:hint="default"/>
        <w:lang w:val="en-US" w:eastAsia="en-US" w:bidi="ar-SA"/>
      </w:rPr>
    </w:lvl>
    <w:lvl w:ilvl="5" w:tplc="69AA2BAA">
      <w:numFmt w:val="bullet"/>
      <w:lvlText w:val="•"/>
      <w:lvlJc w:val="left"/>
      <w:pPr>
        <w:ind w:left="5958" w:hanging="227"/>
      </w:pPr>
      <w:rPr>
        <w:rFonts w:hint="default"/>
        <w:lang w:val="en-US" w:eastAsia="en-US" w:bidi="ar-SA"/>
      </w:rPr>
    </w:lvl>
    <w:lvl w:ilvl="6" w:tplc="67ACAC4C">
      <w:numFmt w:val="bullet"/>
      <w:lvlText w:val="•"/>
      <w:lvlJc w:val="left"/>
      <w:pPr>
        <w:ind w:left="7147" w:hanging="227"/>
      </w:pPr>
      <w:rPr>
        <w:rFonts w:hint="default"/>
        <w:lang w:val="en-US" w:eastAsia="en-US" w:bidi="ar-SA"/>
      </w:rPr>
    </w:lvl>
    <w:lvl w:ilvl="7" w:tplc="538A68AE">
      <w:numFmt w:val="bullet"/>
      <w:lvlText w:val="•"/>
      <w:lvlJc w:val="left"/>
      <w:pPr>
        <w:ind w:left="8337" w:hanging="227"/>
      </w:pPr>
      <w:rPr>
        <w:rFonts w:hint="default"/>
        <w:lang w:val="en-US" w:eastAsia="en-US" w:bidi="ar-SA"/>
      </w:rPr>
    </w:lvl>
    <w:lvl w:ilvl="8" w:tplc="6FF69E5E">
      <w:numFmt w:val="bullet"/>
      <w:lvlText w:val="•"/>
      <w:lvlJc w:val="left"/>
      <w:pPr>
        <w:ind w:left="9526" w:hanging="227"/>
      </w:pPr>
      <w:rPr>
        <w:rFonts w:hint="default"/>
        <w:lang w:val="en-US" w:eastAsia="en-US" w:bidi="ar-SA"/>
      </w:rPr>
    </w:lvl>
  </w:abstractNum>
  <w:abstractNum w:abstractNumId="37" w15:restartNumberingAfterBreak="0">
    <w:nsid w:val="5FCF570A"/>
    <w:multiLevelType w:val="multilevel"/>
    <w:tmpl w:val="A22882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600F5BBA"/>
    <w:multiLevelType w:val="hybridMultilevel"/>
    <w:tmpl w:val="6804BF08"/>
    <w:lvl w:ilvl="0" w:tplc="6696FC42">
      <w:start w:val="1"/>
      <w:numFmt w:val="bullet"/>
      <w:lvlText w:val=""/>
      <w:lvlJc w:val="left"/>
      <w:pPr>
        <w:ind w:left="720" w:hanging="360"/>
      </w:pPr>
      <w:rPr>
        <w:rFonts w:ascii="Symbol" w:hAnsi="Symbol" w:hint="default"/>
        <w:color w:val="009FE3" w:themeColor="accen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596C7F"/>
    <w:multiLevelType w:val="multilevel"/>
    <w:tmpl w:val="813C5054"/>
    <w:numStyleLink w:val="CEAppendixNumberedHeadings"/>
  </w:abstractNum>
  <w:abstractNum w:abstractNumId="40" w15:restartNumberingAfterBreak="0">
    <w:nsid w:val="6B1727C5"/>
    <w:multiLevelType w:val="multilevel"/>
    <w:tmpl w:val="813C5054"/>
    <w:numStyleLink w:val="CEAppendixNumberedHeadings"/>
  </w:abstractNum>
  <w:abstractNum w:abstractNumId="41" w15:restartNumberingAfterBreak="0">
    <w:nsid w:val="6C1350A3"/>
    <w:multiLevelType w:val="multilevel"/>
    <w:tmpl w:val="813C5054"/>
    <w:numStyleLink w:val="CEAppendixNumberedHeadings"/>
  </w:abstractNum>
  <w:abstractNum w:abstractNumId="42" w15:restartNumberingAfterBreak="0">
    <w:nsid w:val="708E4104"/>
    <w:multiLevelType w:val="hybridMultilevel"/>
    <w:tmpl w:val="F8B0132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3" w15:restartNumberingAfterBreak="0">
    <w:nsid w:val="77C462A0"/>
    <w:multiLevelType w:val="hybridMultilevel"/>
    <w:tmpl w:val="C0E0E462"/>
    <w:lvl w:ilvl="0" w:tplc="3FA4CE52">
      <w:start w:val="1"/>
      <w:numFmt w:val="bullet"/>
      <w:lvlText w:val=""/>
      <w:lvlJc w:val="left"/>
      <w:pPr>
        <w:ind w:left="720" w:hanging="360"/>
      </w:pPr>
      <w:rPr>
        <w:rFonts w:ascii="Symbol" w:hAnsi="Symbol"/>
      </w:rPr>
    </w:lvl>
    <w:lvl w:ilvl="1" w:tplc="9A5E8618">
      <w:start w:val="1"/>
      <w:numFmt w:val="bullet"/>
      <w:lvlText w:val=""/>
      <w:lvlJc w:val="left"/>
      <w:pPr>
        <w:ind w:left="720" w:hanging="360"/>
      </w:pPr>
      <w:rPr>
        <w:rFonts w:ascii="Symbol" w:hAnsi="Symbol"/>
      </w:rPr>
    </w:lvl>
    <w:lvl w:ilvl="2" w:tplc="DE748454">
      <w:start w:val="1"/>
      <w:numFmt w:val="bullet"/>
      <w:lvlText w:val=""/>
      <w:lvlJc w:val="left"/>
      <w:pPr>
        <w:ind w:left="720" w:hanging="360"/>
      </w:pPr>
      <w:rPr>
        <w:rFonts w:ascii="Symbol" w:hAnsi="Symbol"/>
      </w:rPr>
    </w:lvl>
    <w:lvl w:ilvl="3" w:tplc="F24E242A">
      <w:start w:val="1"/>
      <w:numFmt w:val="bullet"/>
      <w:lvlText w:val=""/>
      <w:lvlJc w:val="left"/>
      <w:pPr>
        <w:ind w:left="720" w:hanging="360"/>
      </w:pPr>
      <w:rPr>
        <w:rFonts w:ascii="Symbol" w:hAnsi="Symbol"/>
      </w:rPr>
    </w:lvl>
    <w:lvl w:ilvl="4" w:tplc="B3FA0514">
      <w:start w:val="1"/>
      <w:numFmt w:val="bullet"/>
      <w:lvlText w:val=""/>
      <w:lvlJc w:val="left"/>
      <w:pPr>
        <w:ind w:left="720" w:hanging="360"/>
      </w:pPr>
      <w:rPr>
        <w:rFonts w:ascii="Symbol" w:hAnsi="Symbol"/>
      </w:rPr>
    </w:lvl>
    <w:lvl w:ilvl="5" w:tplc="0EECEF56">
      <w:start w:val="1"/>
      <w:numFmt w:val="bullet"/>
      <w:lvlText w:val=""/>
      <w:lvlJc w:val="left"/>
      <w:pPr>
        <w:ind w:left="720" w:hanging="360"/>
      </w:pPr>
      <w:rPr>
        <w:rFonts w:ascii="Symbol" w:hAnsi="Symbol"/>
      </w:rPr>
    </w:lvl>
    <w:lvl w:ilvl="6" w:tplc="52B8D1E0">
      <w:start w:val="1"/>
      <w:numFmt w:val="bullet"/>
      <w:lvlText w:val=""/>
      <w:lvlJc w:val="left"/>
      <w:pPr>
        <w:ind w:left="720" w:hanging="360"/>
      </w:pPr>
      <w:rPr>
        <w:rFonts w:ascii="Symbol" w:hAnsi="Symbol"/>
      </w:rPr>
    </w:lvl>
    <w:lvl w:ilvl="7" w:tplc="02C6E59C">
      <w:start w:val="1"/>
      <w:numFmt w:val="bullet"/>
      <w:lvlText w:val=""/>
      <w:lvlJc w:val="left"/>
      <w:pPr>
        <w:ind w:left="720" w:hanging="360"/>
      </w:pPr>
      <w:rPr>
        <w:rFonts w:ascii="Symbol" w:hAnsi="Symbol"/>
      </w:rPr>
    </w:lvl>
    <w:lvl w:ilvl="8" w:tplc="46EEA14C">
      <w:start w:val="1"/>
      <w:numFmt w:val="bullet"/>
      <w:lvlText w:val=""/>
      <w:lvlJc w:val="left"/>
      <w:pPr>
        <w:ind w:left="720" w:hanging="360"/>
      </w:pPr>
      <w:rPr>
        <w:rFonts w:ascii="Symbol" w:hAnsi="Symbol"/>
      </w:rPr>
    </w:lvl>
  </w:abstractNum>
  <w:abstractNum w:abstractNumId="44" w15:restartNumberingAfterBreak="0">
    <w:nsid w:val="790B5EB7"/>
    <w:multiLevelType w:val="multilevel"/>
    <w:tmpl w:val="1AEC50B0"/>
    <w:numStyleLink w:val="CENumberedHeadings"/>
  </w:abstractNum>
  <w:abstractNum w:abstractNumId="45" w15:restartNumberingAfterBreak="0">
    <w:nsid w:val="790C19AB"/>
    <w:multiLevelType w:val="hybridMultilevel"/>
    <w:tmpl w:val="E1B45EEE"/>
    <w:lvl w:ilvl="0" w:tplc="6696FC42">
      <w:start w:val="1"/>
      <w:numFmt w:val="bullet"/>
      <w:lvlText w:val=""/>
      <w:lvlJc w:val="left"/>
      <w:pPr>
        <w:ind w:left="720" w:hanging="360"/>
      </w:pPr>
      <w:rPr>
        <w:rFonts w:ascii="Symbol" w:hAnsi="Symbol" w:hint="default"/>
        <w:color w:val="009FE3" w:themeColor="accent1"/>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46" w15:restartNumberingAfterBreak="0">
    <w:nsid w:val="7EC532CF"/>
    <w:multiLevelType w:val="hybridMultilevel"/>
    <w:tmpl w:val="EE12AFEC"/>
    <w:lvl w:ilvl="0" w:tplc="6038D5E8">
      <w:start w:val="1"/>
      <w:numFmt w:val="bullet"/>
      <w:lvlText w:val=""/>
      <w:lvlJc w:val="left"/>
      <w:pPr>
        <w:ind w:left="720" w:hanging="360"/>
      </w:pPr>
      <w:rPr>
        <w:rFonts w:ascii="Symbol" w:hAnsi="Symbol"/>
      </w:rPr>
    </w:lvl>
    <w:lvl w:ilvl="1" w:tplc="B1489FFA">
      <w:start w:val="1"/>
      <w:numFmt w:val="bullet"/>
      <w:lvlText w:val=""/>
      <w:lvlJc w:val="left"/>
      <w:pPr>
        <w:ind w:left="720" w:hanging="360"/>
      </w:pPr>
      <w:rPr>
        <w:rFonts w:ascii="Symbol" w:hAnsi="Symbol"/>
      </w:rPr>
    </w:lvl>
    <w:lvl w:ilvl="2" w:tplc="CABC0FB2">
      <w:start w:val="1"/>
      <w:numFmt w:val="bullet"/>
      <w:lvlText w:val=""/>
      <w:lvlJc w:val="left"/>
      <w:pPr>
        <w:ind w:left="720" w:hanging="360"/>
      </w:pPr>
      <w:rPr>
        <w:rFonts w:ascii="Symbol" w:hAnsi="Symbol"/>
      </w:rPr>
    </w:lvl>
    <w:lvl w:ilvl="3" w:tplc="9502F42A">
      <w:start w:val="1"/>
      <w:numFmt w:val="bullet"/>
      <w:lvlText w:val=""/>
      <w:lvlJc w:val="left"/>
      <w:pPr>
        <w:ind w:left="720" w:hanging="360"/>
      </w:pPr>
      <w:rPr>
        <w:rFonts w:ascii="Symbol" w:hAnsi="Symbol"/>
      </w:rPr>
    </w:lvl>
    <w:lvl w:ilvl="4" w:tplc="9850D408">
      <w:start w:val="1"/>
      <w:numFmt w:val="bullet"/>
      <w:lvlText w:val=""/>
      <w:lvlJc w:val="left"/>
      <w:pPr>
        <w:ind w:left="720" w:hanging="360"/>
      </w:pPr>
      <w:rPr>
        <w:rFonts w:ascii="Symbol" w:hAnsi="Symbol"/>
      </w:rPr>
    </w:lvl>
    <w:lvl w:ilvl="5" w:tplc="D350626E">
      <w:start w:val="1"/>
      <w:numFmt w:val="bullet"/>
      <w:lvlText w:val=""/>
      <w:lvlJc w:val="left"/>
      <w:pPr>
        <w:ind w:left="720" w:hanging="360"/>
      </w:pPr>
      <w:rPr>
        <w:rFonts w:ascii="Symbol" w:hAnsi="Symbol"/>
      </w:rPr>
    </w:lvl>
    <w:lvl w:ilvl="6" w:tplc="86A84978">
      <w:start w:val="1"/>
      <w:numFmt w:val="bullet"/>
      <w:lvlText w:val=""/>
      <w:lvlJc w:val="left"/>
      <w:pPr>
        <w:ind w:left="720" w:hanging="360"/>
      </w:pPr>
      <w:rPr>
        <w:rFonts w:ascii="Symbol" w:hAnsi="Symbol"/>
      </w:rPr>
    </w:lvl>
    <w:lvl w:ilvl="7" w:tplc="17068DCE">
      <w:start w:val="1"/>
      <w:numFmt w:val="bullet"/>
      <w:lvlText w:val=""/>
      <w:lvlJc w:val="left"/>
      <w:pPr>
        <w:ind w:left="720" w:hanging="360"/>
      </w:pPr>
      <w:rPr>
        <w:rFonts w:ascii="Symbol" w:hAnsi="Symbol"/>
      </w:rPr>
    </w:lvl>
    <w:lvl w:ilvl="8" w:tplc="AAAC1D1E">
      <w:start w:val="1"/>
      <w:numFmt w:val="bullet"/>
      <w:lvlText w:val=""/>
      <w:lvlJc w:val="left"/>
      <w:pPr>
        <w:ind w:left="720" w:hanging="360"/>
      </w:pPr>
      <w:rPr>
        <w:rFonts w:ascii="Symbol" w:hAnsi="Symbol"/>
      </w:rPr>
    </w:lvl>
  </w:abstractNum>
  <w:num w:numId="1" w16cid:durableId="66802394">
    <w:abstractNumId w:val="36"/>
  </w:num>
  <w:num w:numId="2" w16cid:durableId="971786534">
    <w:abstractNumId w:val="21"/>
  </w:num>
  <w:num w:numId="3" w16cid:durableId="1194883699">
    <w:abstractNumId w:val="19"/>
  </w:num>
  <w:num w:numId="4" w16cid:durableId="409472602">
    <w:abstractNumId w:val="23"/>
  </w:num>
  <w:num w:numId="5" w16cid:durableId="2661266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306396584">
    <w:abstractNumId w:val="9"/>
  </w:num>
  <w:num w:numId="7" w16cid:durableId="1671639741">
    <w:abstractNumId w:val="7"/>
  </w:num>
  <w:num w:numId="8" w16cid:durableId="492111159">
    <w:abstractNumId w:val="6"/>
  </w:num>
  <w:num w:numId="9" w16cid:durableId="454099276">
    <w:abstractNumId w:val="5"/>
  </w:num>
  <w:num w:numId="10" w16cid:durableId="256671722">
    <w:abstractNumId w:val="4"/>
  </w:num>
  <w:num w:numId="11" w16cid:durableId="2077891171">
    <w:abstractNumId w:val="8"/>
  </w:num>
  <w:num w:numId="12" w16cid:durableId="1314985658">
    <w:abstractNumId w:val="3"/>
  </w:num>
  <w:num w:numId="13" w16cid:durableId="405957763">
    <w:abstractNumId w:val="2"/>
  </w:num>
  <w:num w:numId="14" w16cid:durableId="1737312613">
    <w:abstractNumId w:val="1"/>
  </w:num>
  <w:num w:numId="15" w16cid:durableId="1132477640">
    <w:abstractNumId w:val="0"/>
  </w:num>
  <w:num w:numId="16" w16cid:durableId="1052195509">
    <w:abstractNumId w:val="10"/>
  </w:num>
  <w:num w:numId="17" w16cid:durableId="1967924934">
    <w:abstractNumId w:val="27"/>
  </w:num>
  <w:num w:numId="18" w16cid:durableId="915898056">
    <w:abstractNumId w:val="32"/>
  </w:num>
  <w:num w:numId="19" w16cid:durableId="254830471">
    <w:abstractNumId w:val="41"/>
  </w:num>
  <w:num w:numId="20" w16cid:durableId="972171055">
    <w:abstractNumId w:val="40"/>
  </w:num>
  <w:num w:numId="21" w16cid:durableId="1756823556">
    <w:abstractNumId w:val="35"/>
  </w:num>
  <w:num w:numId="22" w16cid:durableId="1535384566">
    <w:abstractNumId w:val="35"/>
    <w:lvlOverride w:ilvl="0">
      <w:startOverride w:val="1"/>
    </w:lvlOverride>
    <w:lvlOverride w:ilvl="1">
      <w:startOverride w:val="1"/>
    </w:lvlOverride>
    <w:lvlOverride w:ilvl="2">
      <w:startOverride w:val="1"/>
    </w:lvlOverride>
    <w:lvlOverride w:ilvl="3"/>
    <w:lvlOverride w:ilvl="4"/>
    <w:lvlOverride w:ilvl="5"/>
    <w:lvlOverride w:ilvl="6">
      <w:startOverride w:val="1"/>
    </w:lvlOverride>
    <w:lvlOverride w:ilvl="7"/>
    <w:lvlOverride w:ilvl="8"/>
  </w:num>
  <w:num w:numId="23" w16cid:durableId="420764672">
    <w:abstractNumId w:val="25"/>
  </w:num>
  <w:num w:numId="24" w16cid:durableId="519666501">
    <w:abstractNumId w:val="30"/>
  </w:num>
  <w:num w:numId="25" w16cid:durableId="1920358428">
    <w:abstractNumId w:val="44"/>
  </w:num>
  <w:num w:numId="26" w16cid:durableId="1997109531">
    <w:abstractNumId w:val="34"/>
  </w:num>
  <w:num w:numId="27" w16cid:durableId="1294749139">
    <w:abstractNumId w:val="39"/>
  </w:num>
  <w:num w:numId="28" w16cid:durableId="1056204918">
    <w:abstractNumId w:val="33"/>
  </w:num>
  <w:num w:numId="29" w16cid:durableId="246153839">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833372094">
    <w:abstractNumId w:val="17"/>
  </w:num>
  <w:num w:numId="31" w16cid:durableId="711154576">
    <w:abstractNumId w:val="46"/>
  </w:num>
  <w:num w:numId="32" w16cid:durableId="702943241">
    <w:abstractNumId w:val="16"/>
  </w:num>
  <w:num w:numId="33" w16cid:durableId="218639980">
    <w:abstractNumId w:val="28"/>
  </w:num>
  <w:num w:numId="34" w16cid:durableId="1743990220">
    <w:abstractNumId w:val="22"/>
  </w:num>
  <w:num w:numId="35" w16cid:durableId="1192298536">
    <w:abstractNumId w:val="20"/>
  </w:num>
  <w:num w:numId="36" w16cid:durableId="441648661">
    <w:abstractNumId w:val="26"/>
  </w:num>
  <w:num w:numId="37" w16cid:durableId="2005470093">
    <w:abstractNumId w:val="18"/>
  </w:num>
  <w:num w:numId="38" w16cid:durableId="751663225">
    <w:abstractNumId w:val="43"/>
  </w:num>
  <w:num w:numId="39" w16cid:durableId="1326350226">
    <w:abstractNumId w:val="29"/>
  </w:num>
  <w:num w:numId="40" w16cid:durableId="706106631">
    <w:abstractNumId w:val="15"/>
  </w:num>
  <w:num w:numId="41" w16cid:durableId="1436435457">
    <w:abstractNumId w:val="13"/>
  </w:num>
  <w:num w:numId="42" w16cid:durableId="34551493">
    <w:abstractNumId w:val="42"/>
  </w:num>
  <w:num w:numId="43" w16cid:durableId="2006588189">
    <w:abstractNumId w:val="45"/>
  </w:num>
  <w:num w:numId="44" w16cid:durableId="210650325">
    <w:abstractNumId w:val="38"/>
  </w:num>
  <w:num w:numId="45" w16cid:durableId="227348335">
    <w:abstractNumId w:val="12"/>
  </w:num>
  <w:num w:numId="46" w16cid:durableId="2046296426">
    <w:abstractNumId w:val="37"/>
  </w:num>
  <w:num w:numId="47" w16cid:durableId="1071536330">
    <w:abstractNumId w:val="24"/>
  </w:num>
  <w:num w:numId="48" w16cid:durableId="322978222">
    <w:abstractNumId w:val="11"/>
  </w:num>
  <w:num w:numId="49" w16cid:durableId="545263885">
    <w:abstractNumId w:val="31"/>
  </w:num>
  <w:num w:numId="50" w16cid:durableId="132304905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51"/>
  <w:displayBackgroundShape/>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720"/>
  <w:drawingGridHorizontalSpacing w:val="110"/>
  <w:displayHorizontalDrawingGridEvery w:val="2"/>
  <w:characterSpacingControl w:val="doNotCompress"/>
  <w:hdrShapeDefaults>
    <o:shapedefaults v:ext="edit" spidmax="2052"/>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725A"/>
    <w:rsid w:val="00000028"/>
    <w:rsid w:val="000015CC"/>
    <w:rsid w:val="00001891"/>
    <w:rsid w:val="000024CF"/>
    <w:rsid w:val="000026B3"/>
    <w:rsid w:val="000029FD"/>
    <w:rsid w:val="00002DA8"/>
    <w:rsid w:val="00003D33"/>
    <w:rsid w:val="000044E7"/>
    <w:rsid w:val="000058F2"/>
    <w:rsid w:val="00010A7F"/>
    <w:rsid w:val="000136E9"/>
    <w:rsid w:val="00014DFF"/>
    <w:rsid w:val="000157A0"/>
    <w:rsid w:val="000163D1"/>
    <w:rsid w:val="00016C73"/>
    <w:rsid w:val="00016E17"/>
    <w:rsid w:val="00017110"/>
    <w:rsid w:val="00020CE7"/>
    <w:rsid w:val="0002149C"/>
    <w:rsid w:val="00022007"/>
    <w:rsid w:val="00022C73"/>
    <w:rsid w:val="00022CA2"/>
    <w:rsid w:val="00022E4E"/>
    <w:rsid w:val="000235BC"/>
    <w:rsid w:val="00024A1D"/>
    <w:rsid w:val="00024C92"/>
    <w:rsid w:val="000259ED"/>
    <w:rsid w:val="00026475"/>
    <w:rsid w:val="00031D95"/>
    <w:rsid w:val="00031FD4"/>
    <w:rsid w:val="00032D26"/>
    <w:rsid w:val="00033369"/>
    <w:rsid w:val="00033429"/>
    <w:rsid w:val="00033685"/>
    <w:rsid w:val="000338E9"/>
    <w:rsid w:val="00033FFA"/>
    <w:rsid w:val="00036880"/>
    <w:rsid w:val="00037F2D"/>
    <w:rsid w:val="000402B9"/>
    <w:rsid w:val="0004035E"/>
    <w:rsid w:val="00040AFE"/>
    <w:rsid w:val="00042354"/>
    <w:rsid w:val="00042FDD"/>
    <w:rsid w:val="00044277"/>
    <w:rsid w:val="00045CBA"/>
    <w:rsid w:val="00046889"/>
    <w:rsid w:val="00046FCD"/>
    <w:rsid w:val="0004725A"/>
    <w:rsid w:val="00047C22"/>
    <w:rsid w:val="00047E37"/>
    <w:rsid w:val="000502EE"/>
    <w:rsid w:val="00050C0E"/>
    <w:rsid w:val="00051218"/>
    <w:rsid w:val="0005131E"/>
    <w:rsid w:val="00051971"/>
    <w:rsid w:val="00051EE0"/>
    <w:rsid w:val="00051F51"/>
    <w:rsid w:val="00052C65"/>
    <w:rsid w:val="00052DEF"/>
    <w:rsid w:val="0005314C"/>
    <w:rsid w:val="0005341E"/>
    <w:rsid w:val="00053D4D"/>
    <w:rsid w:val="00055D7B"/>
    <w:rsid w:val="000564BB"/>
    <w:rsid w:val="00060B67"/>
    <w:rsid w:val="00062404"/>
    <w:rsid w:val="000628A0"/>
    <w:rsid w:val="0006374E"/>
    <w:rsid w:val="00063F1E"/>
    <w:rsid w:val="00064D91"/>
    <w:rsid w:val="00064FFB"/>
    <w:rsid w:val="00065053"/>
    <w:rsid w:val="00065B77"/>
    <w:rsid w:val="00067005"/>
    <w:rsid w:val="00067588"/>
    <w:rsid w:val="00067707"/>
    <w:rsid w:val="0007168F"/>
    <w:rsid w:val="00073700"/>
    <w:rsid w:val="00073765"/>
    <w:rsid w:val="00073B4D"/>
    <w:rsid w:val="00075D99"/>
    <w:rsid w:val="0007689D"/>
    <w:rsid w:val="00076CD4"/>
    <w:rsid w:val="00077712"/>
    <w:rsid w:val="0008000F"/>
    <w:rsid w:val="00080946"/>
    <w:rsid w:val="00081717"/>
    <w:rsid w:val="00081B72"/>
    <w:rsid w:val="00082A30"/>
    <w:rsid w:val="00084ED1"/>
    <w:rsid w:val="00086A53"/>
    <w:rsid w:val="00087EB8"/>
    <w:rsid w:val="000900F5"/>
    <w:rsid w:val="0009255E"/>
    <w:rsid w:val="00093623"/>
    <w:rsid w:val="0009362B"/>
    <w:rsid w:val="000950BE"/>
    <w:rsid w:val="00096199"/>
    <w:rsid w:val="000977FC"/>
    <w:rsid w:val="000A01B8"/>
    <w:rsid w:val="000A0777"/>
    <w:rsid w:val="000A08B1"/>
    <w:rsid w:val="000A1900"/>
    <w:rsid w:val="000A1A91"/>
    <w:rsid w:val="000A27A7"/>
    <w:rsid w:val="000A486A"/>
    <w:rsid w:val="000A56A4"/>
    <w:rsid w:val="000A5B6C"/>
    <w:rsid w:val="000A5BD3"/>
    <w:rsid w:val="000A6AD2"/>
    <w:rsid w:val="000A7917"/>
    <w:rsid w:val="000B0A00"/>
    <w:rsid w:val="000B15E1"/>
    <w:rsid w:val="000B183E"/>
    <w:rsid w:val="000B1F12"/>
    <w:rsid w:val="000B2641"/>
    <w:rsid w:val="000B2CD9"/>
    <w:rsid w:val="000B4E1C"/>
    <w:rsid w:val="000B67DF"/>
    <w:rsid w:val="000B7EB6"/>
    <w:rsid w:val="000C0138"/>
    <w:rsid w:val="000C027F"/>
    <w:rsid w:val="000C19D1"/>
    <w:rsid w:val="000C1ACE"/>
    <w:rsid w:val="000C214E"/>
    <w:rsid w:val="000C3BB3"/>
    <w:rsid w:val="000C3FD4"/>
    <w:rsid w:val="000C44E1"/>
    <w:rsid w:val="000C5992"/>
    <w:rsid w:val="000C63B0"/>
    <w:rsid w:val="000C6CD7"/>
    <w:rsid w:val="000C71B2"/>
    <w:rsid w:val="000D0132"/>
    <w:rsid w:val="000D08DB"/>
    <w:rsid w:val="000D1A7B"/>
    <w:rsid w:val="000D1D6A"/>
    <w:rsid w:val="000D274C"/>
    <w:rsid w:val="000D31E5"/>
    <w:rsid w:val="000D4229"/>
    <w:rsid w:val="000D54EC"/>
    <w:rsid w:val="000D56B0"/>
    <w:rsid w:val="000D574C"/>
    <w:rsid w:val="000D5BBF"/>
    <w:rsid w:val="000D5C59"/>
    <w:rsid w:val="000D6A62"/>
    <w:rsid w:val="000D6F50"/>
    <w:rsid w:val="000D738D"/>
    <w:rsid w:val="000D764F"/>
    <w:rsid w:val="000D77C4"/>
    <w:rsid w:val="000E0C0B"/>
    <w:rsid w:val="000E298A"/>
    <w:rsid w:val="000E2FD7"/>
    <w:rsid w:val="000E4A8D"/>
    <w:rsid w:val="000E4C86"/>
    <w:rsid w:val="000E633C"/>
    <w:rsid w:val="000E677C"/>
    <w:rsid w:val="000E75C8"/>
    <w:rsid w:val="000F02E6"/>
    <w:rsid w:val="000F03B4"/>
    <w:rsid w:val="000F271D"/>
    <w:rsid w:val="000F28B6"/>
    <w:rsid w:val="000F418C"/>
    <w:rsid w:val="000F44DB"/>
    <w:rsid w:val="000F4CBF"/>
    <w:rsid w:val="000F6915"/>
    <w:rsid w:val="000F6A32"/>
    <w:rsid w:val="000F7AD1"/>
    <w:rsid w:val="00100266"/>
    <w:rsid w:val="0010189F"/>
    <w:rsid w:val="001024FC"/>
    <w:rsid w:val="00102854"/>
    <w:rsid w:val="00102AF3"/>
    <w:rsid w:val="0010431C"/>
    <w:rsid w:val="00104C28"/>
    <w:rsid w:val="00104E2C"/>
    <w:rsid w:val="0010538D"/>
    <w:rsid w:val="00105410"/>
    <w:rsid w:val="00105603"/>
    <w:rsid w:val="00105BA9"/>
    <w:rsid w:val="00105F8D"/>
    <w:rsid w:val="00106894"/>
    <w:rsid w:val="00107660"/>
    <w:rsid w:val="00107ACF"/>
    <w:rsid w:val="00110E99"/>
    <w:rsid w:val="00112944"/>
    <w:rsid w:val="0011341C"/>
    <w:rsid w:val="001134DC"/>
    <w:rsid w:val="00113FB7"/>
    <w:rsid w:val="00114066"/>
    <w:rsid w:val="0011423A"/>
    <w:rsid w:val="00116FE5"/>
    <w:rsid w:val="00120667"/>
    <w:rsid w:val="0012291F"/>
    <w:rsid w:val="00123E16"/>
    <w:rsid w:val="00124761"/>
    <w:rsid w:val="001247EE"/>
    <w:rsid w:val="00124D13"/>
    <w:rsid w:val="001258D1"/>
    <w:rsid w:val="00125B2E"/>
    <w:rsid w:val="00125D5A"/>
    <w:rsid w:val="0012765C"/>
    <w:rsid w:val="00127681"/>
    <w:rsid w:val="001322F0"/>
    <w:rsid w:val="00132761"/>
    <w:rsid w:val="00133570"/>
    <w:rsid w:val="00133C9F"/>
    <w:rsid w:val="0013422B"/>
    <w:rsid w:val="00135012"/>
    <w:rsid w:val="0013530B"/>
    <w:rsid w:val="0013532A"/>
    <w:rsid w:val="00135D64"/>
    <w:rsid w:val="00136072"/>
    <w:rsid w:val="0013643E"/>
    <w:rsid w:val="001378F7"/>
    <w:rsid w:val="00140D5F"/>
    <w:rsid w:val="001416A3"/>
    <w:rsid w:val="00141E6F"/>
    <w:rsid w:val="00142A50"/>
    <w:rsid w:val="00143EB3"/>
    <w:rsid w:val="001442C3"/>
    <w:rsid w:val="0014451C"/>
    <w:rsid w:val="0014471C"/>
    <w:rsid w:val="00144830"/>
    <w:rsid w:val="00144C7B"/>
    <w:rsid w:val="0014534D"/>
    <w:rsid w:val="00145F6A"/>
    <w:rsid w:val="001463AB"/>
    <w:rsid w:val="0014640A"/>
    <w:rsid w:val="0014642A"/>
    <w:rsid w:val="0014674D"/>
    <w:rsid w:val="001477F9"/>
    <w:rsid w:val="00147CCA"/>
    <w:rsid w:val="00150140"/>
    <w:rsid w:val="00150A5E"/>
    <w:rsid w:val="00151CFD"/>
    <w:rsid w:val="00152C0B"/>
    <w:rsid w:val="00153FA4"/>
    <w:rsid w:val="001544F6"/>
    <w:rsid w:val="0015484D"/>
    <w:rsid w:val="00155147"/>
    <w:rsid w:val="00155C68"/>
    <w:rsid w:val="00155E03"/>
    <w:rsid w:val="00156E0C"/>
    <w:rsid w:val="00156F18"/>
    <w:rsid w:val="00160A8B"/>
    <w:rsid w:val="00160E20"/>
    <w:rsid w:val="001622DC"/>
    <w:rsid w:val="001628F4"/>
    <w:rsid w:val="001642C4"/>
    <w:rsid w:val="00164C8F"/>
    <w:rsid w:val="00165843"/>
    <w:rsid w:val="00166520"/>
    <w:rsid w:val="001671C1"/>
    <w:rsid w:val="00167358"/>
    <w:rsid w:val="00170A74"/>
    <w:rsid w:val="00170DD8"/>
    <w:rsid w:val="00171E8E"/>
    <w:rsid w:val="001720B4"/>
    <w:rsid w:val="00172EC7"/>
    <w:rsid w:val="00173548"/>
    <w:rsid w:val="00173B2A"/>
    <w:rsid w:val="001747C2"/>
    <w:rsid w:val="001752ED"/>
    <w:rsid w:val="0017580F"/>
    <w:rsid w:val="00175ACC"/>
    <w:rsid w:val="0017661F"/>
    <w:rsid w:val="00176C6E"/>
    <w:rsid w:val="00176E8B"/>
    <w:rsid w:val="00180CE4"/>
    <w:rsid w:val="00181ED0"/>
    <w:rsid w:val="00182529"/>
    <w:rsid w:val="00183911"/>
    <w:rsid w:val="00183935"/>
    <w:rsid w:val="001839BC"/>
    <w:rsid w:val="00183E1E"/>
    <w:rsid w:val="001840D1"/>
    <w:rsid w:val="001844E4"/>
    <w:rsid w:val="00185547"/>
    <w:rsid w:val="00185D12"/>
    <w:rsid w:val="001876D6"/>
    <w:rsid w:val="00187B79"/>
    <w:rsid w:val="00191B41"/>
    <w:rsid w:val="001921B7"/>
    <w:rsid w:val="0019319C"/>
    <w:rsid w:val="001938C6"/>
    <w:rsid w:val="001938CC"/>
    <w:rsid w:val="001946F1"/>
    <w:rsid w:val="001949EB"/>
    <w:rsid w:val="00195A34"/>
    <w:rsid w:val="00196A74"/>
    <w:rsid w:val="001972F7"/>
    <w:rsid w:val="001A02C5"/>
    <w:rsid w:val="001A1150"/>
    <w:rsid w:val="001A142C"/>
    <w:rsid w:val="001A27B8"/>
    <w:rsid w:val="001A32D8"/>
    <w:rsid w:val="001A464F"/>
    <w:rsid w:val="001A4F66"/>
    <w:rsid w:val="001A50F7"/>
    <w:rsid w:val="001A5EBC"/>
    <w:rsid w:val="001A7A4F"/>
    <w:rsid w:val="001B03F4"/>
    <w:rsid w:val="001B0D89"/>
    <w:rsid w:val="001B27C4"/>
    <w:rsid w:val="001B3D48"/>
    <w:rsid w:val="001B4A10"/>
    <w:rsid w:val="001B4F8B"/>
    <w:rsid w:val="001B62C4"/>
    <w:rsid w:val="001B7A2B"/>
    <w:rsid w:val="001C042B"/>
    <w:rsid w:val="001C0477"/>
    <w:rsid w:val="001C072E"/>
    <w:rsid w:val="001C0746"/>
    <w:rsid w:val="001C133A"/>
    <w:rsid w:val="001C4048"/>
    <w:rsid w:val="001C4969"/>
    <w:rsid w:val="001D04B1"/>
    <w:rsid w:val="001D099B"/>
    <w:rsid w:val="001D0D5E"/>
    <w:rsid w:val="001D149E"/>
    <w:rsid w:val="001D1EA4"/>
    <w:rsid w:val="001D2B56"/>
    <w:rsid w:val="001D3389"/>
    <w:rsid w:val="001D370D"/>
    <w:rsid w:val="001D3A51"/>
    <w:rsid w:val="001D5267"/>
    <w:rsid w:val="001D578A"/>
    <w:rsid w:val="001D6CDE"/>
    <w:rsid w:val="001D702A"/>
    <w:rsid w:val="001E11B3"/>
    <w:rsid w:val="001E1429"/>
    <w:rsid w:val="001E284F"/>
    <w:rsid w:val="001E2E48"/>
    <w:rsid w:val="001E3C24"/>
    <w:rsid w:val="001E3DEE"/>
    <w:rsid w:val="001E483B"/>
    <w:rsid w:val="001E4B0C"/>
    <w:rsid w:val="001E4D3A"/>
    <w:rsid w:val="001E5483"/>
    <w:rsid w:val="001E5C97"/>
    <w:rsid w:val="001E67AE"/>
    <w:rsid w:val="001E703C"/>
    <w:rsid w:val="001F0924"/>
    <w:rsid w:val="001F0D67"/>
    <w:rsid w:val="001F12A9"/>
    <w:rsid w:val="001F1714"/>
    <w:rsid w:val="001F19D6"/>
    <w:rsid w:val="001F221D"/>
    <w:rsid w:val="001F24A5"/>
    <w:rsid w:val="001F27D5"/>
    <w:rsid w:val="001F36EA"/>
    <w:rsid w:val="001F3738"/>
    <w:rsid w:val="001F3A86"/>
    <w:rsid w:val="001F4BF4"/>
    <w:rsid w:val="001F4FD4"/>
    <w:rsid w:val="001F515C"/>
    <w:rsid w:val="001F5843"/>
    <w:rsid w:val="001F6B97"/>
    <w:rsid w:val="002000DE"/>
    <w:rsid w:val="00200FAC"/>
    <w:rsid w:val="002016AF"/>
    <w:rsid w:val="00201DB0"/>
    <w:rsid w:val="002029AB"/>
    <w:rsid w:val="00203CE3"/>
    <w:rsid w:val="0020420B"/>
    <w:rsid w:val="002066D0"/>
    <w:rsid w:val="002078D7"/>
    <w:rsid w:val="002118D3"/>
    <w:rsid w:val="0021445A"/>
    <w:rsid w:val="00214D4B"/>
    <w:rsid w:val="00215497"/>
    <w:rsid w:val="00216550"/>
    <w:rsid w:val="00216BA4"/>
    <w:rsid w:val="00216EF9"/>
    <w:rsid w:val="002171C3"/>
    <w:rsid w:val="0022028F"/>
    <w:rsid w:val="0022179E"/>
    <w:rsid w:val="00221923"/>
    <w:rsid w:val="0022314E"/>
    <w:rsid w:val="0022400A"/>
    <w:rsid w:val="002250CF"/>
    <w:rsid w:val="002251D1"/>
    <w:rsid w:val="00225601"/>
    <w:rsid w:val="0022637D"/>
    <w:rsid w:val="00226E5C"/>
    <w:rsid w:val="00227E5B"/>
    <w:rsid w:val="002304A3"/>
    <w:rsid w:val="002313E4"/>
    <w:rsid w:val="00231ECC"/>
    <w:rsid w:val="00235DFD"/>
    <w:rsid w:val="00236284"/>
    <w:rsid w:val="002368B0"/>
    <w:rsid w:val="002369E2"/>
    <w:rsid w:val="00236E56"/>
    <w:rsid w:val="00237129"/>
    <w:rsid w:val="00237175"/>
    <w:rsid w:val="00237528"/>
    <w:rsid w:val="0023797E"/>
    <w:rsid w:val="00237DBA"/>
    <w:rsid w:val="002400A8"/>
    <w:rsid w:val="00240A31"/>
    <w:rsid w:val="00240E4E"/>
    <w:rsid w:val="00241793"/>
    <w:rsid w:val="00243C79"/>
    <w:rsid w:val="00244014"/>
    <w:rsid w:val="0024415D"/>
    <w:rsid w:val="002445BA"/>
    <w:rsid w:val="00244BD7"/>
    <w:rsid w:val="00244BF6"/>
    <w:rsid w:val="00244C21"/>
    <w:rsid w:val="00245088"/>
    <w:rsid w:val="0024585E"/>
    <w:rsid w:val="0024719A"/>
    <w:rsid w:val="0024794B"/>
    <w:rsid w:val="00250B05"/>
    <w:rsid w:val="0025113B"/>
    <w:rsid w:val="00251AEE"/>
    <w:rsid w:val="00251FA3"/>
    <w:rsid w:val="00252A89"/>
    <w:rsid w:val="00255017"/>
    <w:rsid w:val="00255DD5"/>
    <w:rsid w:val="00255F49"/>
    <w:rsid w:val="00256581"/>
    <w:rsid w:val="00256729"/>
    <w:rsid w:val="002572F9"/>
    <w:rsid w:val="00257701"/>
    <w:rsid w:val="00257A49"/>
    <w:rsid w:val="00257CF9"/>
    <w:rsid w:val="00260850"/>
    <w:rsid w:val="002608B7"/>
    <w:rsid w:val="00260A1B"/>
    <w:rsid w:val="00260B1D"/>
    <w:rsid w:val="00260C1D"/>
    <w:rsid w:val="00261D73"/>
    <w:rsid w:val="00261E0C"/>
    <w:rsid w:val="002635A5"/>
    <w:rsid w:val="00263723"/>
    <w:rsid w:val="0026507B"/>
    <w:rsid w:val="002657F8"/>
    <w:rsid w:val="0026703A"/>
    <w:rsid w:val="00267EC4"/>
    <w:rsid w:val="00270D96"/>
    <w:rsid w:val="00270E6A"/>
    <w:rsid w:val="0027105E"/>
    <w:rsid w:val="002717EC"/>
    <w:rsid w:val="00271C39"/>
    <w:rsid w:val="00273263"/>
    <w:rsid w:val="00273B8C"/>
    <w:rsid w:val="002740A7"/>
    <w:rsid w:val="00275FD9"/>
    <w:rsid w:val="0027679F"/>
    <w:rsid w:val="002779BD"/>
    <w:rsid w:val="00277FA0"/>
    <w:rsid w:val="00280377"/>
    <w:rsid w:val="0028067F"/>
    <w:rsid w:val="00281335"/>
    <w:rsid w:val="00281764"/>
    <w:rsid w:val="00281BAD"/>
    <w:rsid w:val="00281D43"/>
    <w:rsid w:val="00282994"/>
    <w:rsid w:val="002843E5"/>
    <w:rsid w:val="00284D1A"/>
    <w:rsid w:val="00285DF8"/>
    <w:rsid w:val="00285EB1"/>
    <w:rsid w:val="00286FC6"/>
    <w:rsid w:val="00287110"/>
    <w:rsid w:val="00287A5C"/>
    <w:rsid w:val="00290CA4"/>
    <w:rsid w:val="00290D70"/>
    <w:rsid w:val="00291258"/>
    <w:rsid w:val="00292657"/>
    <w:rsid w:val="002927D7"/>
    <w:rsid w:val="00292A7C"/>
    <w:rsid w:val="00292CE6"/>
    <w:rsid w:val="00292D3B"/>
    <w:rsid w:val="00293839"/>
    <w:rsid w:val="00294FF0"/>
    <w:rsid w:val="002963DD"/>
    <w:rsid w:val="002A25D8"/>
    <w:rsid w:val="002A2993"/>
    <w:rsid w:val="002A2BC6"/>
    <w:rsid w:val="002A3462"/>
    <w:rsid w:val="002A387E"/>
    <w:rsid w:val="002A51EE"/>
    <w:rsid w:val="002A65D6"/>
    <w:rsid w:val="002A7AE9"/>
    <w:rsid w:val="002B022B"/>
    <w:rsid w:val="002B09C6"/>
    <w:rsid w:val="002B13BB"/>
    <w:rsid w:val="002B1DA3"/>
    <w:rsid w:val="002B2A92"/>
    <w:rsid w:val="002B3491"/>
    <w:rsid w:val="002B34D5"/>
    <w:rsid w:val="002B5A6C"/>
    <w:rsid w:val="002B67A2"/>
    <w:rsid w:val="002B6885"/>
    <w:rsid w:val="002B6CC7"/>
    <w:rsid w:val="002B79F6"/>
    <w:rsid w:val="002C00F6"/>
    <w:rsid w:val="002C0499"/>
    <w:rsid w:val="002C0D8C"/>
    <w:rsid w:val="002C13E1"/>
    <w:rsid w:val="002C1CCA"/>
    <w:rsid w:val="002C23E3"/>
    <w:rsid w:val="002C3F95"/>
    <w:rsid w:val="002C581D"/>
    <w:rsid w:val="002C650B"/>
    <w:rsid w:val="002C668B"/>
    <w:rsid w:val="002C6717"/>
    <w:rsid w:val="002C6892"/>
    <w:rsid w:val="002C712D"/>
    <w:rsid w:val="002D05CC"/>
    <w:rsid w:val="002D0B29"/>
    <w:rsid w:val="002D0B95"/>
    <w:rsid w:val="002D132A"/>
    <w:rsid w:val="002D1437"/>
    <w:rsid w:val="002D18D9"/>
    <w:rsid w:val="002D19E5"/>
    <w:rsid w:val="002D1B93"/>
    <w:rsid w:val="002D2918"/>
    <w:rsid w:val="002D2DFE"/>
    <w:rsid w:val="002D3DED"/>
    <w:rsid w:val="002D4510"/>
    <w:rsid w:val="002D4F62"/>
    <w:rsid w:val="002D716F"/>
    <w:rsid w:val="002E0236"/>
    <w:rsid w:val="002E0EEF"/>
    <w:rsid w:val="002E3DCB"/>
    <w:rsid w:val="002E4A81"/>
    <w:rsid w:val="002E6CA7"/>
    <w:rsid w:val="002E6E30"/>
    <w:rsid w:val="002F0972"/>
    <w:rsid w:val="002F09E3"/>
    <w:rsid w:val="002F1A22"/>
    <w:rsid w:val="002F2C53"/>
    <w:rsid w:val="002F4BFF"/>
    <w:rsid w:val="002F5E0D"/>
    <w:rsid w:val="002F6B50"/>
    <w:rsid w:val="002F776E"/>
    <w:rsid w:val="002F7B3A"/>
    <w:rsid w:val="002F7D0D"/>
    <w:rsid w:val="002F7E67"/>
    <w:rsid w:val="0030060B"/>
    <w:rsid w:val="003014DE"/>
    <w:rsid w:val="0030414B"/>
    <w:rsid w:val="003049F0"/>
    <w:rsid w:val="00305E0B"/>
    <w:rsid w:val="003076B9"/>
    <w:rsid w:val="00307744"/>
    <w:rsid w:val="00310A24"/>
    <w:rsid w:val="00311570"/>
    <w:rsid w:val="00312039"/>
    <w:rsid w:val="00313297"/>
    <w:rsid w:val="00313F45"/>
    <w:rsid w:val="00314531"/>
    <w:rsid w:val="00314595"/>
    <w:rsid w:val="003159F0"/>
    <w:rsid w:val="003161C9"/>
    <w:rsid w:val="00317154"/>
    <w:rsid w:val="003171F2"/>
    <w:rsid w:val="003174F8"/>
    <w:rsid w:val="00320A1A"/>
    <w:rsid w:val="00320E92"/>
    <w:rsid w:val="00321233"/>
    <w:rsid w:val="00321567"/>
    <w:rsid w:val="0032279C"/>
    <w:rsid w:val="00323942"/>
    <w:rsid w:val="003241D0"/>
    <w:rsid w:val="00324596"/>
    <w:rsid w:val="003253FF"/>
    <w:rsid w:val="00325F14"/>
    <w:rsid w:val="003266B3"/>
    <w:rsid w:val="0032730D"/>
    <w:rsid w:val="003276E5"/>
    <w:rsid w:val="003314C8"/>
    <w:rsid w:val="003349EE"/>
    <w:rsid w:val="00334D3F"/>
    <w:rsid w:val="003363F5"/>
    <w:rsid w:val="003364F5"/>
    <w:rsid w:val="0033726E"/>
    <w:rsid w:val="00337D02"/>
    <w:rsid w:val="00340006"/>
    <w:rsid w:val="00341690"/>
    <w:rsid w:val="00341E2B"/>
    <w:rsid w:val="00343102"/>
    <w:rsid w:val="003446BE"/>
    <w:rsid w:val="003454C4"/>
    <w:rsid w:val="00345A97"/>
    <w:rsid w:val="00345B75"/>
    <w:rsid w:val="00347076"/>
    <w:rsid w:val="0034730B"/>
    <w:rsid w:val="00347CC6"/>
    <w:rsid w:val="0035255A"/>
    <w:rsid w:val="00353A56"/>
    <w:rsid w:val="00354ECF"/>
    <w:rsid w:val="00355D50"/>
    <w:rsid w:val="00355FDC"/>
    <w:rsid w:val="003562DA"/>
    <w:rsid w:val="00357134"/>
    <w:rsid w:val="0035774B"/>
    <w:rsid w:val="00360170"/>
    <w:rsid w:val="00360532"/>
    <w:rsid w:val="00360E2B"/>
    <w:rsid w:val="00361106"/>
    <w:rsid w:val="003618CB"/>
    <w:rsid w:val="00362B7A"/>
    <w:rsid w:val="0036326F"/>
    <w:rsid w:val="00363A6D"/>
    <w:rsid w:val="003642AD"/>
    <w:rsid w:val="00364923"/>
    <w:rsid w:val="003660E3"/>
    <w:rsid w:val="003705F0"/>
    <w:rsid w:val="00371DF6"/>
    <w:rsid w:val="00372527"/>
    <w:rsid w:val="00372EC7"/>
    <w:rsid w:val="003754DF"/>
    <w:rsid w:val="00376356"/>
    <w:rsid w:val="00377191"/>
    <w:rsid w:val="003804E6"/>
    <w:rsid w:val="00382E3D"/>
    <w:rsid w:val="003839D6"/>
    <w:rsid w:val="00384712"/>
    <w:rsid w:val="00384C97"/>
    <w:rsid w:val="00385DAF"/>
    <w:rsid w:val="0038603B"/>
    <w:rsid w:val="003862CB"/>
    <w:rsid w:val="003869ED"/>
    <w:rsid w:val="0038725B"/>
    <w:rsid w:val="0038782E"/>
    <w:rsid w:val="003879C5"/>
    <w:rsid w:val="00387E7D"/>
    <w:rsid w:val="00390681"/>
    <w:rsid w:val="00390C9F"/>
    <w:rsid w:val="00390CC2"/>
    <w:rsid w:val="00391251"/>
    <w:rsid w:val="00392421"/>
    <w:rsid w:val="00392CF2"/>
    <w:rsid w:val="00393508"/>
    <w:rsid w:val="0039351E"/>
    <w:rsid w:val="00393719"/>
    <w:rsid w:val="0039455E"/>
    <w:rsid w:val="003949C9"/>
    <w:rsid w:val="003968F6"/>
    <w:rsid w:val="00397638"/>
    <w:rsid w:val="00397B37"/>
    <w:rsid w:val="003A1EB5"/>
    <w:rsid w:val="003A2C2D"/>
    <w:rsid w:val="003A3F93"/>
    <w:rsid w:val="003A480E"/>
    <w:rsid w:val="003A4915"/>
    <w:rsid w:val="003A4B4F"/>
    <w:rsid w:val="003A5A32"/>
    <w:rsid w:val="003A669C"/>
    <w:rsid w:val="003A730D"/>
    <w:rsid w:val="003A7A44"/>
    <w:rsid w:val="003A7EBD"/>
    <w:rsid w:val="003B0A49"/>
    <w:rsid w:val="003B0B41"/>
    <w:rsid w:val="003B0C2B"/>
    <w:rsid w:val="003B0DAC"/>
    <w:rsid w:val="003B16FB"/>
    <w:rsid w:val="003B1992"/>
    <w:rsid w:val="003B25AE"/>
    <w:rsid w:val="003B2963"/>
    <w:rsid w:val="003B2BFA"/>
    <w:rsid w:val="003B36D2"/>
    <w:rsid w:val="003B53CC"/>
    <w:rsid w:val="003B59E2"/>
    <w:rsid w:val="003B5FD0"/>
    <w:rsid w:val="003B6546"/>
    <w:rsid w:val="003B6FE3"/>
    <w:rsid w:val="003B78A5"/>
    <w:rsid w:val="003C065E"/>
    <w:rsid w:val="003C0A3D"/>
    <w:rsid w:val="003C0EB0"/>
    <w:rsid w:val="003C1C41"/>
    <w:rsid w:val="003C1D4C"/>
    <w:rsid w:val="003C2512"/>
    <w:rsid w:val="003C2559"/>
    <w:rsid w:val="003C25A3"/>
    <w:rsid w:val="003C290B"/>
    <w:rsid w:val="003C2F85"/>
    <w:rsid w:val="003C3630"/>
    <w:rsid w:val="003C3C18"/>
    <w:rsid w:val="003C3E66"/>
    <w:rsid w:val="003C5FE6"/>
    <w:rsid w:val="003C671D"/>
    <w:rsid w:val="003C6D32"/>
    <w:rsid w:val="003C6F4B"/>
    <w:rsid w:val="003C701E"/>
    <w:rsid w:val="003D0EC8"/>
    <w:rsid w:val="003D140D"/>
    <w:rsid w:val="003D18CD"/>
    <w:rsid w:val="003D237D"/>
    <w:rsid w:val="003D2899"/>
    <w:rsid w:val="003D331A"/>
    <w:rsid w:val="003D3358"/>
    <w:rsid w:val="003D37DD"/>
    <w:rsid w:val="003D37DE"/>
    <w:rsid w:val="003D3C71"/>
    <w:rsid w:val="003D3E66"/>
    <w:rsid w:val="003D436F"/>
    <w:rsid w:val="003D5072"/>
    <w:rsid w:val="003D5569"/>
    <w:rsid w:val="003D5F35"/>
    <w:rsid w:val="003D6F47"/>
    <w:rsid w:val="003D7FE6"/>
    <w:rsid w:val="003E06D9"/>
    <w:rsid w:val="003E0A41"/>
    <w:rsid w:val="003E1000"/>
    <w:rsid w:val="003E20A8"/>
    <w:rsid w:val="003E311A"/>
    <w:rsid w:val="003E3256"/>
    <w:rsid w:val="003E37FD"/>
    <w:rsid w:val="003E4767"/>
    <w:rsid w:val="003E4DD7"/>
    <w:rsid w:val="003E4E3F"/>
    <w:rsid w:val="003E5581"/>
    <w:rsid w:val="003E5DE4"/>
    <w:rsid w:val="003E6BE8"/>
    <w:rsid w:val="003F276C"/>
    <w:rsid w:val="003F4A4A"/>
    <w:rsid w:val="003F4ED4"/>
    <w:rsid w:val="003F59B7"/>
    <w:rsid w:val="003F5CE2"/>
    <w:rsid w:val="003F62A0"/>
    <w:rsid w:val="003F63B9"/>
    <w:rsid w:val="003F6481"/>
    <w:rsid w:val="003F6BEA"/>
    <w:rsid w:val="003F6DE7"/>
    <w:rsid w:val="003F6E4D"/>
    <w:rsid w:val="003F75DF"/>
    <w:rsid w:val="003F7AA4"/>
    <w:rsid w:val="003F7DC4"/>
    <w:rsid w:val="00400D5D"/>
    <w:rsid w:val="00401865"/>
    <w:rsid w:val="004023C8"/>
    <w:rsid w:val="00402819"/>
    <w:rsid w:val="0040306A"/>
    <w:rsid w:val="0040378C"/>
    <w:rsid w:val="00404AF4"/>
    <w:rsid w:val="00404E2F"/>
    <w:rsid w:val="00404F3F"/>
    <w:rsid w:val="004054A0"/>
    <w:rsid w:val="004057EA"/>
    <w:rsid w:val="00406AFB"/>
    <w:rsid w:val="0041062F"/>
    <w:rsid w:val="00410E35"/>
    <w:rsid w:val="0041303A"/>
    <w:rsid w:val="004138B2"/>
    <w:rsid w:val="00414E93"/>
    <w:rsid w:val="00415229"/>
    <w:rsid w:val="0041605B"/>
    <w:rsid w:val="004163D4"/>
    <w:rsid w:val="00416F79"/>
    <w:rsid w:val="00417170"/>
    <w:rsid w:val="0041720F"/>
    <w:rsid w:val="00417E1E"/>
    <w:rsid w:val="004206D9"/>
    <w:rsid w:val="00420FC1"/>
    <w:rsid w:val="00421525"/>
    <w:rsid w:val="0042172C"/>
    <w:rsid w:val="00421CDA"/>
    <w:rsid w:val="00422116"/>
    <w:rsid w:val="00422535"/>
    <w:rsid w:val="00422E31"/>
    <w:rsid w:val="0042310F"/>
    <w:rsid w:val="0042375E"/>
    <w:rsid w:val="0042620A"/>
    <w:rsid w:val="00427DA2"/>
    <w:rsid w:val="0043161A"/>
    <w:rsid w:val="00432CA9"/>
    <w:rsid w:val="00433286"/>
    <w:rsid w:val="004338E3"/>
    <w:rsid w:val="00434C60"/>
    <w:rsid w:val="004353FF"/>
    <w:rsid w:val="004406B7"/>
    <w:rsid w:val="0044174D"/>
    <w:rsid w:val="00441A7A"/>
    <w:rsid w:val="00443D8C"/>
    <w:rsid w:val="00444DD9"/>
    <w:rsid w:val="00445F60"/>
    <w:rsid w:val="00446A17"/>
    <w:rsid w:val="00447E44"/>
    <w:rsid w:val="0045083C"/>
    <w:rsid w:val="004516D0"/>
    <w:rsid w:val="004528EE"/>
    <w:rsid w:val="00454971"/>
    <w:rsid w:val="00454BA2"/>
    <w:rsid w:val="00457587"/>
    <w:rsid w:val="00460DCE"/>
    <w:rsid w:val="00461424"/>
    <w:rsid w:val="004618A4"/>
    <w:rsid w:val="0046221D"/>
    <w:rsid w:val="00462431"/>
    <w:rsid w:val="00462746"/>
    <w:rsid w:val="00463161"/>
    <w:rsid w:val="004633BB"/>
    <w:rsid w:val="004669B4"/>
    <w:rsid w:val="00467108"/>
    <w:rsid w:val="00470065"/>
    <w:rsid w:val="004705C5"/>
    <w:rsid w:val="004706E4"/>
    <w:rsid w:val="004707F1"/>
    <w:rsid w:val="004708B2"/>
    <w:rsid w:val="004713A7"/>
    <w:rsid w:val="004713BA"/>
    <w:rsid w:val="00471C7A"/>
    <w:rsid w:val="004729F3"/>
    <w:rsid w:val="00472C31"/>
    <w:rsid w:val="00473362"/>
    <w:rsid w:val="00473D4D"/>
    <w:rsid w:val="00474522"/>
    <w:rsid w:val="0047595A"/>
    <w:rsid w:val="00475F8B"/>
    <w:rsid w:val="00476053"/>
    <w:rsid w:val="00476171"/>
    <w:rsid w:val="00476357"/>
    <w:rsid w:val="00480785"/>
    <w:rsid w:val="004808BE"/>
    <w:rsid w:val="00481324"/>
    <w:rsid w:val="00482202"/>
    <w:rsid w:val="00483192"/>
    <w:rsid w:val="004838E3"/>
    <w:rsid w:val="00484D89"/>
    <w:rsid w:val="00485546"/>
    <w:rsid w:val="004856A0"/>
    <w:rsid w:val="004862E0"/>
    <w:rsid w:val="00486AE6"/>
    <w:rsid w:val="004875EE"/>
    <w:rsid w:val="00490067"/>
    <w:rsid w:val="00491D47"/>
    <w:rsid w:val="004924F7"/>
    <w:rsid w:val="004933B4"/>
    <w:rsid w:val="00493EDB"/>
    <w:rsid w:val="0049446B"/>
    <w:rsid w:val="004950FC"/>
    <w:rsid w:val="0049513F"/>
    <w:rsid w:val="00495B94"/>
    <w:rsid w:val="00495CB7"/>
    <w:rsid w:val="00496D32"/>
    <w:rsid w:val="00496F60"/>
    <w:rsid w:val="004A0B2E"/>
    <w:rsid w:val="004A1EEA"/>
    <w:rsid w:val="004A20A1"/>
    <w:rsid w:val="004A20BF"/>
    <w:rsid w:val="004A274A"/>
    <w:rsid w:val="004A39EB"/>
    <w:rsid w:val="004A4F05"/>
    <w:rsid w:val="004A569C"/>
    <w:rsid w:val="004A69EB"/>
    <w:rsid w:val="004A6E4F"/>
    <w:rsid w:val="004A6E59"/>
    <w:rsid w:val="004A6F85"/>
    <w:rsid w:val="004A7E3F"/>
    <w:rsid w:val="004B0C55"/>
    <w:rsid w:val="004B13CB"/>
    <w:rsid w:val="004B2641"/>
    <w:rsid w:val="004B332B"/>
    <w:rsid w:val="004B343D"/>
    <w:rsid w:val="004B443E"/>
    <w:rsid w:val="004B4DD4"/>
    <w:rsid w:val="004B4E50"/>
    <w:rsid w:val="004B6211"/>
    <w:rsid w:val="004B6DCB"/>
    <w:rsid w:val="004B7653"/>
    <w:rsid w:val="004B7E0D"/>
    <w:rsid w:val="004C0448"/>
    <w:rsid w:val="004C0631"/>
    <w:rsid w:val="004C0D21"/>
    <w:rsid w:val="004C129F"/>
    <w:rsid w:val="004C3164"/>
    <w:rsid w:val="004C33BA"/>
    <w:rsid w:val="004C3E19"/>
    <w:rsid w:val="004C55EA"/>
    <w:rsid w:val="004C7967"/>
    <w:rsid w:val="004D1C83"/>
    <w:rsid w:val="004D2C3B"/>
    <w:rsid w:val="004D3C06"/>
    <w:rsid w:val="004D4192"/>
    <w:rsid w:val="004D642A"/>
    <w:rsid w:val="004D7983"/>
    <w:rsid w:val="004E02DD"/>
    <w:rsid w:val="004E09AB"/>
    <w:rsid w:val="004E1111"/>
    <w:rsid w:val="004E120E"/>
    <w:rsid w:val="004E12E8"/>
    <w:rsid w:val="004E146B"/>
    <w:rsid w:val="004E16D3"/>
    <w:rsid w:val="004E1890"/>
    <w:rsid w:val="004E1959"/>
    <w:rsid w:val="004E2668"/>
    <w:rsid w:val="004E27BD"/>
    <w:rsid w:val="004E2824"/>
    <w:rsid w:val="004E3FB1"/>
    <w:rsid w:val="004E441F"/>
    <w:rsid w:val="004E50E4"/>
    <w:rsid w:val="004E58CA"/>
    <w:rsid w:val="004E67B2"/>
    <w:rsid w:val="004E688F"/>
    <w:rsid w:val="004E6C39"/>
    <w:rsid w:val="004E6FD1"/>
    <w:rsid w:val="004E7219"/>
    <w:rsid w:val="004F053E"/>
    <w:rsid w:val="004F0AB3"/>
    <w:rsid w:val="004F0D01"/>
    <w:rsid w:val="004F126B"/>
    <w:rsid w:val="004F1CED"/>
    <w:rsid w:val="004F333E"/>
    <w:rsid w:val="004F356B"/>
    <w:rsid w:val="004F37B8"/>
    <w:rsid w:val="004F46BD"/>
    <w:rsid w:val="004F4C84"/>
    <w:rsid w:val="004F5295"/>
    <w:rsid w:val="004F665E"/>
    <w:rsid w:val="004F6B83"/>
    <w:rsid w:val="004F79E6"/>
    <w:rsid w:val="004F7B7E"/>
    <w:rsid w:val="004F7F48"/>
    <w:rsid w:val="004F7FCD"/>
    <w:rsid w:val="00500A12"/>
    <w:rsid w:val="00501D29"/>
    <w:rsid w:val="00502D32"/>
    <w:rsid w:val="0050568A"/>
    <w:rsid w:val="005074E3"/>
    <w:rsid w:val="0051085A"/>
    <w:rsid w:val="00510B62"/>
    <w:rsid w:val="00511192"/>
    <w:rsid w:val="0051137B"/>
    <w:rsid w:val="00512249"/>
    <w:rsid w:val="00512495"/>
    <w:rsid w:val="0051269A"/>
    <w:rsid w:val="00512AF8"/>
    <w:rsid w:val="005132F2"/>
    <w:rsid w:val="0051344A"/>
    <w:rsid w:val="00513759"/>
    <w:rsid w:val="00513D0F"/>
    <w:rsid w:val="005148E4"/>
    <w:rsid w:val="005158AE"/>
    <w:rsid w:val="005164AE"/>
    <w:rsid w:val="00516FB9"/>
    <w:rsid w:val="005215A2"/>
    <w:rsid w:val="00521C7C"/>
    <w:rsid w:val="005221D5"/>
    <w:rsid w:val="00522957"/>
    <w:rsid w:val="00523347"/>
    <w:rsid w:val="005237AD"/>
    <w:rsid w:val="00523D64"/>
    <w:rsid w:val="00524535"/>
    <w:rsid w:val="00524956"/>
    <w:rsid w:val="00524DF9"/>
    <w:rsid w:val="00524FF5"/>
    <w:rsid w:val="0052528F"/>
    <w:rsid w:val="00525ADE"/>
    <w:rsid w:val="00525E67"/>
    <w:rsid w:val="00526F08"/>
    <w:rsid w:val="00527D91"/>
    <w:rsid w:val="00532982"/>
    <w:rsid w:val="00534C01"/>
    <w:rsid w:val="00535467"/>
    <w:rsid w:val="005366F5"/>
    <w:rsid w:val="00536C48"/>
    <w:rsid w:val="00537E4F"/>
    <w:rsid w:val="00540717"/>
    <w:rsid w:val="00541925"/>
    <w:rsid w:val="00541A40"/>
    <w:rsid w:val="00541EA4"/>
    <w:rsid w:val="00542CE4"/>
    <w:rsid w:val="00542D18"/>
    <w:rsid w:val="00542D4E"/>
    <w:rsid w:val="00542E24"/>
    <w:rsid w:val="00543271"/>
    <w:rsid w:val="00543E89"/>
    <w:rsid w:val="00543F37"/>
    <w:rsid w:val="00544749"/>
    <w:rsid w:val="0054559C"/>
    <w:rsid w:val="00545C95"/>
    <w:rsid w:val="00550268"/>
    <w:rsid w:val="005537C7"/>
    <w:rsid w:val="005538E1"/>
    <w:rsid w:val="00553FF3"/>
    <w:rsid w:val="00554A9D"/>
    <w:rsid w:val="005550C0"/>
    <w:rsid w:val="00555327"/>
    <w:rsid w:val="00557735"/>
    <w:rsid w:val="00560A4F"/>
    <w:rsid w:val="00560B84"/>
    <w:rsid w:val="00560C2D"/>
    <w:rsid w:val="00562408"/>
    <w:rsid w:val="005627DE"/>
    <w:rsid w:val="005627E0"/>
    <w:rsid w:val="0056303B"/>
    <w:rsid w:val="00563445"/>
    <w:rsid w:val="0056414D"/>
    <w:rsid w:val="0056488E"/>
    <w:rsid w:val="00565BD1"/>
    <w:rsid w:val="00565FC5"/>
    <w:rsid w:val="005664F0"/>
    <w:rsid w:val="00566BD0"/>
    <w:rsid w:val="0056740E"/>
    <w:rsid w:val="0056769B"/>
    <w:rsid w:val="00567753"/>
    <w:rsid w:val="00567F8C"/>
    <w:rsid w:val="0057028F"/>
    <w:rsid w:val="005710E1"/>
    <w:rsid w:val="005727F9"/>
    <w:rsid w:val="00573863"/>
    <w:rsid w:val="00575478"/>
    <w:rsid w:val="005777E0"/>
    <w:rsid w:val="005805BB"/>
    <w:rsid w:val="00583354"/>
    <w:rsid w:val="00584E26"/>
    <w:rsid w:val="00584F5D"/>
    <w:rsid w:val="00585D9D"/>
    <w:rsid w:val="00586526"/>
    <w:rsid w:val="00586AEA"/>
    <w:rsid w:val="00587393"/>
    <w:rsid w:val="005916E9"/>
    <w:rsid w:val="00593406"/>
    <w:rsid w:val="0059371D"/>
    <w:rsid w:val="005947C9"/>
    <w:rsid w:val="005953D3"/>
    <w:rsid w:val="00595E7F"/>
    <w:rsid w:val="00595EA0"/>
    <w:rsid w:val="00597BBA"/>
    <w:rsid w:val="00597CD7"/>
    <w:rsid w:val="005A0265"/>
    <w:rsid w:val="005A032E"/>
    <w:rsid w:val="005A0383"/>
    <w:rsid w:val="005A0F08"/>
    <w:rsid w:val="005A16E9"/>
    <w:rsid w:val="005A1B08"/>
    <w:rsid w:val="005A32E7"/>
    <w:rsid w:val="005A3426"/>
    <w:rsid w:val="005A407E"/>
    <w:rsid w:val="005A47AF"/>
    <w:rsid w:val="005A48E1"/>
    <w:rsid w:val="005A543F"/>
    <w:rsid w:val="005A5982"/>
    <w:rsid w:val="005A729E"/>
    <w:rsid w:val="005B0B1D"/>
    <w:rsid w:val="005B1007"/>
    <w:rsid w:val="005B1BD6"/>
    <w:rsid w:val="005B1F85"/>
    <w:rsid w:val="005B23DF"/>
    <w:rsid w:val="005B2FD5"/>
    <w:rsid w:val="005B469F"/>
    <w:rsid w:val="005B47EE"/>
    <w:rsid w:val="005B5EF5"/>
    <w:rsid w:val="005B6180"/>
    <w:rsid w:val="005C0670"/>
    <w:rsid w:val="005C1205"/>
    <w:rsid w:val="005C1807"/>
    <w:rsid w:val="005C1B5A"/>
    <w:rsid w:val="005C21AB"/>
    <w:rsid w:val="005C229A"/>
    <w:rsid w:val="005C27E1"/>
    <w:rsid w:val="005C2F89"/>
    <w:rsid w:val="005C368F"/>
    <w:rsid w:val="005C4D01"/>
    <w:rsid w:val="005C5711"/>
    <w:rsid w:val="005C57B3"/>
    <w:rsid w:val="005C5946"/>
    <w:rsid w:val="005C68DB"/>
    <w:rsid w:val="005C76FA"/>
    <w:rsid w:val="005D225D"/>
    <w:rsid w:val="005D3A61"/>
    <w:rsid w:val="005D4B5A"/>
    <w:rsid w:val="005D50AA"/>
    <w:rsid w:val="005D54B1"/>
    <w:rsid w:val="005D5E0D"/>
    <w:rsid w:val="005D6A5A"/>
    <w:rsid w:val="005D7563"/>
    <w:rsid w:val="005E0322"/>
    <w:rsid w:val="005E092A"/>
    <w:rsid w:val="005E0C75"/>
    <w:rsid w:val="005E0E4B"/>
    <w:rsid w:val="005E124B"/>
    <w:rsid w:val="005E1343"/>
    <w:rsid w:val="005E23D4"/>
    <w:rsid w:val="005E33AC"/>
    <w:rsid w:val="005E33F8"/>
    <w:rsid w:val="005E417F"/>
    <w:rsid w:val="005E4283"/>
    <w:rsid w:val="005E49BC"/>
    <w:rsid w:val="005E4BB3"/>
    <w:rsid w:val="005E4E44"/>
    <w:rsid w:val="005E4EF3"/>
    <w:rsid w:val="005E5183"/>
    <w:rsid w:val="005E6DE8"/>
    <w:rsid w:val="005E7967"/>
    <w:rsid w:val="005F1245"/>
    <w:rsid w:val="005F262E"/>
    <w:rsid w:val="005F2986"/>
    <w:rsid w:val="005F345E"/>
    <w:rsid w:val="005F3896"/>
    <w:rsid w:val="005F5F9D"/>
    <w:rsid w:val="005F666E"/>
    <w:rsid w:val="00600941"/>
    <w:rsid w:val="00600F25"/>
    <w:rsid w:val="00601B74"/>
    <w:rsid w:val="00601CDF"/>
    <w:rsid w:val="00601F43"/>
    <w:rsid w:val="0060336A"/>
    <w:rsid w:val="00603EE2"/>
    <w:rsid w:val="00605459"/>
    <w:rsid w:val="00605AEC"/>
    <w:rsid w:val="0060689C"/>
    <w:rsid w:val="00607D9B"/>
    <w:rsid w:val="006100CA"/>
    <w:rsid w:val="00610C93"/>
    <w:rsid w:val="00610F25"/>
    <w:rsid w:val="0061187A"/>
    <w:rsid w:val="006140FC"/>
    <w:rsid w:val="00614CE7"/>
    <w:rsid w:val="00614D14"/>
    <w:rsid w:val="00614EB7"/>
    <w:rsid w:val="006151E3"/>
    <w:rsid w:val="00615903"/>
    <w:rsid w:val="006164FE"/>
    <w:rsid w:val="00616559"/>
    <w:rsid w:val="00616B2C"/>
    <w:rsid w:val="00616FDC"/>
    <w:rsid w:val="0061770D"/>
    <w:rsid w:val="00621594"/>
    <w:rsid w:val="006215D1"/>
    <w:rsid w:val="006218C8"/>
    <w:rsid w:val="00622B9A"/>
    <w:rsid w:val="0062350F"/>
    <w:rsid w:val="00623E24"/>
    <w:rsid w:val="00624582"/>
    <w:rsid w:val="00624882"/>
    <w:rsid w:val="006256AF"/>
    <w:rsid w:val="00626030"/>
    <w:rsid w:val="006263CF"/>
    <w:rsid w:val="00627263"/>
    <w:rsid w:val="00627740"/>
    <w:rsid w:val="00632AA8"/>
    <w:rsid w:val="006332AD"/>
    <w:rsid w:val="00633E47"/>
    <w:rsid w:val="00636A6D"/>
    <w:rsid w:val="00637658"/>
    <w:rsid w:val="00637922"/>
    <w:rsid w:val="00637C22"/>
    <w:rsid w:val="00640013"/>
    <w:rsid w:val="00640B80"/>
    <w:rsid w:val="006411F0"/>
    <w:rsid w:val="0064180C"/>
    <w:rsid w:val="00641928"/>
    <w:rsid w:val="00641970"/>
    <w:rsid w:val="0064201A"/>
    <w:rsid w:val="0064232C"/>
    <w:rsid w:val="0064236C"/>
    <w:rsid w:val="00642AA5"/>
    <w:rsid w:val="00642C6E"/>
    <w:rsid w:val="00643DC0"/>
    <w:rsid w:val="00644E44"/>
    <w:rsid w:val="00644EA3"/>
    <w:rsid w:val="0064572E"/>
    <w:rsid w:val="00645B48"/>
    <w:rsid w:val="006464D1"/>
    <w:rsid w:val="00647E7B"/>
    <w:rsid w:val="00650623"/>
    <w:rsid w:val="00651193"/>
    <w:rsid w:val="00651632"/>
    <w:rsid w:val="00651B79"/>
    <w:rsid w:val="00651FDB"/>
    <w:rsid w:val="006538F9"/>
    <w:rsid w:val="00653E8F"/>
    <w:rsid w:val="00655851"/>
    <w:rsid w:val="0065677C"/>
    <w:rsid w:val="006573CB"/>
    <w:rsid w:val="00657883"/>
    <w:rsid w:val="0066224E"/>
    <w:rsid w:val="00664153"/>
    <w:rsid w:val="006648B9"/>
    <w:rsid w:val="006654DD"/>
    <w:rsid w:val="00665640"/>
    <w:rsid w:val="00665752"/>
    <w:rsid w:val="00666DE3"/>
    <w:rsid w:val="006670DB"/>
    <w:rsid w:val="00667181"/>
    <w:rsid w:val="00667F0A"/>
    <w:rsid w:val="00667F4F"/>
    <w:rsid w:val="006719E2"/>
    <w:rsid w:val="00672259"/>
    <w:rsid w:val="006722E7"/>
    <w:rsid w:val="0067352D"/>
    <w:rsid w:val="00674119"/>
    <w:rsid w:val="00674761"/>
    <w:rsid w:val="00674D75"/>
    <w:rsid w:val="006752C7"/>
    <w:rsid w:val="006754B3"/>
    <w:rsid w:val="00676B24"/>
    <w:rsid w:val="00677385"/>
    <w:rsid w:val="006776A8"/>
    <w:rsid w:val="00677B72"/>
    <w:rsid w:val="00677D41"/>
    <w:rsid w:val="00677F00"/>
    <w:rsid w:val="006806DF"/>
    <w:rsid w:val="00680DD7"/>
    <w:rsid w:val="00683262"/>
    <w:rsid w:val="006844CB"/>
    <w:rsid w:val="0068467A"/>
    <w:rsid w:val="00685365"/>
    <w:rsid w:val="00685865"/>
    <w:rsid w:val="00685C33"/>
    <w:rsid w:val="00685F5C"/>
    <w:rsid w:val="00686EE2"/>
    <w:rsid w:val="00687592"/>
    <w:rsid w:val="00687CB3"/>
    <w:rsid w:val="00687FEE"/>
    <w:rsid w:val="00690571"/>
    <w:rsid w:val="00690753"/>
    <w:rsid w:val="00690D85"/>
    <w:rsid w:val="00691360"/>
    <w:rsid w:val="00691D01"/>
    <w:rsid w:val="00692BA5"/>
    <w:rsid w:val="00693D7E"/>
    <w:rsid w:val="00694150"/>
    <w:rsid w:val="00694754"/>
    <w:rsid w:val="006948E3"/>
    <w:rsid w:val="006948EE"/>
    <w:rsid w:val="00694F5D"/>
    <w:rsid w:val="00696019"/>
    <w:rsid w:val="00696A8F"/>
    <w:rsid w:val="006A0C62"/>
    <w:rsid w:val="006A15D4"/>
    <w:rsid w:val="006A2199"/>
    <w:rsid w:val="006A22AC"/>
    <w:rsid w:val="006A2C58"/>
    <w:rsid w:val="006A4383"/>
    <w:rsid w:val="006A4794"/>
    <w:rsid w:val="006A5B9C"/>
    <w:rsid w:val="006A619B"/>
    <w:rsid w:val="006A6427"/>
    <w:rsid w:val="006A680F"/>
    <w:rsid w:val="006A6A59"/>
    <w:rsid w:val="006A7AD3"/>
    <w:rsid w:val="006A7ED8"/>
    <w:rsid w:val="006B008D"/>
    <w:rsid w:val="006B10BD"/>
    <w:rsid w:val="006B1EAC"/>
    <w:rsid w:val="006B3084"/>
    <w:rsid w:val="006B4EF2"/>
    <w:rsid w:val="006B6140"/>
    <w:rsid w:val="006B6FBC"/>
    <w:rsid w:val="006B6FD0"/>
    <w:rsid w:val="006B70C8"/>
    <w:rsid w:val="006B71F3"/>
    <w:rsid w:val="006B7278"/>
    <w:rsid w:val="006B7BD6"/>
    <w:rsid w:val="006C0DC8"/>
    <w:rsid w:val="006C0EEA"/>
    <w:rsid w:val="006C1837"/>
    <w:rsid w:val="006C26AA"/>
    <w:rsid w:val="006C296B"/>
    <w:rsid w:val="006C2BA0"/>
    <w:rsid w:val="006C3569"/>
    <w:rsid w:val="006C41A5"/>
    <w:rsid w:val="006C4A16"/>
    <w:rsid w:val="006C5283"/>
    <w:rsid w:val="006C53FA"/>
    <w:rsid w:val="006C5A02"/>
    <w:rsid w:val="006C5A08"/>
    <w:rsid w:val="006C5CCF"/>
    <w:rsid w:val="006C70CC"/>
    <w:rsid w:val="006C7848"/>
    <w:rsid w:val="006C7C85"/>
    <w:rsid w:val="006C7CAD"/>
    <w:rsid w:val="006D198C"/>
    <w:rsid w:val="006D1F8F"/>
    <w:rsid w:val="006D5C54"/>
    <w:rsid w:val="006D5DA9"/>
    <w:rsid w:val="006D669C"/>
    <w:rsid w:val="006D7CB2"/>
    <w:rsid w:val="006E03AB"/>
    <w:rsid w:val="006E11D3"/>
    <w:rsid w:val="006E140C"/>
    <w:rsid w:val="006E1C3D"/>
    <w:rsid w:val="006E31AB"/>
    <w:rsid w:val="006E32BD"/>
    <w:rsid w:val="006E7114"/>
    <w:rsid w:val="006E7420"/>
    <w:rsid w:val="006E7B5E"/>
    <w:rsid w:val="006F0632"/>
    <w:rsid w:val="006F0D09"/>
    <w:rsid w:val="006F17E2"/>
    <w:rsid w:val="006F3DF7"/>
    <w:rsid w:val="006F4AFC"/>
    <w:rsid w:val="006F4E28"/>
    <w:rsid w:val="006F7344"/>
    <w:rsid w:val="0070050E"/>
    <w:rsid w:val="00700A21"/>
    <w:rsid w:val="00701C0A"/>
    <w:rsid w:val="00701E25"/>
    <w:rsid w:val="00701F86"/>
    <w:rsid w:val="00702838"/>
    <w:rsid w:val="0070297E"/>
    <w:rsid w:val="0070316F"/>
    <w:rsid w:val="00703AD9"/>
    <w:rsid w:val="00703F49"/>
    <w:rsid w:val="00704F62"/>
    <w:rsid w:val="00705F42"/>
    <w:rsid w:val="00706538"/>
    <w:rsid w:val="00706E5C"/>
    <w:rsid w:val="00707790"/>
    <w:rsid w:val="00710CCA"/>
    <w:rsid w:val="0071111A"/>
    <w:rsid w:val="007122FC"/>
    <w:rsid w:val="00712321"/>
    <w:rsid w:val="0071283F"/>
    <w:rsid w:val="00712EBB"/>
    <w:rsid w:val="00713C82"/>
    <w:rsid w:val="00714BE3"/>
    <w:rsid w:val="00714BF2"/>
    <w:rsid w:val="0071505B"/>
    <w:rsid w:val="007157B2"/>
    <w:rsid w:val="00715980"/>
    <w:rsid w:val="00715FF9"/>
    <w:rsid w:val="007169E3"/>
    <w:rsid w:val="00716CE1"/>
    <w:rsid w:val="00717AA3"/>
    <w:rsid w:val="0072005B"/>
    <w:rsid w:val="007202AE"/>
    <w:rsid w:val="0072051F"/>
    <w:rsid w:val="007205C0"/>
    <w:rsid w:val="00720B3A"/>
    <w:rsid w:val="007220A5"/>
    <w:rsid w:val="00722A10"/>
    <w:rsid w:val="00722D93"/>
    <w:rsid w:val="007247EA"/>
    <w:rsid w:val="00725173"/>
    <w:rsid w:val="007251D0"/>
    <w:rsid w:val="00726C8A"/>
    <w:rsid w:val="00730179"/>
    <w:rsid w:val="00730B0B"/>
    <w:rsid w:val="00731750"/>
    <w:rsid w:val="0073199E"/>
    <w:rsid w:val="00731DF1"/>
    <w:rsid w:val="00732491"/>
    <w:rsid w:val="00732764"/>
    <w:rsid w:val="00732999"/>
    <w:rsid w:val="0073392B"/>
    <w:rsid w:val="00733FC2"/>
    <w:rsid w:val="00735779"/>
    <w:rsid w:val="00736F2E"/>
    <w:rsid w:val="00737BC7"/>
    <w:rsid w:val="00740244"/>
    <w:rsid w:val="00741F4A"/>
    <w:rsid w:val="0074280F"/>
    <w:rsid w:val="00742F94"/>
    <w:rsid w:val="007430D0"/>
    <w:rsid w:val="0074348E"/>
    <w:rsid w:val="00747B40"/>
    <w:rsid w:val="007512BA"/>
    <w:rsid w:val="00751377"/>
    <w:rsid w:val="00751D2C"/>
    <w:rsid w:val="0075272E"/>
    <w:rsid w:val="0075273F"/>
    <w:rsid w:val="00752B0D"/>
    <w:rsid w:val="00753CC4"/>
    <w:rsid w:val="00753EAC"/>
    <w:rsid w:val="00754191"/>
    <w:rsid w:val="0075553F"/>
    <w:rsid w:val="007557AD"/>
    <w:rsid w:val="00756FCF"/>
    <w:rsid w:val="007570C3"/>
    <w:rsid w:val="00761294"/>
    <w:rsid w:val="0076149E"/>
    <w:rsid w:val="00761A3E"/>
    <w:rsid w:val="00761FCF"/>
    <w:rsid w:val="00762C0A"/>
    <w:rsid w:val="007632A1"/>
    <w:rsid w:val="00763541"/>
    <w:rsid w:val="00763B06"/>
    <w:rsid w:val="00764CF7"/>
    <w:rsid w:val="007657F0"/>
    <w:rsid w:val="00765894"/>
    <w:rsid w:val="007662B1"/>
    <w:rsid w:val="00767BE8"/>
    <w:rsid w:val="0077098E"/>
    <w:rsid w:val="00771667"/>
    <w:rsid w:val="007718A1"/>
    <w:rsid w:val="00772050"/>
    <w:rsid w:val="007723A4"/>
    <w:rsid w:val="007729D1"/>
    <w:rsid w:val="0077473D"/>
    <w:rsid w:val="007749CD"/>
    <w:rsid w:val="00775214"/>
    <w:rsid w:val="00775388"/>
    <w:rsid w:val="00776D43"/>
    <w:rsid w:val="0077741A"/>
    <w:rsid w:val="00777992"/>
    <w:rsid w:val="007831B8"/>
    <w:rsid w:val="0078525E"/>
    <w:rsid w:val="00785C60"/>
    <w:rsid w:val="00785E4B"/>
    <w:rsid w:val="00786646"/>
    <w:rsid w:val="00787078"/>
    <w:rsid w:val="0078767B"/>
    <w:rsid w:val="00787DA1"/>
    <w:rsid w:val="0079052B"/>
    <w:rsid w:val="00790867"/>
    <w:rsid w:val="007909A5"/>
    <w:rsid w:val="00790C88"/>
    <w:rsid w:val="0079188F"/>
    <w:rsid w:val="0079241D"/>
    <w:rsid w:val="00792E75"/>
    <w:rsid w:val="007933AC"/>
    <w:rsid w:val="0079388F"/>
    <w:rsid w:val="0079490B"/>
    <w:rsid w:val="00794D9C"/>
    <w:rsid w:val="007954CE"/>
    <w:rsid w:val="007957DD"/>
    <w:rsid w:val="00795B30"/>
    <w:rsid w:val="00795BE3"/>
    <w:rsid w:val="00795F51"/>
    <w:rsid w:val="00796F9E"/>
    <w:rsid w:val="00797C51"/>
    <w:rsid w:val="007A077C"/>
    <w:rsid w:val="007A0997"/>
    <w:rsid w:val="007A0E4A"/>
    <w:rsid w:val="007A0E8E"/>
    <w:rsid w:val="007A0F47"/>
    <w:rsid w:val="007A14CC"/>
    <w:rsid w:val="007A1608"/>
    <w:rsid w:val="007A1EB2"/>
    <w:rsid w:val="007A26D2"/>
    <w:rsid w:val="007A2C67"/>
    <w:rsid w:val="007A30E0"/>
    <w:rsid w:val="007A31AD"/>
    <w:rsid w:val="007A3897"/>
    <w:rsid w:val="007A4596"/>
    <w:rsid w:val="007A4E63"/>
    <w:rsid w:val="007A4F73"/>
    <w:rsid w:val="007A5230"/>
    <w:rsid w:val="007A5A9F"/>
    <w:rsid w:val="007A73A2"/>
    <w:rsid w:val="007A774D"/>
    <w:rsid w:val="007B0DF9"/>
    <w:rsid w:val="007B135E"/>
    <w:rsid w:val="007B15F0"/>
    <w:rsid w:val="007B1BEA"/>
    <w:rsid w:val="007B2093"/>
    <w:rsid w:val="007B289B"/>
    <w:rsid w:val="007B42F3"/>
    <w:rsid w:val="007B4512"/>
    <w:rsid w:val="007B6028"/>
    <w:rsid w:val="007B6B7C"/>
    <w:rsid w:val="007B74DB"/>
    <w:rsid w:val="007C175E"/>
    <w:rsid w:val="007C1B40"/>
    <w:rsid w:val="007C1D0F"/>
    <w:rsid w:val="007C1E4E"/>
    <w:rsid w:val="007C26A9"/>
    <w:rsid w:val="007C29C8"/>
    <w:rsid w:val="007C329D"/>
    <w:rsid w:val="007C58C7"/>
    <w:rsid w:val="007C5B84"/>
    <w:rsid w:val="007C61D4"/>
    <w:rsid w:val="007C690E"/>
    <w:rsid w:val="007C6FC4"/>
    <w:rsid w:val="007D246A"/>
    <w:rsid w:val="007D32D9"/>
    <w:rsid w:val="007D3A0A"/>
    <w:rsid w:val="007D3F64"/>
    <w:rsid w:val="007D4023"/>
    <w:rsid w:val="007D4485"/>
    <w:rsid w:val="007D5534"/>
    <w:rsid w:val="007D7AD3"/>
    <w:rsid w:val="007E00F9"/>
    <w:rsid w:val="007E2C15"/>
    <w:rsid w:val="007E3D47"/>
    <w:rsid w:val="007E41D4"/>
    <w:rsid w:val="007E584F"/>
    <w:rsid w:val="007E60E2"/>
    <w:rsid w:val="007E6403"/>
    <w:rsid w:val="007E730F"/>
    <w:rsid w:val="007E7ADC"/>
    <w:rsid w:val="007F0E6A"/>
    <w:rsid w:val="007F194C"/>
    <w:rsid w:val="007F236A"/>
    <w:rsid w:val="007F286B"/>
    <w:rsid w:val="007F38B4"/>
    <w:rsid w:val="007F3D0F"/>
    <w:rsid w:val="007F4019"/>
    <w:rsid w:val="007F440C"/>
    <w:rsid w:val="007F4E79"/>
    <w:rsid w:val="007F55D8"/>
    <w:rsid w:val="007F61BF"/>
    <w:rsid w:val="007F65D4"/>
    <w:rsid w:val="007F671E"/>
    <w:rsid w:val="007F70A1"/>
    <w:rsid w:val="008011C9"/>
    <w:rsid w:val="00801325"/>
    <w:rsid w:val="008014F6"/>
    <w:rsid w:val="008020E2"/>
    <w:rsid w:val="008025A8"/>
    <w:rsid w:val="00802D4B"/>
    <w:rsid w:val="0080411F"/>
    <w:rsid w:val="00804B08"/>
    <w:rsid w:val="00804E36"/>
    <w:rsid w:val="0080526A"/>
    <w:rsid w:val="00805451"/>
    <w:rsid w:val="008063CF"/>
    <w:rsid w:val="008063E2"/>
    <w:rsid w:val="008064F8"/>
    <w:rsid w:val="00806C42"/>
    <w:rsid w:val="00806D4E"/>
    <w:rsid w:val="00810FF3"/>
    <w:rsid w:val="0081154B"/>
    <w:rsid w:val="00811823"/>
    <w:rsid w:val="008125CE"/>
    <w:rsid w:val="00812A87"/>
    <w:rsid w:val="00812D4F"/>
    <w:rsid w:val="008131E6"/>
    <w:rsid w:val="00814899"/>
    <w:rsid w:val="008151E2"/>
    <w:rsid w:val="008176A9"/>
    <w:rsid w:val="00817BCE"/>
    <w:rsid w:val="00820487"/>
    <w:rsid w:val="00820909"/>
    <w:rsid w:val="0082124E"/>
    <w:rsid w:val="008222E6"/>
    <w:rsid w:val="008223DD"/>
    <w:rsid w:val="008229B8"/>
    <w:rsid w:val="008234D0"/>
    <w:rsid w:val="008236D0"/>
    <w:rsid w:val="00824373"/>
    <w:rsid w:val="0082465D"/>
    <w:rsid w:val="008253DB"/>
    <w:rsid w:val="00825674"/>
    <w:rsid w:val="00827368"/>
    <w:rsid w:val="00827A8D"/>
    <w:rsid w:val="00827E9D"/>
    <w:rsid w:val="00830E0D"/>
    <w:rsid w:val="00831310"/>
    <w:rsid w:val="0083185D"/>
    <w:rsid w:val="00831AA7"/>
    <w:rsid w:val="0083242D"/>
    <w:rsid w:val="00832FA8"/>
    <w:rsid w:val="00833CFD"/>
    <w:rsid w:val="0083544A"/>
    <w:rsid w:val="00836240"/>
    <w:rsid w:val="00836531"/>
    <w:rsid w:val="008375BE"/>
    <w:rsid w:val="00837612"/>
    <w:rsid w:val="0083784F"/>
    <w:rsid w:val="00841263"/>
    <w:rsid w:val="0084520C"/>
    <w:rsid w:val="008465F4"/>
    <w:rsid w:val="0085002E"/>
    <w:rsid w:val="00850BAC"/>
    <w:rsid w:val="008512A7"/>
    <w:rsid w:val="0085136A"/>
    <w:rsid w:val="00851B5D"/>
    <w:rsid w:val="00852412"/>
    <w:rsid w:val="008558E2"/>
    <w:rsid w:val="00855909"/>
    <w:rsid w:val="008561FD"/>
    <w:rsid w:val="008576A2"/>
    <w:rsid w:val="008576BD"/>
    <w:rsid w:val="0085A862"/>
    <w:rsid w:val="00860260"/>
    <w:rsid w:val="00860A4C"/>
    <w:rsid w:val="00860FEB"/>
    <w:rsid w:val="00861EFB"/>
    <w:rsid w:val="008620FE"/>
    <w:rsid w:val="0086223E"/>
    <w:rsid w:val="00862D6B"/>
    <w:rsid w:val="0086303C"/>
    <w:rsid w:val="00863B96"/>
    <w:rsid w:val="00863BBE"/>
    <w:rsid w:val="008649D8"/>
    <w:rsid w:val="00864DC4"/>
    <w:rsid w:val="00871137"/>
    <w:rsid w:val="008732F7"/>
    <w:rsid w:val="00873968"/>
    <w:rsid w:val="00873F17"/>
    <w:rsid w:val="00874E72"/>
    <w:rsid w:val="008754B4"/>
    <w:rsid w:val="00876197"/>
    <w:rsid w:val="0087629F"/>
    <w:rsid w:val="008815B2"/>
    <w:rsid w:val="008824BA"/>
    <w:rsid w:val="00883664"/>
    <w:rsid w:val="00883857"/>
    <w:rsid w:val="00883F65"/>
    <w:rsid w:val="00884142"/>
    <w:rsid w:val="008848DE"/>
    <w:rsid w:val="008849E0"/>
    <w:rsid w:val="008903D0"/>
    <w:rsid w:val="0089074C"/>
    <w:rsid w:val="00890CE0"/>
    <w:rsid w:val="0089151F"/>
    <w:rsid w:val="00891CD0"/>
    <w:rsid w:val="00892060"/>
    <w:rsid w:val="008921DF"/>
    <w:rsid w:val="00892347"/>
    <w:rsid w:val="008928CB"/>
    <w:rsid w:val="00892944"/>
    <w:rsid w:val="00893D86"/>
    <w:rsid w:val="008953B9"/>
    <w:rsid w:val="00896C52"/>
    <w:rsid w:val="008970F1"/>
    <w:rsid w:val="00897702"/>
    <w:rsid w:val="00897A92"/>
    <w:rsid w:val="00897FA9"/>
    <w:rsid w:val="00897FE2"/>
    <w:rsid w:val="008A0975"/>
    <w:rsid w:val="008A0BA3"/>
    <w:rsid w:val="008A0BEC"/>
    <w:rsid w:val="008A12EF"/>
    <w:rsid w:val="008A1BEB"/>
    <w:rsid w:val="008A2217"/>
    <w:rsid w:val="008A30C1"/>
    <w:rsid w:val="008A3865"/>
    <w:rsid w:val="008A3D31"/>
    <w:rsid w:val="008A3DBC"/>
    <w:rsid w:val="008A3EA7"/>
    <w:rsid w:val="008A4BA0"/>
    <w:rsid w:val="008A58C0"/>
    <w:rsid w:val="008A636F"/>
    <w:rsid w:val="008A74FA"/>
    <w:rsid w:val="008A7F26"/>
    <w:rsid w:val="008B0058"/>
    <w:rsid w:val="008B0490"/>
    <w:rsid w:val="008B200F"/>
    <w:rsid w:val="008B2AA0"/>
    <w:rsid w:val="008B2B98"/>
    <w:rsid w:val="008B36D3"/>
    <w:rsid w:val="008B3C37"/>
    <w:rsid w:val="008B4A5A"/>
    <w:rsid w:val="008B5FC4"/>
    <w:rsid w:val="008B6B31"/>
    <w:rsid w:val="008B6F71"/>
    <w:rsid w:val="008B70E1"/>
    <w:rsid w:val="008C1440"/>
    <w:rsid w:val="008C14D9"/>
    <w:rsid w:val="008C25C5"/>
    <w:rsid w:val="008C2A00"/>
    <w:rsid w:val="008C3000"/>
    <w:rsid w:val="008C32CE"/>
    <w:rsid w:val="008C35F6"/>
    <w:rsid w:val="008C3B23"/>
    <w:rsid w:val="008C3CE9"/>
    <w:rsid w:val="008C538C"/>
    <w:rsid w:val="008C54E5"/>
    <w:rsid w:val="008C5CB8"/>
    <w:rsid w:val="008C7098"/>
    <w:rsid w:val="008C716E"/>
    <w:rsid w:val="008C7201"/>
    <w:rsid w:val="008D0160"/>
    <w:rsid w:val="008D0567"/>
    <w:rsid w:val="008D0CB5"/>
    <w:rsid w:val="008D1080"/>
    <w:rsid w:val="008D1FF4"/>
    <w:rsid w:val="008D259E"/>
    <w:rsid w:val="008D262C"/>
    <w:rsid w:val="008D2B5A"/>
    <w:rsid w:val="008D2E17"/>
    <w:rsid w:val="008D36BD"/>
    <w:rsid w:val="008D4B1C"/>
    <w:rsid w:val="008D4D7E"/>
    <w:rsid w:val="008D5D3D"/>
    <w:rsid w:val="008D6568"/>
    <w:rsid w:val="008D769D"/>
    <w:rsid w:val="008E000B"/>
    <w:rsid w:val="008E13C1"/>
    <w:rsid w:val="008E151C"/>
    <w:rsid w:val="008E1619"/>
    <w:rsid w:val="008E3DAF"/>
    <w:rsid w:val="008E537E"/>
    <w:rsid w:val="008E57AE"/>
    <w:rsid w:val="008E658C"/>
    <w:rsid w:val="008E6598"/>
    <w:rsid w:val="008E7066"/>
    <w:rsid w:val="008E779E"/>
    <w:rsid w:val="008F16BF"/>
    <w:rsid w:val="008F1BB0"/>
    <w:rsid w:val="008F2EC9"/>
    <w:rsid w:val="008F3F82"/>
    <w:rsid w:val="008F429D"/>
    <w:rsid w:val="008F56A1"/>
    <w:rsid w:val="008F72BC"/>
    <w:rsid w:val="008F72F5"/>
    <w:rsid w:val="008F75F9"/>
    <w:rsid w:val="009007F2"/>
    <w:rsid w:val="009021E6"/>
    <w:rsid w:val="0090311A"/>
    <w:rsid w:val="009041BF"/>
    <w:rsid w:val="00904281"/>
    <w:rsid w:val="0090465A"/>
    <w:rsid w:val="009046DF"/>
    <w:rsid w:val="0090719C"/>
    <w:rsid w:val="00911624"/>
    <w:rsid w:val="009119A8"/>
    <w:rsid w:val="00912386"/>
    <w:rsid w:val="009136F9"/>
    <w:rsid w:val="00913C79"/>
    <w:rsid w:val="00914655"/>
    <w:rsid w:val="00916A85"/>
    <w:rsid w:val="00916E3B"/>
    <w:rsid w:val="0092022B"/>
    <w:rsid w:val="00920D9C"/>
    <w:rsid w:val="0092110E"/>
    <w:rsid w:val="00921DD7"/>
    <w:rsid w:val="00923709"/>
    <w:rsid w:val="009238E7"/>
    <w:rsid w:val="00923951"/>
    <w:rsid w:val="00923D73"/>
    <w:rsid w:val="0092452A"/>
    <w:rsid w:val="00924C30"/>
    <w:rsid w:val="00925B0B"/>
    <w:rsid w:val="009274C7"/>
    <w:rsid w:val="009313EE"/>
    <w:rsid w:val="009316C1"/>
    <w:rsid w:val="00932124"/>
    <w:rsid w:val="0093233D"/>
    <w:rsid w:val="0093234F"/>
    <w:rsid w:val="00932B81"/>
    <w:rsid w:val="00932DFD"/>
    <w:rsid w:val="00933BEE"/>
    <w:rsid w:val="009347A4"/>
    <w:rsid w:val="00934F04"/>
    <w:rsid w:val="0093527F"/>
    <w:rsid w:val="00935C41"/>
    <w:rsid w:val="00935E69"/>
    <w:rsid w:val="009361BB"/>
    <w:rsid w:val="009371A2"/>
    <w:rsid w:val="009405E3"/>
    <w:rsid w:val="009417EC"/>
    <w:rsid w:val="00941CD4"/>
    <w:rsid w:val="0094212A"/>
    <w:rsid w:val="00942150"/>
    <w:rsid w:val="009429EF"/>
    <w:rsid w:val="00943616"/>
    <w:rsid w:val="009441A8"/>
    <w:rsid w:val="00944845"/>
    <w:rsid w:val="00945182"/>
    <w:rsid w:val="009454CE"/>
    <w:rsid w:val="00945A3C"/>
    <w:rsid w:val="00945E8D"/>
    <w:rsid w:val="00947598"/>
    <w:rsid w:val="00947634"/>
    <w:rsid w:val="00950029"/>
    <w:rsid w:val="00950438"/>
    <w:rsid w:val="00951AA8"/>
    <w:rsid w:val="00952389"/>
    <w:rsid w:val="009534C2"/>
    <w:rsid w:val="009540E9"/>
    <w:rsid w:val="00954B2F"/>
    <w:rsid w:val="00954DEC"/>
    <w:rsid w:val="0095520F"/>
    <w:rsid w:val="00955E32"/>
    <w:rsid w:val="00955F9E"/>
    <w:rsid w:val="00962713"/>
    <w:rsid w:val="00963041"/>
    <w:rsid w:val="00963F27"/>
    <w:rsid w:val="009645A0"/>
    <w:rsid w:val="0096472E"/>
    <w:rsid w:val="0096492F"/>
    <w:rsid w:val="00964C82"/>
    <w:rsid w:val="009659D7"/>
    <w:rsid w:val="00965CAD"/>
    <w:rsid w:val="009660C7"/>
    <w:rsid w:val="009674C4"/>
    <w:rsid w:val="009701B0"/>
    <w:rsid w:val="009705A5"/>
    <w:rsid w:val="00971108"/>
    <w:rsid w:val="009717C5"/>
    <w:rsid w:val="00972934"/>
    <w:rsid w:val="00972ED2"/>
    <w:rsid w:val="00975E5F"/>
    <w:rsid w:val="00976047"/>
    <w:rsid w:val="00976868"/>
    <w:rsid w:val="0097698B"/>
    <w:rsid w:val="00976D67"/>
    <w:rsid w:val="00977DB8"/>
    <w:rsid w:val="00981FA0"/>
    <w:rsid w:val="009827BB"/>
    <w:rsid w:val="00983505"/>
    <w:rsid w:val="0098401E"/>
    <w:rsid w:val="00985451"/>
    <w:rsid w:val="00985E5B"/>
    <w:rsid w:val="00986145"/>
    <w:rsid w:val="00990662"/>
    <w:rsid w:val="00991983"/>
    <w:rsid w:val="00991A34"/>
    <w:rsid w:val="00991DEB"/>
    <w:rsid w:val="00992B12"/>
    <w:rsid w:val="0099328D"/>
    <w:rsid w:val="00993850"/>
    <w:rsid w:val="00993CF6"/>
    <w:rsid w:val="00993F29"/>
    <w:rsid w:val="009949A2"/>
    <w:rsid w:val="00996AD6"/>
    <w:rsid w:val="009A1B78"/>
    <w:rsid w:val="009A1F09"/>
    <w:rsid w:val="009A2207"/>
    <w:rsid w:val="009A280F"/>
    <w:rsid w:val="009A3103"/>
    <w:rsid w:val="009A5FD7"/>
    <w:rsid w:val="009A6D75"/>
    <w:rsid w:val="009B1B7D"/>
    <w:rsid w:val="009B213E"/>
    <w:rsid w:val="009B30F7"/>
    <w:rsid w:val="009B3977"/>
    <w:rsid w:val="009B4917"/>
    <w:rsid w:val="009B5283"/>
    <w:rsid w:val="009B5445"/>
    <w:rsid w:val="009B5A8C"/>
    <w:rsid w:val="009B5DFD"/>
    <w:rsid w:val="009B60CA"/>
    <w:rsid w:val="009B65DA"/>
    <w:rsid w:val="009B70B9"/>
    <w:rsid w:val="009C0D7D"/>
    <w:rsid w:val="009C1054"/>
    <w:rsid w:val="009C1D0D"/>
    <w:rsid w:val="009C3559"/>
    <w:rsid w:val="009C3952"/>
    <w:rsid w:val="009C434A"/>
    <w:rsid w:val="009C4F2E"/>
    <w:rsid w:val="009C5688"/>
    <w:rsid w:val="009C716B"/>
    <w:rsid w:val="009C7429"/>
    <w:rsid w:val="009D31A0"/>
    <w:rsid w:val="009D3379"/>
    <w:rsid w:val="009D4FEA"/>
    <w:rsid w:val="009D61AE"/>
    <w:rsid w:val="009E03FE"/>
    <w:rsid w:val="009E05E3"/>
    <w:rsid w:val="009E12F7"/>
    <w:rsid w:val="009E1585"/>
    <w:rsid w:val="009E1B07"/>
    <w:rsid w:val="009E34F4"/>
    <w:rsid w:val="009E362B"/>
    <w:rsid w:val="009E3AD1"/>
    <w:rsid w:val="009E3C0E"/>
    <w:rsid w:val="009E4242"/>
    <w:rsid w:val="009E4D07"/>
    <w:rsid w:val="009E6B6D"/>
    <w:rsid w:val="009E73E5"/>
    <w:rsid w:val="009E7807"/>
    <w:rsid w:val="009E7B2E"/>
    <w:rsid w:val="009E7D2C"/>
    <w:rsid w:val="009F0A61"/>
    <w:rsid w:val="009F1E11"/>
    <w:rsid w:val="009F28C8"/>
    <w:rsid w:val="009F2EA5"/>
    <w:rsid w:val="009F32C9"/>
    <w:rsid w:val="009F4319"/>
    <w:rsid w:val="009F46AD"/>
    <w:rsid w:val="009F46BF"/>
    <w:rsid w:val="009F537F"/>
    <w:rsid w:val="009F5995"/>
    <w:rsid w:val="009F6502"/>
    <w:rsid w:val="009F6F99"/>
    <w:rsid w:val="009F7144"/>
    <w:rsid w:val="009F733D"/>
    <w:rsid w:val="009F776D"/>
    <w:rsid w:val="00A0026C"/>
    <w:rsid w:val="00A02800"/>
    <w:rsid w:val="00A031ED"/>
    <w:rsid w:val="00A0372A"/>
    <w:rsid w:val="00A03C18"/>
    <w:rsid w:val="00A03FDA"/>
    <w:rsid w:val="00A040AF"/>
    <w:rsid w:val="00A04CAB"/>
    <w:rsid w:val="00A066AC"/>
    <w:rsid w:val="00A07F40"/>
    <w:rsid w:val="00A1046A"/>
    <w:rsid w:val="00A10627"/>
    <w:rsid w:val="00A106C4"/>
    <w:rsid w:val="00A10783"/>
    <w:rsid w:val="00A10C83"/>
    <w:rsid w:val="00A11F69"/>
    <w:rsid w:val="00A13748"/>
    <w:rsid w:val="00A13CDF"/>
    <w:rsid w:val="00A145F0"/>
    <w:rsid w:val="00A14A35"/>
    <w:rsid w:val="00A155E1"/>
    <w:rsid w:val="00A15B9E"/>
    <w:rsid w:val="00A1697D"/>
    <w:rsid w:val="00A16DED"/>
    <w:rsid w:val="00A17AFD"/>
    <w:rsid w:val="00A20E03"/>
    <w:rsid w:val="00A21C90"/>
    <w:rsid w:val="00A22529"/>
    <w:rsid w:val="00A22AE5"/>
    <w:rsid w:val="00A23034"/>
    <w:rsid w:val="00A2303A"/>
    <w:rsid w:val="00A2369B"/>
    <w:rsid w:val="00A24B1E"/>
    <w:rsid w:val="00A24F4E"/>
    <w:rsid w:val="00A26DE8"/>
    <w:rsid w:val="00A273AE"/>
    <w:rsid w:val="00A27E4C"/>
    <w:rsid w:val="00A30624"/>
    <w:rsid w:val="00A30884"/>
    <w:rsid w:val="00A31125"/>
    <w:rsid w:val="00A3146C"/>
    <w:rsid w:val="00A3211F"/>
    <w:rsid w:val="00A32272"/>
    <w:rsid w:val="00A32ED6"/>
    <w:rsid w:val="00A3353F"/>
    <w:rsid w:val="00A351FC"/>
    <w:rsid w:val="00A353AA"/>
    <w:rsid w:val="00A35869"/>
    <w:rsid w:val="00A35E82"/>
    <w:rsid w:val="00A3629E"/>
    <w:rsid w:val="00A37B81"/>
    <w:rsid w:val="00A400F9"/>
    <w:rsid w:val="00A40193"/>
    <w:rsid w:val="00A4146E"/>
    <w:rsid w:val="00A41E07"/>
    <w:rsid w:val="00A42520"/>
    <w:rsid w:val="00A435F3"/>
    <w:rsid w:val="00A43890"/>
    <w:rsid w:val="00A43A18"/>
    <w:rsid w:val="00A43F2B"/>
    <w:rsid w:val="00A44AAE"/>
    <w:rsid w:val="00A4679C"/>
    <w:rsid w:val="00A46E41"/>
    <w:rsid w:val="00A47D75"/>
    <w:rsid w:val="00A50E45"/>
    <w:rsid w:val="00A51CA9"/>
    <w:rsid w:val="00A52BA5"/>
    <w:rsid w:val="00A54BC2"/>
    <w:rsid w:val="00A55741"/>
    <w:rsid w:val="00A56918"/>
    <w:rsid w:val="00A56E07"/>
    <w:rsid w:val="00A60950"/>
    <w:rsid w:val="00A609BB"/>
    <w:rsid w:val="00A60EF5"/>
    <w:rsid w:val="00A62572"/>
    <w:rsid w:val="00A634C5"/>
    <w:rsid w:val="00A6388D"/>
    <w:rsid w:val="00A641C2"/>
    <w:rsid w:val="00A6495F"/>
    <w:rsid w:val="00A64FE1"/>
    <w:rsid w:val="00A66F46"/>
    <w:rsid w:val="00A67B16"/>
    <w:rsid w:val="00A67C10"/>
    <w:rsid w:val="00A700EF"/>
    <w:rsid w:val="00A702AF"/>
    <w:rsid w:val="00A716B8"/>
    <w:rsid w:val="00A72724"/>
    <w:rsid w:val="00A72C07"/>
    <w:rsid w:val="00A72FE6"/>
    <w:rsid w:val="00A73087"/>
    <w:rsid w:val="00A7342A"/>
    <w:rsid w:val="00A74732"/>
    <w:rsid w:val="00A751F9"/>
    <w:rsid w:val="00A75234"/>
    <w:rsid w:val="00A755EA"/>
    <w:rsid w:val="00A75C5E"/>
    <w:rsid w:val="00A76384"/>
    <w:rsid w:val="00A76890"/>
    <w:rsid w:val="00A7768C"/>
    <w:rsid w:val="00A7771F"/>
    <w:rsid w:val="00A77B1E"/>
    <w:rsid w:val="00A804CD"/>
    <w:rsid w:val="00A820AA"/>
    <w:rsid w:val="00A82E2A"/>
    <w:rsid w:val="00A83EC1"/>
    <w:rsid w:val="00A8599D"/>
    <w:rsid w:val="00A85C3B"/>
    <w:rsid w:val="00A8633D"/>
    <w:rsid w:val="00A86D8E"/>
    <w:rsid w:val="00A903E4"/>
    <w:rsid w:val="00A9098A"/>
    <w:rsid w:val="00A91015"/>
    <w:rsid w:val="00A91538"/>
    <w:rsid w:val="00A9204C"/>
    <w:rsid w:val="00A945DF"/>
    <w:rsid w:val="00A952E5"/>
    <w:rsid w:val="00A95B78"/>
    <w:rsid w:val="00A96326"/>
    <w:rsid w:val="00A97067"/>
    <w:rsid w:val="00AA03EA"/>
    <w:rsid w:val="00AA12C1"/>
    <w:rsid w:val="00AA1752"/>
    <w:rsid w:val="00AA1A46"/>
    <w:rsid w:val="00AA1CBD"/>
    <w:rsid w:val="00AA323A"/>
    <w:rsid w:val="00AA3533"/>
    <w:rsid w:val="00AA3667"/>
    <w:rsid w:val="00AA37F7"/>
    <w:rsid w:val="00AA3B76"/>
    <w:rsid w:val="00AA4156"/>
    <w:rsid w:val="00AA49B8"/>
    <w:rsid w:val="00AA54AB"/>
    <w:rsid w:val="00AA5C57"/>
    <w:rsid w:val="00AA5C96"/>
    <w:rsid w:val="00AA5F3E"/>
    <w:rsid w:val="00AA73EE"/>
    <w:rsid w:val="00AA78BB"/>
    <w:rsid w:val="00AB158A"/>
    <w:rsid w:val="00AB16BC"/>
    <w:rsid w:val="00AB254B"/>
    <w:rsid w:val="00AB3771"/>
    <w:rsid w:val="00AB3B5E"/>
    <w:rsid w:val="00AB4623"/>
    <w:rsid w:val="00AB4764"/>
    <w:rsid w:val="00AB51F5"/>
    <w:rsid w:val="00AB5CFB"/>
    <w:rsid w:val="00AB6959"/>
    <w:rsid w:val="00AB71A0"/>
    <w:rsid w:val="00AB75F5"/>
    <w:rsid w:val="00AC04B5"/>
    <w:rsid w:val="00AC0F07"/>
    <w:rsid w:val="00AC12D2"/>
    <w:rsid w:val="00AC13BC"/>
    <w:rsid w:val="00AC1CD7"/>
    <w:rsid w:val="00AC25EA"/>
    <w:rsid w:val="00AC3025"/>
    <w:rsid w:val="00AC3AC0"/>
    <w:rsid w:val="00AC40F2"/>
    <w:rsid w:val="00AC49D4"/>
    <w:rsid w:val="00AC6030"/>
    <w:rsid w:val="00AC65EB"/>
    <w:rsid w:val="00AC6842"/>
    <w:rsid w:val="00AC685C"/>
    <w:rsid w:val="00AC69FA"/>
    <w:rsid w:val="00AC7D79"/>
    <w:rsid w:val="00AD1078"/>
    <w:rsid w:val="00AD3AB8"/>
    <w:rsid w:val="00AD3C36"/>
    <w:rsid w:val="00AD3DD1"/>
    <w:rsid w:val="00AD4430"/>
    <w:rsid w:val="00AD4AA9"/>
    <w:rsid w:val="00AD5954"/>
    <w:rsid w:val="00AD5A9F"/>
    <w:rsid w:val="00AD6998"/>
    <w:rsid w:val="00AD6C00"/>
    <w:rsid w:val="00AD6F5E"/>
    <w:rsid w:val="00AD7926"/>
    <w:rsid w:val="00AD7BBA"/>
    <w:rsid w:val="00AE0572"/>
    <w:rsid w:val="00AE0F7B"/>
    <w:rsid w:val="00AE104A"/>
    <w:rsid w:val="00AE1EB9"/>
    <w:rsid w:val="00AE4801"/>
    <w:rsid w:val="00AE49B1"/>
    <w:rsid w:val="00AE4F1E"/>
    <w:rsid w:val="00AE513B"/>
    <w:rsid w:val="00AE7558"/>
    <w:rsid w:val="00AE7AB8"/>
    <w:rsid w:val="00AF1E20"/>
    <w:rsid w:val="00AF28A6"/>
    <w:rsid w:val="00AF2DEF"/>
    <w:rsid w:val="00AF3732"/>
    <w:rsid w:val="00AF4EC4"/>
    <w:rsid w:val="00AF749C"/>
    <w:rsid w:val="00AF7971"/>
    <w:rsid w:val="00B00221"/>
    <w:rsid w:val="00B00F95"/>
    <w:rsid w:val="00B018A0"/>
    <w:rsid w:val="00B02D8C"/>
    <w:rsid w:val="00B032B6"/>
    <w:rsid w:val="00B039EB"/>
    <w:rsid w:val="00B03A3A"/>
    <w:rsid w:val="00B049F5"/>
    <w:rsid w:val="00B061B1"/>
    <w:rsid w:val="00B061B3"/>
    <w:rsid w:val="00B06667"/>
    <w:rsid w:val="00B071CC"/>
    <w:rsid w:val="00B073F5"/>
    <w:rsid w:val="00B11BB1"/>
    <w:rsid w:val="00B12750"/>
    <w:rsid w:val="00B14E3B"/>
    <w:rsid w:val="00B15034"/>
    <w:rsid w:val="00B15E17"/>
    <w:rsid w:val="00B1729D"/>
    <w:rsid w:val="00B201FB"/>
    <w:rsid w:val="00B202E6"/>
    <w:rsid w:val="00B20E23"/>
    <w:rsid w:val="00B20F55"/>
    <w:rsid w:val="00B24D15"/>
    <w:rsid w:val="00B255C4"/>
    <w:rsid w:val="00B26F31"/>
    <w:rsid w:val="00B31358"/>
    <w:rsid w:val="00B316B6"/>
    <w:rsid w:val="00B33032"/>
    <w:rsid w:val="00B33106"/>
    <w:rsid w:val="00B3454E"/>
    <w:rsid w:val="00B3566F"/>
    <w:rsid w:val="00B35900"/>
    <w:rsid w:val="00B35C24"/>
    <w:rsid w:val="00B35F4B"/>
    <w:rsid w:val="00B4073A"/>
    <w:rsid w:val="00B43F5A"/>
    <w:rsid w:val="00B4464B"/>
    <w:rsid w:val="00B44E4E"/>
    <w:rsid w:val="00B44F86"/>
    <w:rsid w:val="00B4517B"/>
    <w:rsid w:val="00B4650B"/>
    <w:rsid w:val="00B47ED7"/>
    <w:rsid w:val="00B5024D"/>
    <w:rsid w:val="00B51434"/>
    <w:rsid w:val="00B5192B"/>
    <w:rsid w:val="00B53076"/>
    <w:rsid w:val="00B533FB"/>
    <w:rsid w:val="00B53BF9"/>
    <w:rsid w:val="00B543AA"/>
    <w:rsid w:val="00B543C8"/>
    <w:rsid w:val="00B55F87"/>
    <w:rsid w:val="00B5645C"/>
    <w:rsid w:val="00B56C9F"/>
    <w:rsid w:val="00B570A2"/>
    <w:rsid w:val="00B57144"/>
    <w:rsid w:val="00B571FB"/>
    <w:rsid w:val="00B57FAD"/>
    <w:rsid w:val="00B604A6"/>
    <w:rsid w:val="00B60695"/>
    <w:rsid w:val="00B622E0"/>
    <w:rsid w:val="00B62490"/>
    <w:rsid w:val="00B628E1"/>
    <w:rsid w:val="00B63F70"/>
    <w:rsid w:val="00B6475B"/>
    <w:rsid w:val="00B65006"/>
    <w:rsid w:val="00B6521A"/>
    <w:rsid w:val="00B66639"/>
    <w:rsid w:val="00B66744"/>
    <w:rsid w:val="00B66944"/>
    <w:rsid w:val="00B66AD0"/>
    <w:rsid w:val="00B67424"/>
    <w:rsid w:val="00B67E26"/>
    <w:rsid w:val="00B70923"/>
    <w:rsid w:val="00B70A28"/>
    <w:rsid w:val="00B716E4"/>
    <w:rsid w:val="00B71D24"/>
    <w:rsid w:val="00B7253C"/>
    <w:rsid w:val="00B72A1E"/>
    <w:rsid w:val="00B730E5"/>
    <w:rsid w:val="00B733E5"/>
    <w:rsid w:val="00B735D6"/>
    <w:rsid w:val="00B740C4"/>
    <w:rsid w:val="00B750C5"/>
    <w:rsid w:val="00B75F66"/>
    <w:rsid w:val="00B77ADD"/>
    <w:rsid w:val="00B82654"/>
    <w:rsid w:val="00B826A3"/>
    <w:rsid w:val="00B8347C"/>
    <w:rsid w:val="00B83ED6"/>
    <w:rsid w:val="00B852A4"/>
    <w:rsid w:val="00B85D8F"/>
    <w:rsid w:val="00B860FC"/>
    <w:rsid w:val="00B86364"/>
    <w:rsid w:val="00B86BBA"/>
    <w:rsid w:val="00B86DBC"/>
    <w:rsid w:val="00B907FB"/>
    <w:rsid w:val="00B90AB4"/>
    <w:rsid w:val="00B91F2C"/>
    <w:rsid w:val="00B9214E"/>
    <w:rsid w:val="00B93F37"/>
    <w:rsid w:val="00B942C7"/>
    <w:rsid w:val="00B94374"/>
    <w:rsid w:val="00B94F3E"/>
    <w:rsid w:val="00B9545A"/>
    <w:rsid w:val="00B954CF"/>
    <w:rsid w:val="00B957BF"/>
    <w:rsid w:val="00B96E51"/>
    <w:rsid w:val="00B977A5"/>
    <w:rsid w:val="00B97B25"/>
    <w:rsid w:val="00B97E9A"/>
    <w:rsid w:val="00BA01C7"/>
    <w:rsid w:val="00BA0BB4"/>
    <w:rsid w:val="00BA0FCF"/>
    <w:rsid w:val="00BA2ACE"/>
    <w:rsid w:val="00BA2D5F"/>
    <w:rsid w:val="00BA3821"/>
    <w:rsid w:val="00BA3ED1"/>
    <w:rsid w:val="00BA40A1"/>
    <w:rsid w:val="00BA45D1"/>
    <w:rsid w:val="00BA4B95"/>
    <w:rsid w:val="00BA55E0"/>
    <w:rsid w:val="00BA5DCD"/>
    <w:rsid w:val="00BA615A"/>
    <w:rsid w:val="00BA639C"/>
    <w:rsid w:val="00BA6508"/>
    <w:rsid w:val="00BA777E"/>
    <w:rsid w:val="00BB0461"/>
    <w:rsid w:val="00BB1147"/>
    <w:rsid w:val="00BB152C"/>
    <w:rsid w:val="00BB248C"/>
    <w:rsid w:val="00BB2B1F"/>
    <w:rsid w:val="00BB3451"/>
    <w:rsid w:val="00BB34E7"/>
    <w:rsid w:val="00BB419B"/>
    <w:rsid w:val="00BB43DD"/>
    <w:rsid w:val="00BB501A"/>
    <w:rsid w:val="00BB54A3"/>
    <w:rsid w:val="00BB556E"/>
    <w:rsid w:val="00BB5DC2"/>
    <w:rsid w:val="00BB63CE"/>
    <w:rsid w:val="00BB63EA"/>
    <w:rsid w:val="00BB7120"/>
    <w:rsid w:val="00BC28B4"/>
    <w:rsid w:val="00BC28D6"/>
    <w:rsid w:val="00BC30A9"/>
    <w:rsid w:val="00BC32E2"/>
    <w:rsid w:val="00BC4084"/>
    <w:rsid w:val="00BC4652"/>
    <w:rsid w:val="00BC498C"/>
    <w:rsid w:val="00BC50FE"/>
    <w:rsid w:val="00BC56E3"/>
    <w:rsid w:val="00BC605B"/>
    <w:rsid w:val="00BC60AF"/>
    <w:rsid w:val="00BC6849"/>
    <w:rsid w:val="00BD04CA"/>
    <w:rsid w:val="00BD0D2C"/>
    <w:rsid w:val="00BD13E1"/>
    <w:rsid w:val="00BD1645"/>
    <w:rsid w:val="00BD3C57"/>
    <w:rsid w:val="00BD4A6D"/>
    <w:rsid w:val="00BD4CDC"/>
    <w:rsid w:val="00BD5BB6"/>
    <w:rsid w:val="00BD691D"/>
    <w:rsid w:val="00BD6EEC"/>
    <w:rsid w:val="00BD713C"/>
    <w:rsid w:val="00BD762C"/>
    <w:rsid w:val="00BE0B03"/>
    <w:rsid w:val="00BE0E5A"/>
    <w:rsid w:val="00BE0EE7"/>
    <w:rsid w:val="00BE1854"/>
    <w:rsid w:val="00BE1D77"/>
    <w:rsid w:val="00BE26E9"/>
    <w:rsid w:val="00BE2A31"/>
    <w:rsid w:val="00BE2E6B"/>
    <w:rsid w:val="00BE3885"/>
    <w:rsid w:val="00BE405B"/>
    <w:rsid w:val="00BE42BB"/>
    <w:rsid w:val="00BE4CF1"/>
    <w:rsid w:val="00BE5D27"/>
    <w:rsid w:val="00BF0BB7"/>
    <w:rsid w:val="00BF0D04"/>
    <w:rsid w:val="00BF0EFF"/>
    <w:rsid w:val="00BF18D6"/>
    <w:rsid w:val="00BF2378"/>
    <w:rsid w:val="00BF2F86"/>
    <w:rsid w:val="00BF43D4"/>
    <w:rsid w:val="00BF4748"/>
    <w:rsid w:val="00BF5BC5"/>
    <w:rsid w:val="00BF6A95"/>
    <w:rsid w:val="00C006D7"/>
    <w:rsid w:val="00C01982"/>
    <w:rsid w:val="00C01A7D"/>
    <w:rsid w:val="00C01AEB"/>
    <w:rsid w:val="00C03198"/>
    <w:rsid w:val="00C032EA"/>
    <w:rsid w:val="00C03DBD"/>
    <w:rsid w:val="00C04A09"/>
    <w:rsid w:val="00C055B4"/>
    <w:rsid w:val="00C058B4"/>
    <w:rsid w:val="00C05FCC"/>
    <w:rsid w:val="00C103DD"/>
    <w:rsid w:val="00C106BB"/>
    <w:rsid w:val="00C114CA"/>
    <w:rsid w:val="00C11693"/>
    <w:rsid w:val="00C12BCD"/>
    <w:rsid w:val="00C14295"/>
    <w:rsid w:val="00C1541E"/>
    <w:rsid w:val="00C15DFD"/>
    <w:rsid w:val="00C169D1"/>
    <w:rsid w:val="00C16B67"/>
    <w:rsid w:val="00C175E1"/>
    <w:rsid w:val="00C2018B"/>
    <w:rsid w:val="00C204A7"/>
    <w:rsid w:val="00C20F88"/>
    <w:rsid w:val="00C211FF"/>
    <w:rsid w:val="00C21F38"/>
    <w:rsid w:val="00C24C88"/>
    <w:rsid w:val="00C25C70"/>
    <w:rsid w:val="00C26084"/>
    <w:rsid w:val="00C2674C"/>
    <w:rsid w:val="00C27725"/>
    <w:rsid w:val="00C27861"/>
    <w:rsid w:val="00C301AF"/>
    <w:rsid w:val="00C30D59"/>
    <w:rsid w:val="00C317C5"/>
    <w:rsid w:val="00C32342"/>
    <w:rsid w:val="00C32A90"/>
    <w:rsid w:val="00C34AA9"/>
    <w:rsid w:val="00C35CEB"/>
    <w:rsid w:val="00C36928"/>
    <w:rsid w:val="00C36D7E"/>
    <w:rsid w:val="00C36FBB"/>
    <w:rsid w:val="00C4019B"/>
    <w:rsid w:val="00C402F9"/>
    <w:rsid w:val="00C40D28"/>
    <w:rsid w:val="00C40E9F"/>
    <w:rsid w:val="00C41139"/>
    <w:rsid w:val="00C414BD"/>
    <w:rsid w:val="00C41643"/>
    <w:rsid w:val="00C4442E"/>
    <w:rsid w:val="00C4468C"/>
    <w:rsid w:val="00C457B1"/>
    <w:rsid w:val="00C47ACE"/>
    <w:rsid w:val="00C47B13"/>
    <w:rsid w:val="00C535FA"/>
    <w:rsid w:val="00C54DEF"/>
    <w:rsid w:val="00C5500B"/>
    <w:rsid w:val="00C557CF"/>
    <w:rsid w:val="00C55A16"/>
    <w:rsid w:val="00C56280"/>
    <w:rsid w:val="00C5770E"/>
    <w:rsid w:val="00C57A89"/>
    <w:rsid w:val="00C57FB6"/>
    <w:rsid w:val="00C60F63"/>
    <w:rsid w:val="00C614F6"/>
    <w:rsid w:val="00C6192A"/>
    <w:rsid w:val="00C623A0"/>
    <w:rsid w:val="00C62A0D"/>
    <w:rsid w:val="00C63060"/>
    <w:rsid w:val="00C63E8D"/>
    <w:rsid w:val="00C6407A"/>
    <w:rsid w:val="00C656F1"/>
    <w:rsid w:val="00C65A9A"/>
    <w:rsid w:val="00C65B17"/>
    <w:rsid w:val="00C67326"/>
    <w:rsid w:val="00C67A4D"/>
    <w:rsid w:val="00C70EFF"/>
    <w:rsid w:val="00C71855"/>
    <w:rsid w:val="00C72255"/>
    <w:rsid w:val="00C72840"/>
    <w:rsid w:val="00C72E3B"/>
    <w:rsid w:val="00C73B77"/>
    <w:rsid w:val="00C74521"/>
    <w:rsid w:val="00C75266"/>
    <w:rsid w:val="00C75452"/>
    <w:rsid w:val="00C75978"/>
    <w:rsid w:val="00C76300"/>
    <w:rsid w:val="00C764D3"/>
    <w:rsid w:val="00C778D0"/>
    <w:rsid w:val="00C77CB5"/>
    <w:rsid w:val="00C80B21"/>
    <w:rsid w:val="00C8110E"/>
    <w:rsid w:val="00C81755"/>
    <w:rsid w:val="00C81D5B"/>
    <w:rsid w:val="00C82447"/>
    <w:rsid w:val="00C8435C"/>
    <w:rsid w:val="00C8569D"/>
    <w:rsid w:val="00C85A59"/>
    <w:rsid w:val="00C90DA2"/>
    <w:rsid w:val="00C914CA"/>
    <w:rsid w:val="00C92E6D"/>
    <w:rsid w:val="00C93899"/>
    <w:rsid w:val="00C94E30"/>
    <w:rsid w:val="00C96507"/>
    <w:rsid w:val="00C96ADC"/>
    <w:rsid w:val="00C96FCB"/>
    <w:rsid w:val="00C97930"/>
    <w:rsid w:val="00CA0CDB"/>
    <w:rsid w:val="00CA0D22"/>
    <w:rsid w:val="00CA1C96"/>
    <w:rsid w:val="00CA1D91"/>
    <w:rsid w:val="00CA2290"/>
    <w:rsid w:val="00CA2D3A"/>
    <w:rsid w:val="00CA45C3"/>
    <w:rsid w:val="00CA477D"/>
    <w:rsid w:val="00CA5705"/>
    <w:rsid w:val="00CA5BBA"/>
    <w:rsid w:val="00CA6B3E"/>
    <w:rsid w:val="00CA704A"/>
    <w:rsid w:val="00CA7C69"/>
    <w:rsid w:val="00CA7F85"/>
    <w:rsid w:val="00CB067E"/>
    <w:rsid w:val="00CB1EB3"/>
    <w:rsid w:val="00CB2142"/>
    <w:rsid w:val="00CB2D19"/>
    <w:rsid w:val="00CB2DBE"/>
    <w:rsid w:val="00CB307C"/>
    <w:rsid w:val="00CB4A51"/>
    <w:rsid w:val="00CB4F93"/>
    <w:rsid w:val="00CB5297"/>
    <w:rsid w:val="00CB592F"/>
    <w:rsid w:val="00CB62F6"/>
    <w:rsid w:val="00CB7364"/>
    <w:rsid w:val="00CB7474"/>
    <w:rsid w:val="00CC01C0"/>
    <w:rsid w:val="00CC0C69"/>
    <w:rsid w:val="00CC0CBB"/>
    <w:rsid w:val="00CC1D0E"/>
    <w:rsid w:val="00CC2AD2"/>
    <w:rsid w:val="00CC4520"/>
    <w:rsid w:val="00CC5BA8"/>
    <w:rsid w:val="00CC5C91"/>
    <w:rsid w:val="00CC5CD5"/>
    <w:rsid w:val="00CC6445"/>
    <w:rsid w:val="00CC6832"/>
    <w:rsid w:val="00CC6931"/>
    <w:rsid w:val="00CC6D59"/>
    <w:rsid w:val="00CD06EA"/>
    <w:rsid w:val="00CD09AF"/>
    <w:rsid w:val="00CD4170"/>
    <w:rsid w:val="00CD4BC2"/>
    <w:rsid w:val="00CD57EF"/>
    <w:rsid w:val="00CD5DCF"/>
    <w:rsid w:val="00CD68C4"/>
    <w:rsid w:val="00CD6A9A"/>
    <w:rsid w:val="00CD7030"/>
    <w:rsid w:val="00CE016D"/>
    <w:rsid w:val="00CE092F"/>
    <w:rsid w:val="00CE0C6C"/>
    <w:rsid w:val="00CE0D4E"/>
    <w:rsid w:val="00CE0E55"/>
    <w:rsid w:val="00CE19FD"/>
    <w:rsid w:val="00CE239C"/>
    <w:rsid w:val="00CE2815"/>
    <w:rsid w:val="00CE2C42"/>
    <w:rsid w:val="00CE396A"/>
    <w:rsid w:val="00CE4199"/>
    <w:rsid w:val="00CE4FFC"/>
    <w:rsid w:val="00CE6D43"/>
    <w:rsid w:val="00CE7BD4"/>
    <w:rsid w:val="00CE7D9E"/>
    <w:rsid w:val="00CF0570"/>
    <w:rsid w:val="00CF06F1"/>
    <w:rsid w:val="00CF13B1"/>
    <w:rsid w:val="00CF1658"/>
    <w:rsid w:val="00CF2078"/>
    <w:rsid w:val="00CF2E88"/>
    <w:rsid w:val="00CF3A4D"/>
    <w:rsid w:val="00CF4B9E"/>
    <w:rsid w:val="00CF4BB7"/>
    <w:rsid w:val="00CF4CD0"/>
    <w:rsid w:val="00CF787B"/>
    <w:rsid w:val="00D00253"/>
    <w:rsid w:val="00D008EA"/>
    <w:rsid w:val="00D0511A"/>
    <w:rsid w:val="00D0586E"/>
    <w:rsid w:val="00D05F54"/>
    <w:rsid w:val="00D06BF2"/>
    <w:rsid w:val="00D06DF0"/>
    <w:rsid w:val="00D07094"/>
    <w:rsid w:val="00D076F0"/>
    <w:rsid w:val="00D1173F"/>
    <w:rsid w:val="00D118F1"/>
    <w:rsid w:val="00D122F7"/>
    <w:rsid w:val="00D125AB"/>
    <w:rsid w:val="00D12934"/>
    <w:rsid w:val="00D133AB"/>
    <w:rsid w:val="00D13486"/>
    <w:rsid w:val="00D14335"/>
    <w:rsid w:val="00D15DF0"/>
    <w:rsid w:val="00D163AD"/>
    <w:rsid w:val="00D164FC"/>
    <w:rsid w:val="00D166A0"/>
    <w:rsid w:val="00D17070"/>
    <w:rsid w:val="00D17B06"/>
    <w:rsid w:val="00D20036"/>
    <w:rsid w:val="00D20AD4"/>
    <w:rsid w:val="00D20B24"/>
    <w:rsid w:val="00D2101D"/>
    <w:rsid w:val="00D211C7"/>
    <w:rsid w:val="00D2166C"/>
    <w:rsid w:val="00D219DB"/>
    <w:rsid w:val="00D21B1C"/>
    <w:rsid w:val="00D2232A"/>
    <w:rsid w:val="00D2361A"/>
    <w:rsid w:val="00D23875"/>
    <w:rsid w:val="00D243D4"/>
    <w:rsid w:val="00D24E2B"/>
    <w:rsid w:val="00D26524"/>
    <w:rsid w:val="00D303CB"/>
    <w:rsid w:val="00D30FD4"/>
    <w:rsid w:val="00D3370F"/>
    <w:rsid w:val="00D33E7E"/>
    <w:rsid w:val="00D351B1"/>
    <w:rsid w:val="00D363C3"/>
    <w:rsid w:val="00D36592"/>
    <w:rsid w:val="00D36B24"/>
    <w:rsid w:val="00D37D0E"/>
    <w:rsid w:val="00D4003C"/>
    <w:rsid w:val="00D40CD6"/>
    <w:rsid w:val="00D417E6"/>
    <w:rsid w:val="00D42BD2"/>
    <w:rsid w:val="00D4356A"/>
    <w:rsid w:val="00D43725"/>
    <w:rsid w:val="00D43CB8"/>
    <w:rsid w:val="00D445A8"/>
    <w:rsid w:val="00D44A78"/>
    <w:rsid w:val="00D4558D"/>
    <w:rsid w:val="00D4673B"/>
    <w:rsid w:val="00D47390"/>
    <w:rsid w:val="00D50820"/>
    <w:rsid w:val="00D50C84"/>
    <w:rsid w:val="00D51740"/>
    <w:rsid w:val="00D51B49"/>
    <w:rsid w:val="00D51C3A"/>
    <w:rsid w:val="00D51F9C"/>
    <w:rsid w:val="00D51FAC"/>
    <w:rsid w:val="00D52480"/>
    <w:rsid w:val="00D526DF"/>
    <w:rsid w:val="00D55A7A"/>
    <w:rsid w:val="00D577E8"/>
    <w:rsid w:val="00D5797E"/>
    <w:rsid w:val="00D579AE"/>
    <w:rsid w:val="00D602A1"/>
    <w:rsid w:val="00D606C0"/>
    <w:rsid w:val="00D614F6"/>
    <w:rsid w:val="00D61FD3"/>
    <w:rsid w:val="00D62608"/>
    <w:rsid w:val="00D63941"/>
    <w:rsid w:val="00D63C6A"/>
    <w:rsid w:val="00D64E5A"/>
    <w:rsid w:val="00D652C8"/>
    <w:rsid w:val="00D6706B"/>
    <w:rsid w:val="00D6760B"/>
    <w:rsid w:val="00D70DF1"/>
    <w:rsid w:val="00D71664"/>
    <w:rsid w:val="00D722FA"/>
    <w:rsid w:val="00D72612"/>
    <w:rsid w:val="00D7285A"/>
    <w:rsid w:val="00D7303D"/>
    <w:rsid w:val="00D7433F"/>
    <w:rsid w:val="00D74452"/>
    <w:rsid w:val="00D74AB2"/>
    <w:rsid w:val="00D7504B"/>
    <w:rsid w:val="00D75C13"/>
    <w:rsid w:val="00D76083"/>
    <w:rsid w:val="00D766A2"/>
    <w:rsid w:val="00D76AA6"/>
    <w:rsid w:val="00D8202A"/>
    <w:rsid w:val="00D82860"/>
    <w:rsid w:val="00D84E0C"/>
    <w:rsid w:val="00D85EF3"/>
    <w:rsid w:val="00D86577"/>
    <w:rsid w:val="00D86609"/>
    <w:rsid w:val="00D86B65"/>
    <w:rsid w:val="00D878C6"/>
    <w:rsid w:val="00D9015A"/>
    <w:rsid w:val="00D90412"/>
    <w:rsid w:val="00D91A04"/>
    <w:rsid w:val="00D9323E"/>
    <w:rsid w:val="00D94536"/>
    <w:rsid w:val="00D9520A"/>
    <w:rsid w:val="00D95622"/>
    <w:rsid w:val="00D966F3"/>
    <w:rsid w:val="00D979D4"/>
    <w:rsid w:val="00D97A27"/>
    <w:rsid w:val="00D97CAC"/>
    <w:rsid w:val="00D97DBD"/>
    <w:rsid w:val="00D97E06"/>
    <w:rsid w:val="00DA06D0"/>
    <w:rsid w:val="00DA0A34"/>
    <w:rsid w:val="00DA3363"/>
    <w:rsid w:val="00DA451C"/>
    <w:rsid w:val="00DA4C93"/>
    <w:rsid w:val="00DA55D1"/>
    <w:rsid w:val="00DA6E90"/>
    <w:rsid w:val="00DA769E"/>
    <w:rsid w:val="00DA7C05"/>
    <w:rsid w:val="00DB0583"/>
    <w:rsid w:val="00DB1979"/>
    <w:rsid w:val="00DB1D8E"/>
    <w:rsid w:val="00DB3990"/>
    <w:rsid w:val="00DB3E79"/>
    <w:rsid w:val="00DB3EEF"/>
    <w:rsid w:val="00DB4A6D"/>
    <w:rsid w:val="00DB4C24"/>
    <w:rsid w:val="00DB66F7"/>
    <w:rsid w:val="00DB6DB4"/>
    <w:rsid w:val="00DB6E71"/>
    <w:rsid w:val="00DB7B8F"/>
    <w:rsid w:val="00DB7FCA"/>
    <w:rsid w:val="00DC0418"/>
    <w:rsid w:val="00DC1C92"/>
    <w:rsid w:val="00DC4250"/>
    <w:rsid w:val="00DC5070"/>
    <w:rsid w:val="00DC56E4"/>
    <w:rsid w:val="00DC5A95"/>
    <w:rsid w:val="00DC6CBE"/>
    <w:rsid w:val="00DC70E6"/>
    <w:rsid w:val="00DC76ED"/>
    <w:rsid w:val="00DD1991"/>
    <w:rsid w:val="00DD4BA0"/>
    <w:rsid w:val="00DD4C33"/>
    <w:rsid w:val="00DD5A93"/>
    <w:rsid w:val="00DE0429"/>
    <w:rsid w:val="00DE14AA"/>
    <w:rsid w:val="00DE1800"/>
    <w:rsid w:val="00DE1909"/>
    <w:rsid w:val="00DE2AAC"/>
    <w:rsid w:val="00DE2F60"/>
    <w:rsid w:val="00DE3099"/>
    <w:rsid w:val="00DE35A8"/>
    <w:rsid w:val="00DE3CEB"/>
    <w:rsid w:val="00DE4AFF"/>
    <w:rsid w:val="00DE5DC5"/>
    <w:rsid w:val="00DE6010"/>
    <w:rsid w:val="00DE61CA"/>
    <w:rsid w:val="00DE7019"/>
    <w:rsid w:val="00DE7F35"/>
    <w:rsid w:val="00DF0353"/>
    <w:rsid w:val="00DF309E"/>
    <w:rsid w:val="00DF34CE"/>
    <w:rsid w:val="00DF434D"/>
    <w:rsid w:val="00DF4411"/>
    <w:rsid w:val="00DF4511"/>
    <w:rsid w:val="00DF47AD"/>
    <w:rsid w:val="00DF61B1"/>
    <w:rsid w:val="00DF68C1"/>
    <w:rsid w:val="00DF6A5D"/>
    <w:rsid w:val="00E00BE5"/>
    <w:rsid w:val="00E0136F"/>
    <w:rsid w:val="00E0169D"/>
    <w:rsid w:val="00E01961"/>
    <w:rsid w:val="00E029E3"/>
    <w:rsid w:val="00E0339C"/>
    <w:rsid w:val="00E04F28"/>
    <w:rsid w:val="00E0544D"/>
    <w:rsid w:val="00E05668"/>
    <w:rsid w:val="00E06291"/>
    <w:rsid w:val="00E062A0"/>
    <w:rsid w:val="00E0728F"/>
    <w:rsid w:val="00E072AB"/>
    <w:rsid w:val="00E07404"/>
    <w:rsid w:val="00E0749B"/>
    <w:rsid w:val="00E07C85"/>
    <w:rsid w:val="00E07E0B"/>
    <w:rsid w:val="00E11353"/>
    <w:rsid w:val="00E1138E"/>
    <w:rsid w:val="00E1199C"/>
    <w:rsid w:val="00E119E6"/>
    <w:rsid w:val="00E1266D"/>
    <w:rsid w:val="00E13CA5"/>
    <w:rsid w:val="00E14E39"/>
    <w:rsid w:val="00E15373"/>
    <w:rsid w:val="00E20066"/>
    <w:rsid w:val="00E20603"/>
    <w:rsid w:val="00E20EB1"/>
    <w:rsid w:val="00E229EF"/>
    <w:rsid w:val="00E22FA3"/>
    <w:rsid w:val="00E24486"/>
    <w:rsid w:val="00E25233"/>
    <w:rsid w:val="00E26675"/>
    <w:rsid w:val="00E267F9"/>
    <w:rsid w:val="00E268D5"/>
    <w:rsid w:val="00E26D0E"/>
    <w:rsid w:val="00E2705A"/>
    <w:rsid w:val="00E30B84"/>
    <w:rsid w:val="00E315E9"/>
    <w:rsid w:val="00E323E5"/>
    <w:rsid w:val="00E3288B"/>
    <w:rsid w:val="00E331ED"/>
    <w:rsid w:val="00E332C7"/>
    <w:rsid w:val="00E33EAF"/>
    <w:rsid w:val="00E33F4F"/>
    <w:rsid w:val="00E35966"/>
    <w:rsid w:val="00E35D40"/>
    <w:rsid w:val="00E36045"/>
    <w:rsid w:val="00E36335"/>
    <w:rsid w:val="00E3643B"/>
    <w:rsid w:val="00E365B6"/>
    <w:rsid w:val="00E37941"/>
    <w:rsid w:val="00E41312"/>
    <w:rsid w:val="00E422C0"/>
    <w:rsid w:val="00E42BC9"/>
    <w:rsid w:val="00E42F5D"/>
    <w:rsid w:val="00E4352A"/>
    <w:rsid w:val="00E461E9"/>
    <w:rsid w:val="00E46D69"/>
    <w:rsid w:val="00E474EC"/>
    <w:rsid w:val="00E50C0B"/>
    <w:rsid w:val="00E51C94"/>
    <w:rsid w:val="00E52137"/>
    <w:rsid w:val="00E522AE"/>
    <w:rsid w:val="00E52548"/>
    <w:rsid w:val="00E52683"/>
    <w:rsid w:val="00E536B9"/>
    <w:rsid w:val="00E53D95"/>
    <w:rsid w:val="00E5465D"/>
    <w:rsid w:val="00E556C1"/>
    <w:rsid w:val="00E55F61"/>
    <w:rsid w:val="00E56025"/>
    <w:rsid w:val="00E563B4"/>
    <w:rsid w:val="00E56577"/>
    <w:rsid w:val="00E56E76"/>
    <w:rsid w:val="00E57136"/>
    <w:rsid w:val="00E5775D"/>
    <w:rsid w:val="00E57E7D"/>
    <w:rsid w:val="00E60156"/>
    <w:rsid w:val="00E6085F"/>
    <w:rsid w:val="00E615C7"/>
    <w:rsid w:val="00E61C8C"/>
    <w:rsid w:val="00E61F4A"/>
    <w:rsid w:val="00E62517"/>
    <w:rsid w:val="00E634CA"/>
    <w:rsid w:val="00E63F0E"/>
    <w:rsid w:val="00E6418F"/>
    <w:rsid w:val="00E642CA"/>
    <w:rsid w:val="00E6569D"/>
    <w:rsid w:val="00E6585E"/>
    <w:rsid w:val="00E6620E"/>
    <w:rsid w:val="00E6648A"/>
    <w:rsid w:val="00E66872"/>
    <w:rsid w:val="00E67930"/>
    <w:rsid w:val="00E67AFB"/>
    <w:rsid w:val="00E71A1F"/>
    <w:rsid w:val="00E7429B"/>
    <w:rsid w:val="00E75017"/>
    <w:rsid w:val="00E75910"/>
    <w:rsid w:val="00E75F53"/>
    <w:rsid w:val="00E7616B"/>
    <w:rsid w:val="00E7715B"/>
    <w:rsid w:val="00E81254"/>
    <w:rsid w:val="00E816D1"/>
    <w:rsid w:val="00E835ED"/>
    <w:rsid w:val="00E83808"/>
    <w:rsid w:val="00E8407D"/>
    <w:rsid w:val="00E8549A"/>
    <w:rsid w:val="00E86288"/>
    <w:rsid w:val="00E86FE0"/>
    <w:rsid w:val="00E875B7"/>
    <w:rsid w:val="00E8760A"/>
    <w:rsid w:val="00E87F31"/>
    <w:rsid w:val="00E90333"/>
    <w:rsid w:val="00E91D2A"/>
    <w:rsid w:val="00E926D4"/>
    <w:rsid w:val="00E92F0C"/>
    <w:rsid w:val="00E9305B"/>
    <w:rsid w:val="00E93CA1"/>
    <w:rsid w:val="00E93FE0"/>
    <w:rsid w:val="00E94017"/>
    <w:rsid w:val="00E9497F"/>
    <w:rsid w:val="00E94A08"/>
    <w:rsid w:val="00E94AB6"/>
    <w:rsid w:val="00E9610B"/>
    <w:rsid w:val="00E97DC2"/>
    <w:rsid w:val="00E97E8B"/>
    <w:rsid w:val="00EA1FCA"/>
    <w:rsid w:val="00EA20CC"/>
    <w:rsid w:val="00EA289A"/>
    <w:rsid w:val="00EA3F7D"/>
    <w:rsid w:val="00EA3FB2"/>
    <w:rsid w:val="00EA53CE"/>
    <w:rsid w:val="00EA5435"/>
    <w:rsid w:val="00EA6083"/>
    <w:rsid w:val="00EA62BA"/>
    <w:rsid w:val="00EA65DA"/>
    <w:rsid w:val="00EA692C"/>
    <w:rsid w:val="00EA6D12"/>
    <w:rsid w:val="00EA75B1"/>
    <w:rsid w:val="00EA77D2"/>
    <w:rsid w:val="00EB0840"/>
    <w:rsid w:val="00EB0A72"/>
    <w:rsid w:val="00EB0AC9"/>
    <w:rsid w:val="00EB0CDB"/>
    <w:rsid w:val="00EB19B4"/>
    <w:rsid w:val="00EB20A3"/>
    <w:rsid w:val="00EB2156"/>
    <w:rsid w:val="00EB24F7"/>
    <w:rsid w:val="00EB2AC4"/>
    <w:rsid w:val="00EB2F6F"/>
    <w:rsid w:val="00EB54A3"/>
    <w:rsid w:val="00EB55C0"/>
    <w:rsid w:val="00EB6551"/>
    <w:rsid w:val="00EB6E07"/>
    <w:rsid w:val="00EC01E4"/>
    <w:rsid w:val="00EC0F42"/>
    <w:rsid w:val="00EC209D"/>
    <w:rsid w:val="00EC2193"/>
    <w:rsid w:val="00EC2785"/>
    <w:rsid w:val="00EC33E2"/>
    <w:rsid w:val="00EC35F7"/>
    <w:rsid w:val="00EC4254"/>
    <w:rsid w:val="00EC42E3"/>
    <w:rsid w:val="00EC5319"/>
    <w:rsid w:val="00EC5486"/>
    <w:rsid w:val="00EC5AE7"/>
    <w:rsid w:val="00EC764C"/>
    <w:rsid w:val="00EC7B7F"/>
    <w:rsid w:val="00EC7C32"/>
    <w:rsid w:val="00ED0792"/>
    <w:rsid w:val="00ED0DEB"/>
    <w:rsid w:val="00ED1320"/>
    <w:rsid w:val="00ED495A"/>
    <w:rsid w:val="00ED4A17"/>
    <w:rsid w:val="00ED4D4F"/>
    <w:rsid w:val="00ED6141"/>
    <w:rsid w:val="00ED67EC"/>
    <w:rsid w:val="00ED75D3"/>
    <w:rsid w:val="00ED7DF9"/>
    <w:rsid w:val="00ED7EF4"/>
    <w:rsid w:val="00EE074F"/>
    <w:rsid w:val="00EE0886"/>
    <w:rsid w:val="00EE0D44"/>
    <w:rsid w:val="00EE16BF"/>
    <w:rsid w:val="00EE1B2F"/>
    <w:rsid w:val="00EE3C04"/>
    <w:rsid w:val="00EE3FAD"/>
    <w:rsid w:val="00EE4195"/>
    <w:rsid w:val="00EE4860"/>
    <w:rsid w:val="00EE5810"/>
    <w:rsid w:val="00EE64A2"/>
    <w:rsid w:val="00EE765B"/>
    <w:rsid w:val="00EE77F5"/>
    <w:rsid w:val="00EF02AE"/>
    <w:rsid w:val="00EF1453"/>
    <w:rsid w:val="00EF336F"/>
    <w:rsid w:val="00EF427A"/>
    <w:rsid w:val="00EF6D7B"/>
    <w:rsid w:val="00EF743C"/>
    <w:rsid w:val="00EF7B6C"/>
    <w:rsid w:val="00EF7DBE"/>
    <w:rsid w:val="00F004E9"/>
    <w:rsid w:val="00F008DF"/>
    <w:rsid w:val="00F017F9"/>
    <w:rsid w:val="00F02D09"/>
    <w:rsid w:val="00F0309D"/>
    <w:rsid w:val="00F0316D"/>
    <w:rsid w:val="00F045E4"/>
    <w:rsid w:val="00F05E0A"/>
    <w:rsid w:val="00F05E5E"/>
    <w:rsid w:val="00F07A67"/>
    <w:rsid w:val="00F102EE"/>
    <w:rsid w:val="00F112F9"/>
    <w:rsid w:val="00F137FA"/>
    <w:rsid w:val="00F13DBE"/>
    <w:rsid w:val="00F13FFF"/>
    <w:rsid w:val="00F145DC"/>
    <w:rsid w:val="00F14C56"/>
    <w:rsid w:val="00F2065B"/>
    <w:rsid w:val="00F20B55"/>
    <w:rsid w:val="00F20F9A"/>
    <w:rsid w:val="00F23A85"/>
    <w:rsid w:val="00F23C64"/>
    <w:rsid w:val="00F24867"/>
    <w:rsid w:val="00F24A1F"/>
    <w:rsid w:val="00F25930"/>
    <w:rsid w:val="00F25D34"/>
    <w:rsid w:val="00F2629B"/>
    <w:rsid w:val="00F26AF2"/>
    <w:rsid w:val="00F27B4D"/>
    <w:rsid w:val="00F305F6"/>
    <w:rsid w:val="00F31EFC"/>
    <w:rsid w:val="00F32682"/>
    <w:rsid w:val="00F32BF3"/>
    <w:rsid w:val="00F34058"/>
    <w:rsid w:val="00F34436"/>
    <w:rsid w:val="00F3476D"/>
    <w:rsid w:val="00F35AED"/>
    <w:rsid w:val="00F35AFB"/>
    <w:rsid w:val="00F406D8"/>
    <w:rsid w:val="00F4097B"/>
    <w:rsid w:val="00F42998"/>
    <w:rsid w:val="00F43661"/>
    <w:rsid w:val="00F43D54"/>
    <w:rsid w:val="00F453CF"/>
    <w:rsid w:val="00F501F0"/>
    <w:rsid w:val="00F50BC3"/>
    <w:rsid w:val="00F51C60"/>
    <w:rsid w:val="00F51DBA"/>
    <w:rsid w:val="00F52110"/>
    <w:rsid w:val="00F522E9"/>
    <w:rsid w:val="00F52AB0"/>
    <w:rsid w:val="00F53034"/>
    <w:rsid w:val="00F533F7"/>
    <w:rsid w:val="00F538A4"/>
    <w:rsid w:val="00F54A33"/>
    <w:rsid w:val="00F55142"/>
    <w:rsid w:val="00F61CBB"/>
    <w:rsid w:val="00F627DC"/>
    <w:rsid w:val="00F62CEF"/>
    <w:rsid w:val="00F63D26"/>
    <w:rsid w:val="00F6477E"/>
    <w:rsid w:val="00F64936"/>
    <w:rsid w:val="00F665C2"/>
    <w:rsid w:val="00F66779"/>
    <w:rsid w:val="00F66CE8"/>
    <w:rsid w:val="00F66D84"/>
    <w:rsid w:val="00F6780F"/>
    <w:rsid w:val="00F70DD2"/>
    <w:rsid w:val="00F7153D"/>
    <w:rsid w:val="00F71B8E"/>
    <w:rsid w:val="00F72915"/>
    <w:rsid w:val="00F72A20"/>
    <w:rsid w:val="00F73108"/>
    <w:rsid w:val="00F73EB5"/>
    <w:rsid w:val="00F749EC"/>
    <w:rsid w:val="00F766D8"/>
    <w:rsid w:val="00F771F2"/>
    <w:rsid w:val="00F77340"/>
    <w:rsid w:val="00F77401"/>
    <w:rsid w:val="00F7768E"/>
    <w:rsid w:val="00F77985"/>
    <w:rsid w:val="00F80E74"/>
    <w:rsid w:val="00F81A88"/>
    <w:rsid w:val="00F827C1"/>
    <w:rsid w:val="00F84948"/>
    <w:rsid w:val="00F854D0"/>
    <w:rsid w:val="00F864E3"/>
    <w:rsid w:val="00F86EF8"/>
    <w:rsid w:val="00F8741B"/>
    <w:rsid w:val="00F87833"/>
    <w:rsid w:val="00F878FD"/>
    <w:rsid w:val="00F909EF"/>
    <w:rsid w:val="00F91962"/>
    <w:rsid w:val="00F92470"/>
    <w:rsid w:val="00F93108"/>
    <w:rsid w:val="00F93CBC"/>
    <w:rsid w:val="00F94C51"/>
    <w:rsid w:val="00FA042F"/>
    <w:rsid w:val="00FA0A2B"/>
    <w:rsid w:val="00FA1194"/>
    <w:rsid w:val="00FA153E"/>
    <w:rsid w:val="00FA1F5B"/>
    <w:rsid w:val="00FA2916"/>
    <w:rsid w:val="00FA3B70"/>
    <w:rsid w:val="00FA63F8"/>
    <w:rsid w:val="00FA689C"/>
    <w:rsid w:val="00FB1ACE"/>
    <w:rsid w:val="00FB1FC9"/>
    <w:rsid w:val="00FB30BF"/>
    <w:rsid w:val="00FB3932"/>
    <w:rsid w:val="00FB479A"/>
    <w:rsid w:val="00FB5404"/>
    <w:rsid w:val="00FB679B"/>
    <w:rsid w:val="00FB6879"/>
    <w:rsid w:val="00FB6BB5"/>
    <w:rsid w:val="00FB70FA"/>
    <w:rsid w:val="00FB74BE"/>
    <w:rsid w:val="00FB7905"/>
    <w:rsid w:val="00FC0881"/>
    <w:rsid w:val="00FC0F0B"/>
    <w:rsid w:val="00FC1457"/>
    <w:rsid w:val="00FC29D3"/>
    <w:rsid w:val="00FC3DD8"/>
    <w:rsid w:val="00FC43D4"/>
    <w:rsid w:val="00FC5334"/>
    <w:rsid w:val="00FC5BB2"/>
    <w:rsid w:val="00FC5F29"/>
    <w:rsid w:val="00FC5F87"/>
    <w:rsid w:val="00FC661D"/>
    <w:rsid w:val="00FC6B50"/>
    <w:rsid w:val="00FC706C"/>
    <w:rsid w:val="00FD037E"/>
    <w:rsid w:val="00FD1EC2"/>
    <w:rsid w:val="00FD2A71"/>
    <w:rsid w:val="00FD2AB6"/>
    <w:rsid w:val="00FD2B41"/>
    <w:rsid w:val="00FD498B"/>
    <w:rsid w:val="00FD4C0E"/>
    <w:rsid w:val="00FD51E7"/>
    <w:rsid w:val="00FD5509"/>
    <w:rsid w:val="00FD56CA"/>
    <w:rsid w:val="00FD6118"/>
    <w:rsid w:val="00FD65BC"/>
    <w:rsid w:val="00FD6B3B"/>
    <w:rsid w:val="00FD6E27"/>
    <w:rsid w:val="00FD708A"/>
    <w:rsid w:val="00FD7876"/>
    <w:rsid w:val="00FD7AA4"/>
    <w:rsid w:val="00FD7EF0"/>
    <w:rsid w:val="00FE0338"/>
    <w:rsid w:val="00FE0A24"/>
    <w:rsid w:val="00FE1361"/>
    <w:rsid w:val="00FE1749"/>
    <w:rsid w:val="00FE1B74"/>
    <w:rsid w:val="00FE1FAD"/>
    <w:rsid w:val="00FE2464"/>
    <w:rsid w:val="00FE3180"/>
    <w:rsid w:val="00FE4AF1"/>
    <w:rsid w:val="00FE63CC"/>
    <w:rsid w:val="00FE70DD"/>
    <w:rsid w:val="00FF09CF"/>
    <w:rsid w:val="00FF138E"/>
    <w:rsid w:val="00FF1B9B"/>
    <w:rsid w:val="00FF314A"/>
    <w:rsid w:val="00FF5660"/>
    <w:rsid w:val="00FF6619"/>
    <w:rsid w:val="00FF6853"/>
    <w:rsid w:val="016121C2"/>
    <w:rsid w:val="01E22517"/>
    <w:rsid w:val="03D99B5C"/>
    <w:rsid w:val="03EEDA16"/>
    <w:rsid w:val="03F43EE4"/>
    <w:rsid w:val="04734C02"/>
    <w:rsid w:val="059B945B"/>
    <w:rsid w:val="06C6DDF4"/>
    <w:rsid w:val="0ADEF35D"/>
    <w:rsid w:val="0B11AEDE"/>
    <w:rsid w:val="0B1B7285"/>
    <w:rsid w:val="0C2A8DB6"/>
    <w:rsid w:val="0E0ACF91"/>
    <w:rsid w:val="10771587"/>
    <w:rsid w:val="10EBC4BF"/>
    <w:rsid w:val="120F7E50"/>
    <w:rsid w:val="125A970A"/>
    <w:rsid w:val="12871319"/>
    <w:rsid w:val="13283740"/>
    <w:rsid w:val="137A8D39"/>
    <w:rsid w:val="14045E9D"/>
    <w:rsid w:val="147D4CFB"/>
    <w:rsid w:val="14DFA7CC"/>
    <w:rsid w:val="154DD75D"/>
    <w:rsid w:val="15894E2A"/>
    <w:rsid w:val="166B70A4"/>
    <w:rsid w:val="16A08D82"/>
    <w:rsid w:val="16A22315"/>
    <w:rsid w:val="17669E74"/>
    <w:rsid w:val="1987DD68"/>
    <w:rsid w:val="19E80855"/>
    <w:rsid w:val="1C80E9F5"/>
    <w:rsid w:val="1CFD0D5E"/>
    <w:rsid w:val="1DB41336"/>
    <w:rsid w:val="1F44CF35"/>
    <w:rsid w:val="1FE0CA7C"/>
    <w:rsid w:val="2004ED0E"/>
    <w:rsid w:val="202C0383"/>
    <w:rsid w:val="2189A166"/>
    <w:rsid w:val="21E1AC92"/>
    <w:rsid w:val="22AA059A"/>
    <w:rsid w:val="2379F739"/>
    <w:rsid w:val="23EBD4F0"/>
    <w:rsid w:val="243859CA"/>
    <w:rsid w:val="248F2308"/>
    <w:rsid w:val="25A9E46C"/>
    <w:rsid w:val="26842424"/>
    <w:rsid w:val="26D31AB2"/>
    <w:rsid w:val="27F65AB0"/>
    <w:rsid w:val="28F53246"/>
    <w:rsid w:val="2A393D4A"/>
    <w:rsid w:val="2A4226EF"/>
    <w:rsid w:val="2C039EC4"/>
    <w:rsid w:val="2C501D97"/>
    <w:rsid w:val="2DD11C4D"/>
    <w:rsid w:val="2E18222C"/>
    <w:rsid w:val="2FA6DB03"/>
    <w:rsid w:val="3125BA7F"/>
    <w:rsid w:val="31493729"/>
    <w:rsid w:val="3216012C"/>
    <w:rsid w:val="357E7FA7"/>
    <w:rsid w:val="36451247"/>
    <w:rsid w:val="36B5414B"/>
    <w:rsid w:val="37119A2F"/>
    <w:rsid w:val="38CAD12B"/>
    <w:rsid w:val="39205B20"/>
    <w:rsid w:val="3B339253"/>
    <w:rsid w:val="3B6AF785"/>
    <w:rsid w:val="3CA81122"/>
    <w:rsid w:val="3D46389C"/>
    <w:rsid w:val="3F53405C"/>
    <w:rsid w:val="40A918A7"/>
    <w:rsid w:val="41413B63"/>
    <w:rsid w:val="4165B3E7"/>
    <w:rsid w:val="41755C22"/>
    <w:rsid w:val="424376A6"/>
    <w:rsid w:val="443B1377"/>
    <w:rsid w:val="456A7E54"/>
    <w:rsid w:val="469BA50C"/>
    <w:rsid w:val="46E789DE"/>
    <w:rsid w:val="48308501"/>
    <w:rsid w:val="487BA213"/>
    <w:rsid w:val="499705B3"/>
    <w:rsid w:val="49F823F4"/>
    <w:rsid w:val="4A168E34"/>
    <w:rsid w:val="4A3952D2"/>
    <w:rsid w:val="4A8FF2AA"/>
    <w:rsid w:val="4C3FC069"/>
    <w:rsid w:val="4D76C34A"/>
    <w:rsid w:val="4E8F4366"/>
    <w:rsid w:val="4F205566"/>
    <w:rsid w:val="4FFC6173"/>
    <w:rsid w:val="51FAE3AC"/>
    <w:rsid w:val="52FBDDB8"/>
    <w:rsid w:val="5321B1C7"/>
    <w:rsid w:val="532D11C9"/>
    <w:rsid w:val="54663052"/>
    <w:rsid w:val="54A95159"/>
    <w:rsid w:val="551464DE"/>
    <w:rsid w:val="561B2E3D"/>
    <w:rsid w:val="5635EEA1"/>
    <w:rsid w:val="56C4EFB4"/>
    <w:rsid w:val="57424279"/>
    <w:rsid w:val="574B2C48"/>
    <w:rsid w:val="58679694"/>
    <w:rsid w:val="593F2330"/>
    <w:rsid w:val="596EA2F6"/>
    <w:rsid w:val="5B078182"/>
    <w:rsid w:val="5BBD0B53"/>
    <w:rsid w:val="5C4DA295"/>
    <w:rsid w:val="5D430142"/>
    <w:rsid w:val="5E28CAAB"/>
    <w:rsid w:val="5F5F4155"/>
    <w:rsid w:val="5F7F86A7"/>
    <w:rsid w:val="5FFF57D0"/>
    <w:rsid w:val="62C6E0D3"/>
    <w:rsid w:val="63FDE554"/>
    <w:rsid w:val="66A2DBA9"/>
    <w:rsid w:val="66E7094A"/>
    <w:rsid w:val="679B7461"/>
    <w:rsid w:val="68B790E7"/>
    <w:rsid w:val="693845EA"/>
    <w:rsid w:val="6990A735"/>
    <w:rsid w:val="69A1096F"/>
    <w:rsid w:val="6ACCDE98"/>
    <w:rsid w:val="6ADCDB04"/>
    <w:rsid w:val="6B2EF8F8"/>
    <w:rsid w:val="6BDE943F"/>
    <w:rsid w:val="6CF36EE5"/>
    <w:rsid w:val="6D329BB2"/>
    <w:rsid w:val="6D85E119"/>
    <w:rsid w:val="6E095A31"/>
    <w:rsid w:val="70370DE1"/>
    <w:rsid w:val="7073E956"/>
    <w:rsid w:val="71C97196"/>
    <w:rsid w:val="71F43971"/>
    <w:rsid w:val="729A5156"/>
    <w:rsid w:val="72FE9410"/>
    <w:rsid w:val="74B9E5C2"/>
    <w:rsid w:val="74D70A2E"/>
    <w:rsid w:val="76A2C1A2"/>
    <w:rsid w:val="7708A6C8"/>
    <w:rsid w:val="786ED1F8"/>
    <w:rsid w:val="7B266D39"/>
    <w:rsid w:val="7B9F543C"/>
    <w:rsid w:val="7BC89756"/>
    <w:rsid w:val="7D7BAA79"/>
    <w:rsid w:val="7DFFDA40"/>
    <w:rsid w:val="7E08E6B0"/>
    <w:rsid w:val="7E54528E"/>
    <w:rsid w:val="7E8342E4"/>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2"/>
    </o:shapelayout>
  </w:shapeDefaults>
  <w:decimalSymbol w:val="."/>
  <w:listSeparator w:val=","/>
  <w14:docId w14:val="4FFA50FD"/>
  <w15:docId w15:val="{63DDF7E2-5F65-4F0E-8EE5-0A24A44C43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spacing w:after="360" w:line="28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emiHidden/>
    <w:qFormat/>
    <w:rsid w:val="007205C0"/>
    <w:rPr>
      <w:lang w:val="en-GB"/>
    </w:rPr>
  </w:style>
  <w:style w:type="paragraph" w:styleId="Heading1">
    <w:name w:val="heading 1"/>
    <w:basedOn w:val="Normal"/>
    <w:next w:val="BodyText"/>
    <w:uiPriority w:val="9"/>
    <w:qFormat/>
    <w:rsid w:val="001378F7"/>
    <w:pPr>
      <w:pageBreakBefore/>
      <w:spacing w:after="560"/>
      <w:ind w:left="720" w:hanging="720"/>
      <w:outlineLvl w:val="0"/>
    </w:pPr>
    <w:rPr>
      <w:rFonts w:ascii="Kaleko105Round-Book" w:eastAsia="Kaleko105Round-Book" w:hAnsi="Kaleko105Round-Book" w:cs="Kaleko105Round-Book"/>
      <w:color w:val="0B1F2C" w:themeColor="text1"/>
      <w:sz w:val="56"/>
      <w:szCs w:val="56"/>
    </w:rPr>
  </w:style>
  <w:style w:type="paragraph" w:styleId="Heading2">
    <w:name w:val="heading 2"/>
    <w:basedOn w:val="Normal"/>
    <w:next w:val="BodyText"/>
    <w:uiPriority w:val="9"/>
    <w:qFormat/>
    <w:rsid w:val="007A4E63"/>
    <w:pPr>
      <w:spacing w:before="400" w:after="120"/>
      <w:ind w:left="720" w:hanging="720"/>
      <w:outlineLvl w:val="1"/>
    </w:pPr>
    <w:rPr>
      <w:rFonts w:ascii="Kaleko 105 Round" w:eastAsia="Kaleko105Round-Book" w:hAnsi="Kaleko 105 Round" w:cs="Kaleko105Round-Book"/>
      <w:color w:val="009FE3" w:themeColor="accent1"/>
      <w:sz w:val="32"/>
      <w:szCs w:val="50"/>
    </w:rPr>
  </w:style>
  <w:style w:type="paragraph" w:styleId="Heading3">
    <w:name w:val="heading 3"/>
    <w:aliases w:val="Subheading"/>
    <w:basedOn w:val="Normal"/>
    <w:uiPriority w:val="9"/>
    <w:semiHidden/>
    <w:qFormat/>
    <w:rsid w:val="004713A7"/>
    <w:pPr>
      <w:spacing w:before="166"/>
      <w:outlineLvl w:val="2"/>
    </w:pPr>
    <w:rPr>
      <w:rFonts w:ascii="Kaleko105Round-Book" w:eastAsia="Kaleko105Round-Book" w:hAnsi="Kaleko105Round-Book" w:cs="Kaleko105Round-Book"/>
      <w:color w:val="009FE3"/>
      <w:szCs w:val="32"/>
    </w:rPr>
  </w:style>
  <w:style w:type="paragraph" w:styleId="Heading4">
    <w:name w:val="heading 4"/>
    <w:aliases w:val="Sub-subheading"/>
    <w:basedOn w:val="Normal"/>
    <w:next w:val="BodyText"/>
    <w:link w:val="Heading4Char"/>
    <w:uiPriority w:val="9"/>
    <w:qFormat/>
    <w:rsid w:val="00AA73EE"/>
    <w:pPr>
      <w:keepNext/>
      <w:keepLines/>
      <w:spacing w:before="180"/>
      <w:outlineLvl w:val="3"/>
    </w:pPr>
    <w:rPr>
      <w:rFonts w:asciiTheme="majorHAnsi" w:eastAsiaTheme="majorEastAsia" w:hAnsiTheme="majorHAnsi" w:cstheme="majorBidi"/>
      <w:iCs/>
      <w:color w:val="C5446E" w:themeColor="accent4"/>
    </w:rPr>
  </w:style>
  <w:style w:type="paragraph" w:styleId="Heading5">
    <w:name w:val="heading 5"/>
    <w:basedOn w:val="Normal"/>
    <w:next w:val="Normal"/>
    <w:link w:val="Heading5Char"/>
    <w:uiPriority w:val="10"/>
    <w:semiHidden/>
    <w:qFormat/>
    <w:rsid w:val="00B44E4E"/>
    <w:pPr>
      <w:keepNext/>
      <w:keepLines/>
      <w:pageBreakBefore/>
      <w:widowControl/>
      <w:tabs>
        <w:tab w:val="num" w:pos="2211"/>
      </w:tabs>
      <w:spacing w:after="120" w:line="240" w:lineRule="auto"/>
      <w:ind w:left="2211" w:hanging="2211"/>
      <w:outlineLvl w:val="4"/>
    </w:pPr>
    <w:rPr>
      <w:rFonts w:asciiTheme="majorHAnsi" w:eastAsiaTheme="majorEastAsia" w:hAnsiTheme="majorHAnsi" w:cstheme="majorBidi"/>
      <w:color w:val="009FE3"/>
      <w:sz w:val="32"/>
    </w:rPr>
  </w:style>
  <w:style w:type="paragraph" w:styleId="Heading6">
    <w:name w:val="heading 6"/>
    <w:basedOn w:val="Normal"/>
    <w:next w:val="Normal"/>
    <w:link w:val="Heading6Char"/>
    <w:uiPriority w:val="9"/>
    <w:semiHidden/>
    <w:unhideWhenUsed/>
    <w:qFormat/>
    <w:rsid w:val="0090719C"/>
    <w:pPr>
      <w:keepNext/>
      <w:keepLines/>
      <w:spacing w:before="40"/>
      <w:outlineLvl w:val="5"/>
    </w:pPr>
    <w:rPr>
      <w:rFonts w:asciiTheme="majorHAnsi" w:eastAsiaTheme="majorEastAsia" w:hAnsiTheme="majorHAnsi" w:cstheme="majorBidi"/>
      <w:color w:val="004E71" w:themeColor="accent1" w:themeShade="7F"/>
    </w:rPr>
  </w:style>
  <w:style w:type="paragraph" w:styleId="Heading7">
    <w:name w:val="heading 7"/>
    <w:basedOn w:val="Normal"/>
    <w:next w:val="Normal"/>
    <w:link w:val="Heading7Char"/>
    <w:uiPriority w:val="9"/>
    <w:semiHidden/>
    <w:unhideWhenUsed/>
    <w:qFormat/>
    <w:rsid w:val="0090719C"/>
    <w:pPr>
      <w:keepNext/>
      <w:keepLines/>
      <w:spacing w:before="40"/>
      <w:outlineLvl w:val="6"/>
    </w:pPr>
    <w:rPr>
      <w:rFonts w:asciiTheme="majorHAnsi" w:eastAsiaTheme="majorEastAsia" w:hAnsiTheme="majorHAnsi" w:cstheme="majorBidi"/>
      <w:i/>
      <w:iCs/>
      <w:color w:val="004E71" w:themeColor="accent1" w:themeShade="7F"/>
    </w:rPr>
  </w:style>
  <w:style w:type="paragraph" w:styleId="Heading8">
    <w:name w:val="heading 8"/>
    <w:basedOn w:val="Normal"/>
    <w:next w:val="Normal"/>
    <w:link w:val="Heading8Char"/>
    <w:uiPriority w:val="9"/>
    <w:semiHidden/>
    <w:unhideWhenUsed/>
    <w:qFormat/>
    <w:rsid w:val="0090719C"/>
    <w:pPr>
      <w:keepNext/>
      <w:keepLines/>
      <w:spacing w:before="40"/>
      <w:outlineLvl w:val="7"/>
    </w:pPr>
    <w:rPr>
      <w:rFonts w:asciiTheme="majorHAnsi" w:eastAsiaTheme="majorEastAsia" w:hAnsiTheme="majorHAnsi" w:cstheme="majorBidi"/>
      <w:color w:val="194563" w:themeColor="text1" w:themeTint="D8"/>
      <w:sz w:val="21"/>
      <w:szCs w:val="21"/>
    </w:rPr>
  </w:style>
  <w:style w:type="paragraph" w:styleId="Heading9">
    <w:name w:val="heading 9"/>
    <w:basedOn w:val="Normal"/>
    <w:next w:val="Normal"/>
    <w:link w:val="Heading9Char"/>
    <w:uiPriority w:val="9"/>
    <w:semiHidden/>
    <w:qFormat/>
    <w:rsid w:val="0090719C"/>
    <w:pPr>
      <w:keepNext/>
      <w:keepLines/>
      <w:spacing w:before="40"/>
      <w:outlineLvl w:val="8"/>
    </w:pPr>
    <w:rPr>
      <w:rFonts w:asciiTheme="majorHAnsi" w:eastAsiaTheme="majorEastAsia" w:hAnsiTheme="majorHAnsi" w:cstheme="majorBidi"/>
      <w:i/>
      <w:iCs/>
      <w:color w:val="194563"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39"/>
    <w:qFormat/>
    <w:rsid w:val="008064F8"/>
    <w:pPr>
      <w:spacing w:before="576"/>
      <w:ind w:left="720" w:hanging="720"/>
    </w:pPr>
    <w:rPr>
      <w:sz w:val="28"/>
      <w:szCs w:val="28"/>
    </w:rPr>
  </w:style>
  <w:style w:type="paragraph" w:styleId="TOC2">
    <w:name w:val="toc 2"/>
    <w:basedOn w:val="Normal"/>
    <w:uiPriority w:val="39"/>
    <w:semiHidden/>
    <w:qFormat/>
    <w:pPr>
      <w:spacing w:before="14"/>
      <w:ind w:left="1020"/>
    </w:pPr>
    <w:rPr>
      <w:sz w:val="28"/>
      <w:szCs w:val="28"/>
    </w:rPr>
  </w:style>
  <w:style w:type="paragraph" w:styleId="BodyText">
    <w:name w:val="Body Text"/>
    <w:basedOn w:val="Normal"/>
    <w:link w:val="BodyTextChar"/>
    <w:uiPriority w:val="1"/>
    <w:qFormat/>
    <w:rsid w:val="00420FC1"/>
  </w:style>
  <w:style w:type="paragraph" w:styleId="ListParagraph">
    <w:name w:val="List Paragraph"/>
    <w:basedOn w:val="Normal"/>
    <w:uiPriority w:val="34"/>
    <w:qFormat/>
    <w:pPr>
      <w:spacing w:before="576"/>
      <w:ind w:left="963" w:hanging="339"/>
    </w:pPr>
  </w:style>
  <w:style w:type="paragraph" w:customStyle="1" w:styleId="TableParagraph">
    <w:name w:val="Table Paragraph"/>
    <w:basedOn w:val="Normal"/>
    <w:uiPriority w:val="1"/>
    <w:semiHidden/>
    <w:qFormat/>
    <w:pPr>
      <w:spacing w:before="108"/>
    </w:pPr>
  </w:style>
  <w:style w:type="paragraph" w:styleId="Header">
    <w:name w:val="header"/>
    <w:basedOn w:val="Normal"/>
    <w:link w:val="HeaderChar"/>
    <w:uiPriority w:val="99"/>
    <w:semiHidden/>
    <w:rsid w:val="00686EE2"/>
    <w:pPr>
      <w:tabs>
        <w:tab w:val="center" w:pos="4513"/>
        <w:tab w:val="right" w:pos="9026"/>
      </w:tabs>
      <w:spacing w:after="0" w:line="240" w:lineRule="auto"/>
    </w:pPr>
    <w:rPr>
      <w:caps/>
      <w:color w:val="0B1F2C"/>
      <w:spacing w:val="40"/>
      <w:sz w:val="16"/>
    </w:rPr>
  </w:style>
  <w:style w:type="character" w:customStyle="1" w:styleId="HeaderChar">
    <w:name w:val="Header Char"/>
    <w:basedOn w:val="DefaultParagraphFont"/>
    <w:link w:val="Header"/>
    <w:uiPriority w:val="99"/>
    <w:semiHidden/>
    <w:rsid w:val="00686EE2"/>
    <w:rPr>
      <w:caps/>
      <w:color w:val="0B1F2C"/>
      <w:spacing w:val="40"/>
      <w:sz w:val="16"/>
    </w:rPr>
  </w:style>
  <w:style w:type="paragraph" w:styleId="Footer">
    <w:name w:val="footer"/>
    <w:basedOn w:val="Normal"/>
    <w:link w:val="FooterChar"/>
    <w:uiPriority w:val="99"/>
    <w:rsid w:val="00C65A9A"/>
    <w:pPr>
      <w:tabs>
        <w:tab w:val="right" w:pos="10541"/>
      </w:tabs>
      <w:spacing w:after="0" w:line="240" w:lineRule="auto"/>
    </w:pPr>
    <w:rPr>
      <w:color w:val="0B1F2C"/>
      <w:sz w:val="16"/>
    </w:rPr>
  </w:style>
  <w:style w:type="character" w:customStyle="1" w:styleId="FooterChar">
    <w:name w:val="Footer Char"/>
    <w:basedOn w:val="DefaultParagraphFont"/>
    <w:link w:val="Footer"/>
    <w:uiPriority w:val="99"/>
    <w:rsid w:val="00EB0CDB"/>
    <w:rPr>
      <w:color w:val="0B1F2C"/>
      <w:sz w:val="16"/>
    </w:rPr>
  </w:style>
  <w:style w:type="paragraph" w:styleId="Title">
    <w:name w:val="Title"/>
    <w:aliases w:val="Report Title"/>
    <w:next w:val="Normal"/>
    <w:link w:val="TitleChar"/>
    <w:uiPriority w:val="10"/>
    <w:qFormat/>
    <w:rsid w:val="009C1D0D"/>
    <w:pPr>
      <w:spacing w:line="250" w:lineRule="auto"/>
      <w:ind w:right="851"/>
    </w:pPr>
    <w:rPr>
      <w:rFonts w:ascii="Kaleko 105 Round" w:eastAsia="Kaleko105Round-Book" w:hAnsi="Kaleko 105 Round" w:cs="Kaleko105Round-Book"/>
      <w:color w:val="FFFFFF"/>
      <w:sz w:val="50"/>
      <w:szCs w:val="50"/>
      <w:lang w:val="en-GB"/>
    </w:rPr>
  </w:style>
  <w:style w:type="character" w:customStyle="1" w:styleId="TitleChar">
    <w:name w:val="Title Char"/>
    <w:aliases w:val="Report Title Char"/>
    <w:basedOn w:val="DefaultParagraphFont"/>
    <w:link w:val="Title"/>
    <w:uiPriority w:val="10"/>
    <w:rsid w:val="009C1D0D"/>
    <w:rPr>
      <w:rFonts w:ascii="Kaleko 105 Round" w:eastAsia="Kaleko105Round-Book" w:hAnsi="Kaleko 105 Round" w:cs="Kaleko105Round-Book"/>
      <w:color w:val="FFFFFF"/>
      <w:sz w:val="50"/>
      <w:szCs w:val="50"/>
      <w:lang w:val="en-GB"/>
    </w:rPr>
  </w:style>
  <w:style w:type="paragraph" w:styleId="Subtitle">
    <w:name w:val="Subtitle"/>
    <w:basedOn w:val="Normal"/>
    <w:next w:val="Normal"/>
    <w:link w:val="SubtitleChar"/>
    <w:uiPriority w:val="11"/>
    <w:qFormat/>
    <w:rsid w:val="00FF314A"/>
    <w:rPr>
      <w:rFonts w:ascii="Kaleko 105 Round" w:hAnsi="Kaleko 105 Round"/>
      <w:b/>
      <w:bCs/>
      <w:color w:val="FFFFFF"/>
    </w:rPr>
  </w:style>
  <w:style w:type="character" w:customStyle="1" w:styleId="SubtitleChar">
    <w:name w:val="Subtitle Char"/>
    <w:basedOn w:val="DefaultParagraphFont"/>
    <w:link w:val="Subtitle"/>
    <w:uiPriority w:val="11"/>
    <w:rsid w:val="00FF314A"/>
    <w:rPr>
      <w:rFonts w:ascii="Kaleko 105 Round" w:hAnsi="Kaleko 105 Round"/>
      <w:b/>
      <w:bCs/>
      <w:color w:val="FFFFFF"/>
    </w:rPr>
  </w:style>
  <w:style w:type="numbering" w:customStyle="1" w:styleId="CENumberedHeadings">
    <w:name w:val="CE Numbered Headings"/>
    <w:uiPriority w:val="99"/>
    <w:rsid w:val="004713A7"/>
    <w:pPr>
      <w:numPr>
        <w:numId w:val="4"/>
      </w:numPr>
    </w:pPr>
  </w:style>
  <w:style w:type="paragraph" w:customStyle="1" w:styleId="StandardHeadingBlack">
    <w:name w:val="Standard Heading (Black)"/>
    <w:basedOn w:val="Normal"/>
    <w:uiPriority w:val="21"/>
    <w:qFormat/>
    <w:rsid w:val="0056414D"/>
    <w:pPr>
      <w:spacing w:before="120"/>
    </w:pPr>
    <w:rPr>
      <w:rFonts w:ascii="Kaleko 105 Round" w:hAnsi="Kaleko 105 Round"/>
      <w:color w:val="0B1F2C" w:themeColor="text1"/>
      <w:sz w:val="56"/>
    </w:rPr>
  </w:style>
  <w:style w:type="paragraph" w:customStyle="1" w:styleId="StandardHeadingWhite">
    <w:name w:val="Standard Heading (White)"/>
    <w:basedOn w:val="Heading2"/>
    <w:uiPriority w:val="21"/>
    <w:qFormat/>
    <w:rsid w:val="00473362"/>
    <w:pPr>
      <w:spacing w:before="0" w:after="0" w:line="240" w:lineRule="auto"/>
      <w:ind w:left="0" w:firstLine="0"/>
    </w:pPr>
    <w:rPr>
      <w:color w:val="FFFFFF"/>
      <w:sz w:val="50"/>
    </w:rPr>
  </w:style>
  <w:style w:type="paragraph" w:styleId="Caption">
    <w:name w:val="caption"/>
    <w:basedOn w:val="BodyText"/>
    <w:next w:val="Normal"/>
    <w:uiPriority w:val="35"/>
    <w:qFormat/>
    <w:rsid w:val="001378F7"/>
    <w:pPr>
      <w:spacing w:before="1" w:after="260"/>
    </w:pPr>
    <w:rPr>
      <w:rFonts w:ascii="Kaleko 105 Round" w:hAnsi="Kaleko 105 Round"/>
      <w:color w:val="009FE3" w:themeColor="accent1"/>
      <w:spacing w:val="-4"/>
    </w:rPr>
  </w:style>
  <w:style w:type="paragraph" w:styleId="TableofFigures">
    <w:name w:val="table of figures"/>
    <w:basedOn w:val="Normal"/>
    <w:next w:val="Normal"/>
    <w:uiPriority w:val="99"/>
    <w:rsid w:val="006A2199"/>
    <w:pPr>
      <w:tabs>
        <w:tab w:val="right" w:pos="11199"/>
      </w:tabs>
      <w:spacing w:after="60"/>
    </w:pPr>
    <w:rPr>
      <w:noProof/>
      <w:sz w:val="18"/>
    </w:rPr>
  </w:style>
  <w:style w:type="character" w:styleId="Hyperlink">
    <w:name w:val="Hyperlink"/>
    <w:basedOn w:val="DefaultParagraphFont"/>
    <w:uiPriority w:val="99"/>
    <w:rsid w:val="008E1619"/>
    <w:rPr>
      <w:color w:val="0000FF" w:themeColor="hyperlink"/>
      <w:u w:val="single"/>
      <w:lang w:val="en-GB"/>
    </w:rPr>
  </w:style>
  <w:style w:type="paragraph" w:styleId="BalloonText">
    <w:name w:val="Balloon Text"/>
    <w:basedOn w:val="Normal"/>
    <w:link w:val="BalloonTextChar"/>
    <w:uiPriority w:val="99"/>
    <w:semiHidden/>
    <w:unhideWhenUsed/>
    <w:rsid w:val="0090719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0719C"/>
    <w:rPr>
      <w:rFonts w:ascii="Segoe UI" w:eastAsia="Arial" w:hAnsi="Segoe UI" w:cs="Segoe UI"/>
      <w:sz w:val="18"/>
      <w:szCs w:val="18"/>
      <w:lang w:val="en-GB"/>
    </w:rPr>
  </w:style>
  <w:style w:type="paragraph" w:styleId="Bibliography">
    <w:name w:val="Bibliography"/>
    <w:basedOn w:val="Normal"/>
    <w:next w:val="Normal"/>
    <w:uiPriority w:val="37"/>
    <w:semiHidden/>
    <w:unhideWhenUsed/>
    <w:rsid w:val="0090719C"/>
  </w:style>
  <w:style w:type="paragraph" w:styleId="BlockText">
    <w:name w:val="Block Text"/>
    <w:basedOn w:val="Normal"/>
    <w:uiPriority w:val="99"/>
    <w:semiHidden/>
    <w:unhideWhenUsed/>
    <w:rsid w:val="0090719C"/>
    <w:pPr>
      <w:pBdr>
        <w:top w:val="single" w:sz="2" w:space="10" w:color="009FE3" w:themeColor="accent1"/>
        <w:left w:val="single" w:sz="2" w:space="10" w:color="009FE3" w:themeColor="accent1"/>
        <w:bottom w:val="single" w:sz="2" w:space="10" w:color="009FE3" w:themeColor="accent1"/>
        <w:right w:val="single" w:sz="2" w:space="10" w:color="009FE3" w:themeColor="accent1"/>
      </w:pBdr>
      <w:ind w:left="1152" w:right="1152"/>
    </w:pPr>
    <w:rPr>
      <w:rFonts w:eastAsiaTheme="minorEastAsia"/>
      <w:i/>
      <w:iCs/>
      <w:color w:val="009FE3" w:themeColor="accent1"/>
    </w:rPr>
  </w:style>
  <w:style w:type="paragraph" w:styleId="BodyText2">
    <w:name w:val="Body Text 2"/>
    <w:basedOn w:val="Normal"/>
    <w:link w:val="BodyText2Char"/>
    <w:uiPriority w:val="99"/>
    <w:semiHidden/>
    <w:unhideWhenUsed/>
    <w:rsid w:val="0090719C"/>
    <w:pPr>
      <w:spacing w:after="120" w:line="480" w:lineRule="auto"/>
    </w:pPr>
  </w:style>
  <w:style w:type="character" w:customStyle="1" w:styleId="BodyText2Char">
    <w:name w:val="Body Text 2 Char"/>
    <w:basedOn w:val="DefaultParagraphFont"/>
    <w:link w:val="BodyText2"/>
    <w:uiPriority w:val="99"/>
    <w:semiHidden/>
    <w:rsid w:val="0090719C"/>
    <w:rPr>
      <w:rFonts w:ascii="Arial" w:eastAsia="Arial" w:hAnsi="Arial" w:cs="Arial"/>
      <w:lang w:val="en-GB"/>
    </w:rPr>
  </w:style>
  <w:style w:type="paragraph" w:styleId="BodyText3">
    <w:name w:val="Body Text 3"/>
    <w:basedOn w:val="Normal"/>
    <w:link w:val="BodyText3Char"/>
    <w:uiPriority w:val="99"/>
    <w:semiHidden/>
    <w:unhideWhenUsed/>
    <w:rsid w:val="0090719C"/>
    <w:pPr>
      <w:spacing w:after="120"/>
    </w:pPr>
    <w:rPr>
      <w:sz w:val="16"/>
      <w:szCs w:val="16"/>
    </w:rPr>
  </w:style>
  <w:style w:type="character" w:customStyle="1" w:styleId="BodyText3Char">
    <w:name w:val="Body Text 3 Char"/>
    <w:basedOn w:val="DefaultParagraphFont"/>
    <w:link w:val="BodyText3"/>
    <w:uiPriority w:val="99"/>
    <w:semiHidden/>
    <w:rsid w:val="0090719C"/>
    <w:rPr>
      <w:rFonts w:ascii="Arial" w:eastAsia="Arial" w:hAnsi="Arial" w:cs="Arial"/>
      <w:sz w:val="16"/>
      <w:szCs w:val="16"/>
      <w:lang w:val="en-GB"/>
    </w:rPr>
  </w:style>
  <w:style w:type="paragraph" w:styleId="BodyTextFirstIndent">
    <w:name w:val="Body Text First Indent"/>
    <w:basedOn w:val="BodyText"/>
    <w:link w:val="BodyTextFirstIndentChar"/>
    <w:uiPriority w:val="99"/>
    <w:semiHidden/>
    <w:unhideWhenUsed/>
    <w:rsid w:val="0090719C"/>
    <w:pPr>
      <w:ind w:firstLine="360"/>
    </w:pPr>
  </w:style>
  <w:style w:type="character" w:customStyle="1" w:styleId="BodyTextChar">
    <w:name w:val="Body Text Char"/>
    <w:basedOn w:val="DefaultParagraphFont"/>
    <w:link w:val="BodyText"/>
    <w:uiPriority w:val="1"/>
    <w:rsid w:val="00420FC1"/>
    <w:rPr>
      <w:lang w:val="en-GB"/>
    </w:rPr>
  </w:style>
  <w:style w:type="character" w:customStyle="1" w:styleId="BodyTextFirstIndentChar">
    <w:name w:val="Body Text First Indent Char"/>
    <w:basedOn w:val="BodyTextChar"/>
    <w:link w:val="BodyTextFirstIndent"/>
    <w:uiPriority w:val="99"/>
    <w:semiHidden/>
    <w:rsid w:val="0090719C"/>
    <w:rPr>
      <w:rFonts w:ascii="Arial" w:eastAsia="Arial" w:hAnsi="Arial" w:cs="Arial"/>
      <w:sz w:val="20"/>
      <w:szCs w:val="20"/>
      <w:lang w:val="en-GB"/>
    </w:rPr>
  </w:style>
  <w:style w:type="paragraph" w:styleId="BodyTextIndent">
    <w:name w:val="Body Text Indent"/>
    <w:basedOn w:val="BodyText"/>
    <w:link w:val="BodyTextIndentChar"/>
    <w:uiPriority w:val="1"/>
    <w:rsid w:val="00E2705A"/>
    <w:pPr>
      <w:spacing w:after="180"/>
      <w:ind w:left="454"/>
    </w:pPr>
  </w:style>
  <w:style w:type="character" w:customStyle="1" w:styleId="BodyTextIndentChar">
    <w:name w:val="Body Text Indent Char"/>
    <w:basedOn w:val="DefaultParagraphFont"/>
    <w:link w:val="BodyTextIndent"/>
    <w:uiPriority w:val="1"/>
    <w:rsid w:val="00E2705A"/>
  </w:style>
  <w:style w:type="paragraph" w:styleId="BodyTextFirstIndent2">
    <w:name w:val="Body Text First Indent 2"/>
    <w:basedOn w:val="BodyTextIndent"/>
    <w:link w:val="BodyTextFirstIndent2Char"/>
    <w:uiPriority w:val="99"/>
    <w:semiHidden/>
    <w:unhideWhenUsed/>
    <w:rsid w:val="0090719C"/>
    <w:pPr>
      <w:spacing w:after="0"/>
      <w:ind w:left="360" w:firstLine="360"/>
    </w:pPr>
  </w:style>
  <w:style w:type="character" w:customStyle="1" w:styleId="BodyTextFirstIndent2Char">
    <w:name w:val="Body Text First Indent 2 Char"/>
    <w:basedOn w:val="BodyTextIndentChar"/>
    <w:link w:val="BodyTextFirstIndent2"/>
    <w:uiPriority w:val="99"/>
    <w:semiHidden/>
    <w:rsid w:val="0090719C"/>
    <w:rPr>
      <w:rFonts w:ascii="Arial" w:eastAsia="Arial" w:hAnsi="Arial" w:cs="Arial"/>
      <w:lang w:val="en-GB"/>
    </w:rPr>
  </w:style>
  <w:style w:type="paragraph" w:styleId="BodyTextIndent2">
    <w:name w:val="Body Text Indent 2"/>
    <w:basedOn w:val="Normal"/>
    <w:link w:val="BodyTextIndent2Char"/>
    <w:uiPriority w:val="99"/>
    <w:semiHidden/>
    <w:unhideWhenUsed/>
    <w:rsid w:val="0090719C"/>
    <w:pPr>
      <w:spacing w:after="120" w:line="480" w:lineRule="auto"/>
      <w:ind w:left="283"/>
    </w:pPr>
  </w:style>
  <w:style w:type="character" w:customStyle="1" w:styleId="BodyTextIndent2Char">
    <w:name w:val="Body Text Indent 2 Char"/>
    <w:basedOn w:val="DefaultParagraphFont"/>
    <w:link w:val="BodyTextIndent2"/>
    <w:uiPriority w:val="99"/>
    <w:semiHidden/>
    <w:rsid w:val="0090719C"/>
    <w:rPr>
      <w:rFonts w:ascii="Arial" w:eastAsia="Arial" w:hAnsi="Arial" w:cs="Arial"/>
      <w:lang w:val="en-GB"/>
    </w:rPr>
  </w:style>
  <w:style w:type="paragraph" w:styleId="BodyTextIndent3">
    <w:name w:val="Body Text Indent 3"/>
    <w:basedOn w:val="Normal"/>
    <w:link w:val="BodyTextIndent3Char"/>
    <w:uiPriority w:val="99"/>
    <w:semiHidden/>
    <w:unhideWhenUsed/>
    <w:rsid w:val="0090719C"/>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90719C"/>
    <w:rPr>
      <w:rFonts w:ascii="Arial" w:eastAsia="Arial" w:hAnsi="Arial" w:cs="Arial"/>
      <w:sz w:val="16"/>
      <w:szCs w:val="16"/>
      <w:lang w:val="en-GB"/>
    </w:rPr>
  </w:style>
  <w:style w:type="character" w:styleId="BookTitle">
    <w:name w:val="Book Title"/>
    <w:basedOn w:val="DefaultParagraphFont"/>
    <w:uiPriority w:val="33"/>
    <w:semiHidden/>
    <w:qFormat/>
    <w:rsid w:val="0090719C"/>
    <w:rPr>
      <w:b/>
      <w:bCs/>
      <w:i/>
      <w:iCs/>
      <w:spacing w:val="5"/>
      <w:lang w:val="en-GB"/>
    </w:rPr>
  </w:style>
  <w:style w:type="paragraph" w:styleId="Closing">
    <w:name w:val="Closing"/>
    <w:basedOn w:val="Normal"/>
    <w:link w:val="ClosingChar"/>
    <w:uiPriority w:val="99"/>
    <w:semiHidden/>
    <w:unhideWhenUsed/>
    <w:rsid w:val="0090719C"/>
    <w:pPr>
      <w:ind w:left="4252"/>
    </w:pPr>
  </w:style>
  <w:style w:type="character" w:customStyle="1" w:styleId="ClosingChar">
    <w:name w:val="Closing Char"/>
    <w:basedOn w:val="DefaultParagraphFont"/>
    <w:link w:val="Closing"/>
    <w:uiPriority w:val="99"/>
    <w:semiHidden/>
    <w:rsid w:val="0090719C"/>
    <w:rPr>
      <w:rFonts w:ascii="Arial" w:eastAsia="Arial" w:hAnsi="Arial" w:cs="Arial"/>
      <w:lang w:val="en-GB"/>
    </w:rPr>
  </w:style>
  <w:style w:type="table" w:styleId="ColourfulGrid">
    <w:name w:val="Colorful Grid"/>
    <w:basedOn w:val="TableNormal"/>
    <w:uiPriority w:val="73"/>
    <w:semiHidden/>
    <w:unhideWhenUsed/>
    <w:rsid w:val="0090719C"/>
    <w:rPr>
      <w:color w:val="0B1F2C" w:themeColor="text1"/>
    </w:rPr>
    <w:tblPr>
      <w:tblStyleRowBandSize w:val="1"/>
      <w:tblStyleColBandSize w:val="1"/>
      <w:tblBorders>
        <w:insideH w:val="single" w:sz="4" w:space="0" w:color="FFFFFF" w:themeColor="background1"/>
      </w:tblBorders>
    </w:tblPr>
    <w:tcPr>
      <w:shd w:val="clear" w:color="auto" w:fill="B6D7EC" w:themeFill="text1" w:themeFillTint="33"/>
    </w:tcPr>
    <w:tblStylePr w:type="firstRow">
      <w:rPr>
        <w:b/>
        <w:bCs/>
      </w:rPr>
      <w:tblPr/>
      <w:tcPr>
        <w:shd w:val="clear" w:color="auto" w:fill="6DAFDA" w:themeFill="text1" w:themeFillTint="66"/>
      </w:tcPr>
    </w:tblStylePr>
    <w:tblStylePr w:type="lastRow">
      <w:rPr>
        <w:b/>
        <w:bCs/>
        <w:color w:val="0B1F2C" w:themeColor="text1"/>
      </w:rPr>
      <w:tblPr/>
      <w:tcPr>
        <w:shd w:val="clear" w:color="auto" w:fill="6DAFDA" w:themeFill="text1" w:themeFillTint="66"/>
      </w:tcPr>
    </w:tblStylePr>
    <w:tblStylePr w:type="firstCol">
      <w:rPr>
        <w:color w:val="FFFFFF" w:themeColor="background1"/>
      </w:rPr>
      <w:tblPr/>
      <w:tcPr>
        <w:shd w:val="clear" w:color="auto" w:fill="081720" w:themeFill="text1" w:themeFillShade="BF"/>
      </w:tcPr>
    </w:tblStylePr>
    <w:tblStylePr w:type="lastCol">
      <w:rPr>
        <w:color w:val="FFFFFF" w:themeColor="background1"/>
      </w:rPr>
      <w:tblPr/>
      <w:tcPr>
        <w:shd w:val="clear" w:color="auto" w:fill="081720" w:themeFill="text1" w:themeFillShade="BF"/>
      </w:tcPr>
    </w:tblStylePr>
    <w:tblStylePr w:type="band1Vert">
      <w:tblPr/>
      <w:tcPr>
        <w:shd w:val="clear" w:color="auto" w:fill="499BD1" w:themeFill="text1" w:themeFillTint="7F"/>
      </w:tcPr>
    </w:tblStylePr>
    <w:tblStylePr w:type="band1Horz">
      <w:tblPr/>
      <w:tcPr>
        <w:shd w:val="clear" w:color="auto" w:fill="499BD1" w:themeFill="text1" w:themeFillTint="7F"/>
      </w:tcPr>
    </w:tblStylePr>
  </w:style>
  <w:style w:type="table" w:styleId="ColourfulGridAccent1">
    <w:name w:val="Colorful Grid Accent 1"/>
    <w:basedOn w:val="TableNormal"/>
    <w:uiPriority w:val="73"/>
    <w:semiHidden/>
    <w:unhideWhenUsed/>
    <w:rsid w:val="0090719C"/>
    <w:rPr>
      <w:color w:val="0B1F2C" w:themeColor="text1"/>
    </w:rPr>
    <w:tblPr>
      <w:tblStyleRowBandSize w:val="1"/>
      <w:tblStyleColBandSize w:val="1"/>
      <w:tblBorders>
        <w:insideH w:val="single" w:sz="4" w:space="0" w:color="FFFFFF" w:themeColor="background1"/>
      </w:tblBorders>
    </w:tblPr>
    <w:tcPr>
      <w:shd w:val="clear" w:color="auto" w:fill="C6EDFF" w:themeFill="accent1" w:themeFillTint="33"/>
    </w:tcPr>
    <w:tblStylePr w:type="firstRow">
      <w:rPr>
        <w:b/>
        <w:bCs/>
      </w:rPr>
      <w:tblPr/>
      <w:tcPr>
        <w:shd w:val="clear" w:color="auto" w:fill="8DDCFF" w:themeFill="accent1" w:themeFillTint="66"/>
      </w:tcPr>
    </w:tblStylePr>
    <w:tblStylePr w:type="lastRow">
      <w:rPr>
        <w:b/>
        <w:bCs/>
        <w:color w:val="0B1F2C" w:themeColor="text1"/>
      </w:rPr>
      <w:tblPr/>
      <w:tcPr>
        <w:shd w:val="clear" w:color="auto" w:fill="8DDCFF" w:themeFill="accent1" w:themeFillTint="66"/>
      </w:tcPr>
    </w:tblStylePr>
    <w:tblStylePr w:type="firstCol">
      <w:rPr>
        <w:color w:val="FFFFFF" w:themeColor="background1"/>
      </w:rPr>
      <w:tblPr/>
      <w:tcPr>
        <w:shd w:val="clear" w:color="auto" w:fill="0076AA" w:themeFill="accent1" w:themeFillShade="BF"/>
      </w:tcPr>
    </w:tblStylePr>
    <w:tblStylePr w:type="lastCol">
      <w:rPr>
        <w:color w:val="FFFFFF" w:themeColor="background1"/>
      </w:rPr>
      <w:tblPr/>
      <w:tcPr>
        <w:shd w:val="clear" w:color="auto" w:fill="0076AA" w:themeFill="accent1" w:themeFillShade="BF"/>
      </w:tcPr>
    </w:tblStylePr>
    <w:tblStylePr w:type="band1Vert">
      <w:tblPr/>
      <w:tcPr>
        <w:shd w:val="clear" w:color="auto" w:fill="72D4FF" w:themeFill="accent1" w:themeFillTint="7F"/>
      </w:tcPr>
    </w:tblStylePr>
    <w:tblStylePr w:type="band1Horz">
      <w:tblPr/>
      <w:tcPr>
        <w:shd w:val="clear" w:color="auto" w:fill="72D4FF" w:themeFill="accent1" w:themeFillTint="7F"/>
      </w:tcPr>
    </w:tblStylePr>
  </w:style>
  <w:style w:type="table" w:styleId="ColourfulGridAccent2">
    <w:name w:val="Colorful Grid Accent 2"/>
    <w:basedOn w:val="TableNormal"/>
    <w:uiPriority w:val="73"/>
    <w:semiHidden/>
    <w:unhideWhenUsed/>
    <w:rsid w:val="0090719C"/>
    <w:rPr>
      <w:color w:val="0B1F2C" w:themeColor="text1"/>
    </w:rPr>
    <w:tblPr>
      <w:tblStyleRowBandSize w:val="1"/>
      <w:tblStyleColBandSize w:val="1"/>
      <w:tblBorders>
        <w:insideH w:val="single" w:sz="4" w:space="0" w:color="FFFFFF" w:themeColor="background1"/>
      </w:tblBorders>
    </w:tblPr>
    <w:tcPr>
      <w:shd w:val="clear" w:color="auto" w:fill="FFB2FF" w:themeFill="accent2" w:themeFillTint="33"/>
    </w:tcPr>
    <w:tblStylePr w:type="firstRow">
      <w:rPr>
        <w:b/>
        <w:bCs/>
      </w:rPr>
      <w:tblPr/>
      <w:tcPr>
        <w:shd w:val="clear" w:color="auto" w:fill="FF66FF" w:themeFill="accent2" w:themeFillTint="66"/>
      </w:tcPr>
    </w:tblStylePr>
    <w:tblStylePr w:type="lastRow">
      <w:rPr>
        <w:b/>
        <w:bCs/>
        <w:color w:val="0B1F2C" w:themeColor="text1"/>
      </w:rPr>
      <w:tblPr/>
      <w:tcPr>
        <w:shd w:val="clear" w:color="auto" w:fill="FF66FF" w:themeFill="accent2" w:themeFillTint="66"/>
      </w:tcPr>
    </w:tblStylePr>
    <w:tblStylePr w:type="firstCol">
      <w:rPr>
        <w:color w:val="FFFFFF" w:themeColor="background1"/>
      </w:rPr>
      <w:tblPr/>
      <w:tcPr>
        <w:shd w:val="clear" w:color="auto" w:fill="5F005F" w:themeFill="accent2" w:themeFillShade="BF"/>
      </w:tcPr>
    </w:tblStylePr>
    <w:tblStylePr w:type="lastCol">
      <w:rPr>
        <w:color w:val="FFFFFF" w:themeColor="background1"/>
      </w:rPr>
      <w:tblPr/>
      <w:tcPr>
        <w:shd w:val="clear" w:color="auto" w:fill="5F005F" w:themeFill="accent2" w:themeFillShade="BF"/>
      </w:tcPr>
    </w:tblStylePr>
    <w:tblStylePr w:type="band1Vert">
      <w:tblPr/>
      <w:tcPr>
        <w:shd w:val="clear" w:color="auto" w:fill="FF40FF" w:themeFill="accent2" w:themeFillTint="7F"/>
      </w:tcPr>
    </w:tblStylePr>
    <w:tblStylePr w:type="band1Horz">
      <w:tblPr/>
      <w:tcPr>
        <w:shd w:val="clear" w:color="auto" w:fill="FF40FF" w:themeFill="accent2" w:themeFillTint="7F"/>
      </w:tcPr>
    </w:tblStylePr>
  </w:style>
  <w:style w:type="table" w:styleId="ColourfulGridAccent3">
    <w:name w:val="Colorful Grid Accent 3"/>
    <w:basedOn w:val="TableNormal"/>
    <w:uiPriority w:val="73"/>
    <w:semiHidden/>
    <w:unhideWhenUsed/>
    <w:rsid w:val="0090719C"/>
    <w:rPr>
      <w:color w:val="0B1F2C" w:themeColor="text1"/>
    </w:rPr>
    <w:tblPr>
      <w:tblStyleRowBandSize w:val="1"/>
      <w:tblStyleColBandSize w:val="1"/>
      <w:tblBorders>
        <w:insideH w:val="single" w:sz="4" w:space="0" w:color="FFFFFF" w:themeColor="background1"/>
      </w:tblBorders>
    </w:tblPr>
    <w:tcPr>
      <w:shd w:val="clear" w:color="auto" w:fill="D0F5F4" w:themeFill="accent3" w:themeFillTint="33"/>
    </w:tcPr>
    <w:tblStylePr w:type="firstRow">
      <w:rPr>
        <w:b/>
        <w:bCs/>
      </w:rPr>
      <w:tblPr/>
      <w:tcPr>
        <w:shd w:val="clear" w:color="auto" w:fill="A1ECEA" w:themeFill="accent3" w:themeFillTint="66"/>
      </w:tcPr>
    </w:tblStylePr>
    <w:tblStylePr w:type="lastRow">
      <w:rPr>
        <w:b/>
        <w:bCs/>
        <w:color w:val="0B1F2C" w:themeColor="text1"/>
      </w:rPr>
      <w:tblPr/>
      <w:tcPr>
        <w:shd w:val="clear" w:color="auto" w:fill="A1ECEA" w:themeFill="accent3" w:themeFillTint="66"/>
      </w:tcPr>
    </w:tblStylePr>
    <w:tblStylePr w:type="firstCol">
      <w:rPr>
        <w:color w:val="FFFFFF" w:themeColor="background1"/>
      </w:rPr>
      <w:tblPr/>
      <w:tcPr>
        <w:shd w:val="clear" w:color="auto" w:fill="1C8F8C" w:themeFill="accent3" w:themeFillShade="BF"/>
      </w:tcPr>
    </w:tblStylePr>
    <w:tblStylePr w:type="lastCol">
      <w:rPr>
        <w:color w:val="FFFFFF" w:themeColor="background1"/>
      </w:rPr>
      <w:tblPr/>
      <w:tcPr>
        <w:shd w:val="clear" w:color="auto" w:fill="1C8F8C" w:themeFill="accent3" w:themeFillShade="BF"/>
      </w:tcPr>
    </w:tblStylePr>
    <w:tblStylePr w:type="band1Vert">
      <w:tblPr/>
      <w:tcPr>
        <w:shd w:val="clear" w:color="auto" w:fill="8AE8E5" w:themeFill="accent3" w:themeFillTint="7F"/>
      </w:tcPr>
    </w:tblStylePr>
    <w:tblStylePr w:type="band1Horz">
      <w:tblPr/>
      <w:tcPr>
        <w:shd w:val="clear" w:color="auto" w:fill="8AE8E5" w:themeFill="accent3" w:themeFillTint="7F"/>
      </w:tcPr>
    </w:tblStylePr>
  </w:style>
  <w:style w:type="table" w:styleId="ColourfulGridAccent4">
    <w:name w:val="Colorful Grid Accent 4"/>
    <w:basedOn w:val="TableNormal"/>
    <w:uiPriority w:val="73"/>
    <w:semiHidden/>
    <w:unhideWhenUsed/>
    <w:rsid w:val="0090719C"/>
    <w:rPr>
      <w:color w:val="0B1F2C" w:themeColor="text1"/>
    </w:rPr>
    <w:tblPr>
      <w:tblStyleRowBandSize w:val="1"/>
      <w:tblStyleColBandSize w:val="1"/>
      <w:tblBorders>
        <w:insideH w:val="single" w:sz="4" w:space="0" w:color="FFFFFF" w:themeColor="background1"/>
      </w:tblBorders>
    </w:tblPr>
    <w:tcPr>
      <w:shd w:val="clear" w:color="auto" w:fill="F3D9E1" w:themeFill="accent4" w:themeFillTint="33"/>
    </w:tcPr>
    <w:tblStylePr w:type="firstRow">
      <w:rPr>
        <w:b/>
        <w:bCs/>
      </w:rPr>
      <w:tblPr/>
      <w:tcPr>
        <w:shd w:val="clear" w:color="auto" w:fill="E7B4C4" w:themeFill="accent4" w:themeFillTint="66"/>
      </w:tcPr>
    </w:tblStylePr>
    <w:tblStylePr w:type="lastRow">
      <w:rPr>
        <w:b/>
        <w:bCs/>
        <w:color w:val="0B1F2C" w:themeColor="text1"/>
      </w:rPr>
      <w:tblPr/>
      <w:tcPr>
        <w:shd w:val="clear" w:color="auto" w:fill="E7B4C4" w:themeFill="accent4" w:themeFillTint="66"/>
      </w:tcPr>
    </w:tblStylePr>
    <w:tblStylePr w:type="firstCol">
      <w:rPr>
        <w:color w:val="FFFFFF" w:themeColor="background1"/>
      </w:rPr>
      <w:tblPr/>
      <w:tcPr>
        <w:shd w:val="clear" w:color="auto" w:fill="972F50" w:themeFill="accent4" w:themeFillShade="BF"/>
      </w:tcPr>
    </w:tblStylePr>
    <w:tblStylePr w:type="lastCol">
      <w:rPr>
        <w:color w:val="FFFFFF" w:themeColor="background1"/>
      </w:rPr>
      <w:tblPr/>
      <w:tcPr>
        <w:shd w:val="clear" w:color="auto" w:fill="972F50" w:themeFill="accent4" w:themeFillShade="BF"/>
      </w:tcPr>
    </w:tblStylePr>
    <w:tblStylePr w:type="band1Vert">
      <w:tblPr/>
      <w:tcPr>
        <w:shd w:val="clear" w:color="auto" w:fill="E2A1B6" w:themeFill="accent4" w:themeFillTint="7F"/>
      </w:tcPr>
    </w:tblStylePr>
    <w:tblStylePr w:type="band1Horz">
      <w:tblPr/>
      <w:tcPr>
        <w:shd w:val="clear" w:color="auto" w:fill="E2A1B6" w:themeFill="accent4" w:themeFillTint="7F"/>
      </w:tcPr>
    </w:tblStylePr>
  </w:style>
  <w:style w:type="table" w:styleId="ColourfulGridAccent5">
    <w:name w:val="Colorful Grid Accent 5"/>
    <w:basedOn w:val="TableNormal"/>
    <w:uiPriority w:val="73"/>
    <w:semiHidden/>
    <w:unhideWhenUsed/>
    <w:rsid w:val="0090719C"/>
    <w:rPr>
      <w:color w:val="0B1F2C" w:themeColor="text1"/>
    </w:rPr>
    <w:tblPr>
      <w:tblStyleRowBandSize w:val="1"/>
      <w:tblStyleColBandSize w:val="1"/>
      <w:tblBorders>
        <w:insideH w:val="single" w:sz="4" w:space="0" w:color="FFFFFF" w:themeColor="background1"/>
      </w:tblBorders>
    </w:tblPr>
    <w:tcPr>
      <w:shd w:val="clear" w:color="auto" w:fill="B6D7EC" w:themeFill="accent5" w:themeFillTint="33"/>
    </w:tcPr>
    <w:tblStylePr w:type="firstRow">
      <w:rPr>
        <w:b/>
        <w:bCs/>
      </w:rPr>
      <w:tblPr/>
      <w:tcPr>
        <w:shd w:val="clear" w:color="auto" w:fill="6DAFDA" w:themeFill="accent5" w:themeFillTint="66"/>
      </w:tcPr>
    </w:tblStylePr>
    <w:tblStylePr w:type="lastRow">
      <w:rPr>
        <w:b/>
        <w:bCs/>
        <w:color w:val="0B1F2C" w:themeColor="text1"/>
      </w:rPr>
      <w:tblPr/>
      <w:tcPr>
        <w:shd w:val="clear" w:color="auto" w:fill="6DAFDA" w:themeFill="accent5" w:themeFillTint="66"/>
      </w:tcPr>
    </w:tblStylePr>
    <w:tblStylePr w:type="firstCol">
      <w:rPr>
        <w:color w:val="FFFFFF" w:themeColor="background1"/>
      </w:rPr>
      <w:tblPr/>
      <w:tcPr>
        <w:shd w:val="clear" w:color="auto" w:fill="081720" w:themeFill="accent5" w:themeFillShade="BF"/>
      </w:tcPr>
    </w:tblStylePr>
    <w:tblStylePr w:type="lastCol">
      <w:rPr>
        <w:color w:val="FFFFFF" w:themeColor="background1"/>
      </w:rPr>
      <w:tblPr/>
      <w:tcPr>
        <w:shd w:val="clear" w:color="auto" w:fill="081720" w:themeFill="accent5" w:themeFillShade="BF"/>
      </w:tcPr>
    </w:tblStylePr>
    <w:tblStylePr w:type="band1Vert">
      <w:tblPr/>
      <w:tcPr>
        <w:shd w:val="clear" w:color="auto" w:fill="499BD1" w:themeFill="accent5" w:themeFillTint="7F"/>
      </w:tcPr>
    </w:tblStylePr>
    <w:tblStylePr w:type="band1Horz">
      <w:tblPr/>
      <w:tcPr>
        <w:shd w:val="clear" w:color="auto" w:fill="499BD1" w:themeFill="accent5" w:themeFillTint="7F"/>
      </w:tcPr>
    </w:tblStylePr>
  </w:style>
  <w:style w:type="table" w:styleId="ColourfulGridAccent6">
    <w:name w:val="Colorful Grid Accent 6"/>
    <w:basedOn w:val="TableNormal"/>
    <w:uiPriority w:val="73"/>
    <w:semiHidden/>
    <w:unhideWhenUsed/>
    <w:rsid w:val="0090719C"/>
    <w:rPr>
      <w:color w:val="0B1F2C" w:themeColor="text1"/>
    </w:rPr>
    <w:tblPr>
      <w:tblStyleRowBandSize w:val="1"/>
      <w:tblStyleColBandSize w:val="1"/>
      <w:tblBorders>
        <w:insideH w:val="single" w:sz="4" w:space="0" w:color="FFFFFF" w:themeColor="background1"/>
      </w:tblBorders>
    </w:tblPr>
    <w:tcPr>
      <w:shd w:val="clear" w:color="auto" w:fill="E8E8E8" w:themeFill="accent6" w:themeFillTint="33"/>
    </w:tcPr>
    <w:tblStylePr w:type="firstRow">
      <w:rPr>
        <w:b/>
        <w:bCs/>
      </w:rPr>
      <w:tblPr/>
      <w:tcPr>
        <w:shd w:val="clear" w:color="auto" w:fill="D2D2D2" w:themeFill="accent6" w:themeFillTint="66"/>
      </w:tcPr>
    </w:tblStylePr>
    <w:tblStylePr w:type="lastRow">
      <w:rPr>
        <w:b/>
        <w:bCs/>
        <w:color w:val="0B1F2C" w:themeColor="text1"/>
      </w:rPr>
      <w:tblPr/>
      <w:tcPr>
        <w:shd w:val="clear" w:color="auto" w:fill="D2D2D2" w:themeFill="accent6" w:themeFillTint="66"/>
      </w:tcPr>
    </w:tblStylePr>
    <w:tblStylePr w:type="firstCol">
      <w:rPr>
        <w:color w:val="FFFFFF" w:themeColor="background1"/>
      </w:rPr>
      <w:tblPr/>
      <w:tcPr>
        <w:shd w:val="clear" w:color="auto" w:fill="6B6B6B" w:themeFill="accent6" w:themeFillShade="BF"/>
      </w:tcPr>
    </w:tblStylePr>
    <w:tblStylePr w:type="lastCol">
      <w:rPr>
        <w:color w:val="FFFFFF" w:themeColor="background1"/>
      </w:rPr>
      <w:tblPr/>
      <w:tcPr>
        <w:shd w:val="clear" w:color="auto" w:fill="6B6B6B" w:themeFill="accent6" w:themeFillShade="BF"/>
      </w:tcPr>
    </w:tblStylePr>
    <w:tblStylePr w:type="band1Vert">
      <w:tblPr/>
      <w:tcPr>
        <w:shd w:val="clear" w:color="auto" w:fill="C7C7C7" w:themeFill="accent6" w:themeFillTint="7F"/>
      </w:tcPr>
    </w:tblStylePr>
    <w:tblStylePr w:type="band1Horz">
      <w:tblPr/>
      <w:tcPr>
        <w:shd w:val="clear" w:color="auto" w:fill="C7C7C7" w:themeFill="accent6" w:themeFillTint="7F"/>
      </w:tcPr>
    </w:tblStylePr>
  </w:style>
  <w:style w:type="table" w:styleId="ColourfulList">
    <w:name w:val="Colorful List"/>
    <w:basedOn w:val="TableNormal"/>
    <w:uiPriority w:val="72"/>
    <w:semiHidden/>
    <w:unhideWhenUsed/>
    <w:rsid w:val="0090719C"/>
    <w:rPr>
      <w:color w:val="0B1F2C" w:themeColor="text1"/>
    </w:rPr>
    <w:tblPr>
      <w:tblStyleRowBandSize w:val="1"/>
      <w:tblStyleColBandSize w:val="1"/>
    </w:tblPr>
    <w:tcPr>
      <w:shd w:val="clear" w:color="auto" w:fill="DBEBF6" w:themeFill="text1" w:themeFillTint="19"/>
    </w:tcPr>
    <w:tblStylePr w:type="firstRow">
      <w:rPr>
        <w:b/>
        <w:bCs/>
        <w:color w:val="FFFFFF" w:themeColor="background1"/>
      </w:rPr>
      <w:tblPr/>
      <w:tcPr>
        <w:tcBorders>
          <w:bottom w:val="single" w:sz="12" w:space="0" w:color="FFFFFF" w:themeColor="background1"/>
        </w:tcBorders>
        <w:shd w:val="clear" w:color="auto" w:fill="660066" w:themeFill="accent2" w:themeFillShade="CC"/>
      </w:tcPr>
    </w:tblStylePr>
    <w:tblStylePr w:type="lastRow">
      <w:rPr>
        <w:b/>
        <w:bCs/>
        <w:color w:val="660066" w:themeColor="accent2" w:themeShade="CC"/>
      </w:rPr>
      <w:tblPr/>
      <w:tcPr>
        <w:tcBorders>
          <w:top w:val="single" w:sz="12" w:space="0" w:color="0B1F2C"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4CDE8" w:themeFill="text1" w:themeFillTint="3F"/>
      </w:tcPr>
    </w:tblStylePr>
    <w:tblStylePr w:type="band1Horz">
      <w:tblPr/>
      <w:tcPr>
        <w:shd w:val="clear" w:color="auto" w:fill="B6D7EC" w:themeFill="text1" w:themeFillTint="33"/>
      </w:tcPr>
    </w:tblStylePr>
  </w:style>
  <w:style w:type="table" w:styleId="ColourfulListAccent1">
    <w:name w:val="Colorful List Accent 1"/>
    <w:basedOn w:val="TableNormal"/>
    <w:uiPriority w:val="72"/>
    <w:semiHidden/>
    <w:unhideWhenUsed/>
    <w:rsid w:val="0090719C"/>
    <w:rPr>
      <w:color w:val="0B1F2C" w:themeColor="text1"/>
    </w:rPr>
    <w:tblPr>
      <w:tblStyleRowBandSize w:val="1"/>
      <w:tblStyleColBandSize w:val="1"/>
    </w:tblPr>
    <w:tcPr>
      <w:shd w:val="clear" w:color="auto" w:fill="E3F6FF" w:themeFill="accent1" w:themeFillTint="19"/>
    </w:tcPr>
    <w:tblStylePr w:type="firstRow">
      <w:rPr>
        <w:b/>
        <w:bCs/>
        <w:color w:val="FFFFFF" w:themeColor="background1"/>
      </w:rPr>
      <w:tblPr/>
      <w:tcPr>
        <w:tcBorders>
          <w:bottom w:val="single" w:sz="12" w:space="0" w:color="FFFFFF" w:themeColor="background1"/>
        </w:tcBorders>
        <w:shd w:val="clear" w:color="auto" w:fill="660066" w:themeFill="accent2" w:themeFillShade="CC"/>
      </w:tcPr>
    </w:tblStylePr>
    <w:tblStylePr w:type="lastRow">
      <w:rPr>
        <w:b/>
        <w:bCs/>
        <w:color w:val="660066" w:themeColor="accent2" w:themeShade="CC"/>
      </w:rPr>
      <w:tblPr/>
      <w:tcPr>
        <w:tcBorders>
          <w:top w:val="single" w:sz="12" w:space="0" w:color="0B1F2C"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9E9FF" w:themeFill="accent1" w:themeFillTint="3F"/>
      </w:tcPr>
    </w:tblStylePr>
    <w:tblStylePr w:type="band1Horz">
      <w:tblPr/>
      <w:tcPr>
        <w:shd w:val="clear" w:color="auto" w:fill="C6EDFF" w:themeFill="accent1" w:themeFillTint="33"/>
      </w:tcPr>
    </w:tblStylePr>
  </w:style>
  <w:style w:type="table" w:styleId="ColourfulListAccent2">
    <w:name w:val="Colorful List Accent 2"/>
    <w:basedOn w:val="TableNormal"/>
    <w:uiPriority w:val="72"/>
    <w:semiHidden/>
    <w:unhideWhenUsed/>
    <w:rsid w:val="0090719C"/>
    <w:rPr>
      <w:color w:val="0B1F2C" w:themeColor="text1"/>
    </w:rPr>
    <w:tblPr>
      <w:tblStyleRowBandSize w:val="1"/>
      <w:tblStyleColBandSize w:val="1"/>
    </w:tblPr>
    <w:tcPr>
      <w:shd w:val="clear" w:color="auto" w:fill="FFD9FF" w:themeFill="accent2" w:themeFillTint="19"/>
    </w:tcPr>
    <w:tblStylePr w:type="firstRow">
      <w:rPr>
        <w:b/>
        <w:bCs/>
        <w:color w:val="FFFFFF" w:themeColor="background1"/>
      </w:rPr>
      <w:tblPr/>
      <w:tcPr>
        <w:tcBorders>
          <w:bottom w:val="single" w:sz="12" w:space="0" w:color="FFFFFF" w:themeColor="background1"/>
        </w:tcBorders>
        <w:shd w:val="clear" w:color="auto" w:fill="660066" w:themeFill="accent2" w:themeFillShade="CC"/>
      </w:tcPr>
    </w:tblStylePr>
    <w:tblStylePr w:type="lastRow">
      <w:rPr>
        <w:b/>
        <w:bCs/>
        <w:color w:val="660066" w:themeColor="accent2" w:themeShade="CC"/>
      </w:rPr>
      <w:tblPr/>
      <w:tcPr>
        <w:tcBorders>
          <w:top w:val="single" w:sz="12" w:space="0" w:color="0B1F2C"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A0FF" w:themeFill="accent2" w:themeFillTint="3F"/>
      </w:tcPr>
    </w:tblStylePr>
    <w:tblStylePr w:type="band1Horz">
      <w:tblPr/>
      <w:tcPr>
        <w:shd w:val="clear" w:color="auto" w:fill="FFB2FF" w:themeFill="accent2" w:themeFillTint="33"/>
      </w:tcPr>
    </w:tblStylePr>
  </w:style>
  <w:style w:type="table" w:styleId="ColourfulListAccent3">
    <w:name w:val="Colorful List Accent 3"/>
    <w:basedOn w:val="TableNormal"/>
    <w:uiPriority w:val="72"/>
    <w:semiHidden/>
    <w:unhideWhenUsed/>
    <w:rsid w:val="0090719C"/>
    <w:rPr>
      <w:color w:val="0B1F2C" w:themeColor="text1"/>
    </w:rPr>
    <w:tblPr>
      <w:tblStyleRowBandSize w:val="1"/>
      <w:tblStyleColBandSize w:val="1"/>
    </w:tblPr>
    <w:tcPr>
      <w:shd w:val="clear" w:color="auto" w:fill="E7FAF9" w:themeFill="accent3" w:themeFillTint="19"/>
    </w:tcPr>
    <w:tblStylePr w:type="firstRow">
      <w:rPr>
        <w:b/>
        <w:bCs/>
        <w:color w:val="FFFFFF" w:themeColor="background1"/>
      </w:rPr>
      <w:tblPr/>
      <w:tcPr>
        <w:tcBorders>
          <w:bottom w:val="single" w:sz="12" w:space="0" w:color="FFFFFF" w:themeColor="background1"/>
        </w:tcBorders>
        <w:shd w:val="clear" w:color="auto" w:fill="A13256" w:themeFill="accent4" w:themeFillShade="CC"/>
      </w:tcPr>
    </w:tblStylePr>
    <w:tblStylePr w:type="lastRow">
      <w:rPr>
        <w:b/>
        <w:bCs/>
        <w:color w:val="A13256" w:themeColor="accent4" w:themeShade="CC"/>
      </w:rPr>
      <w:tblPr/>
      <w:tcPr>
        <w:tcBorders>
          <w:top w:val="single" w:sz="12" w:space="0" w:color="0B1F2C"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5F3F2" w:themeFill="accent3" w:themeFillTint="3F"/>
      </w:tcPr>
    </w:tblStylePr>
    <w:tblStylePr w:type="band1Horz">
      <w:tblPr/>
      <w:tcPr>
        <w:shd w:val="clear" w:color="auto" w:fill="D0F5F4" w:themeFill="accent3" w:themeFillTint="33"/>
      </w:tcPr>
    </w:tblStylePr>
  </w:style>
  <w:style w:type="table" w:styleId="ColourfulListAccent4">
    <w:name w:val="Colorful List Accent 4"/>
    <w:basedOn w:val="TableNormal"/>
    <w:uiPriority w:val="72"/>
    <w:semiHidden/>
    <w:unhideWhenUsed/>
    <w:rsid w:val="0090719C"/>
    <w:rPr>
      <w:color w:val="0B1F2C" w:themeColor="text1"/>
    </w:rPr>
    <w:tblPr>
      <w:tblStyleRowBandSize w:val="1"/>
      <w:tblStyleColBandSize w:val="1"/>
    </w:tblPr>
    <w:tcPr>
      <w:shd w:val="clear" w:color="auto" w:fill="F9ECF0" w:themeFill="accent4" w:themeFillTint="19"/>
    </w:tcPr>
    <w:tblStylePr w:type="firstRow">
      <w:rPr>
        <w:b/>
        <w:bCs/>
        <w:color w:val="FFFFFF" w:themeColor="background1"/>
      </w:rPr>
      <w:tblPr/>
      <w:tcPr>
        <w:tcBorders>
          <w:bottom w:val="single" w:sz="12" w:space="0" w:color="FFFFFF" w:themeColor="background1"/>
        </w:tcBorders>
        <w:shd w:val="clear" w:color="auto" w:fill="1E9996" w:themeFill="accent3" w:themeFillShade="CC"/>
      </w:tcPr>
    </w:tblStylePr>
    <w:tblStylePr w:type="lastRow">
      <w:rPr>
        <w:b/>
        <w:bCs/>
        <w:color w:val="1E9996" w:themeColor="accent3" w:themeShade="CC"/>
      </w:rPr>
      <w:tblPr/>
      <w:tcPr>
        <w:tcBorders>
          <w:top w:val="single" w:sz="12" w:space="0" w:color="0B1F2C"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0D0DB" w:themeFill="accent4" w:themeFillTint="3F"/>
      </w:tcPr>
    </w:tblStylePr>
    <w:tblStylePr w:type="band1Horz">
      <w:tblPr/>
      <w:tcPr>
        <w:shd w:val="clear" w:color="auto" w:fill="F3D9E1" w:themeFill="accent4" w:themeFillTint="33"/>
      </w:tcPr>
    </w:tblStylePr>
  </w:style>
  <w:style w:type="table" w:styleId="ColourfulListAccent5">
    <w:name w:val="Colorful List Accent 5"/>
    <w:basedOn w:val="TableNormal"/>
    <w:uiPriority w:val="72"/>
    <w:semiHidden/>
    <w:unhideWhenUsed/>
    <w:rsid w:val="0090719C"/>
    <w:rPr>
      <w:color w:val="0B1F2C" w:themeColor="text1"/>
    </w:rPr>
    <w:tblPr>
      <w:tblStyleRowBandSize w:val="1"/>
      <w:tblStyleColBandSize w:val="1"/>
    </w:tblPr>
    <w:tcPr>
      <w:shd w:val="clear" w:color="auto" w:fill="DBEBF6" w:themeFill="accent5" w:themeFillTint="19"/>
    </w:tcPr>
    <w:tblStylePr w:type="firstRow">
      <w:rPr>
        <w:b/>
        <w:bCs/>
        <w:color w:val="FFFFFF" w:themeColor="background1"/>
      </w:rPr>
      <w:tblPr/>
      <w:tcPr>
        <w:tcBorders>
          <w:bottom w:val="single" w:sz="12" w:space="0" w:color="FFFFFF" w:themeColor="background1"/>
        </w:tcBorders>
        <w:shd w:val="clear" w:color="auto" w:fill="737373" w:themeFill="accent6" w:themeFillShade="CC"/>
      </w:tcPr>
    </w:tblStylePr>
    <w:tblStylePr w:type="lastRow">
      <w:rPr>
        <w:b/>
        <w:bCs/>
        <w:color w:val="737373" w:themeColor="accent6" w:themeShade="CC"/>
      </w:rPr>
      <w:tblPr/>
      <w:tcPr>
        <w:tcBorders>
          <w:top w:val="single" w:sz="12" w:space="0" w:color="0B1F2C"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4CDE8" w:themeFill="accent5" w:themeFillTint="3F"/>
      </w:tcPr>
    </w:tblStylePr>
    <w:tblStylePr w:type="band1Horz">
      <w:tblPr/>
      <w:tcPr>
        <w:shd w:val="clear" w:color="auto" w:fill="B6D7EC" w:themeFill="accent5" w:themeFillTint="33"/>
      </w:tcPr>
    </w:tblStylePr>
  </w:style>
  <w:style w:type="table" w:styleId="ColourfulListAccent6">
    <w:name w:val="Colorful List Accent 6"/>
    <w:basedOn w:val="TableNormal"/>
    <w:uiPriority w:val="72"/>
    <w:semiHidden/>
    <w:unhideWhenUsed/>
    <w:rsid w:val="0090719C"/>
    <w:rPr>
      <w:color w:val="0B1F2C" w:themeColor="text1"/>
    </w:rPr>
    <w:tblPr>
      <w:tblStyleRowBandSize w:val="1"/>
      <w:tblStyleColBandSize w:val="1"/>
    </w:tblPr>
    <w:tcPr>
      <w:shd w:val="clear" w:color="auto" w:fill="F4F4F4" w:themeFill="accent6" w:themeFillTint="19"/>
    </w:tcPr>
    <w:tblStylePr w:type="firstRow">
      <w:rPr>
        <w:b/>
        <w:bCs/>
        <w:color w:val="FFFFFF" w:themeColor="background1"/>
      </w:rPr>
      <w:tblPr/>
      <w:tcPr>
        <w:tcBorders>
          <w:bottom w:val="single" w:sz="12" w:space="0" w:color="FFFFFF" w:themeColor="background1"/>
        </w:tcBorders>
        <w:shd w:val="clear" w:color="auto" w:fill="081823" w:themeFill="accent5" w:themeFillShade="CC"/>
      </w:tcPr>
    </w:tblStylePr>
    <w:tblStylePr w:type="lastRow">
      <w:rPr>
        <w:b/>
        <w:bCs/>
        <w:color w:val="081823" w:themeColor="accent5" w:themeShade="CC"/>
      </w:rPr>
      <w:tblPr/>
      <w:tcPr>
        <w:tcBorders>
          <w:top w:val="single" w:sz="12" w:space="0" w:color="0B1F2C"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3E3E3" w:themeFill="accent6" w:themeFillTint="3F"/>
      </w:tcPr>
    </w:tblStylePr>
    <w:tblStylePr w:type="band1Horz">
      <w:tblPr/>
      <w:tcPr>
        <w:shd w:val="clear" w:color="auto" w:fill="E8E8E8" w:themeFill="accent6" w:themeFillTint="33"/>
      </w:tcPr>
    </w:tblStylePr>
  </w:style>
  <w:style w:type="table" w:styleId="ColourfulShading">
    <w:name w:val="Colorful Shading"/>
    <w:basedOn w:val="TableNormal"/>
    <w:uiPriority w:val="71"/>
    <w:semiHidden/>
    <w:unhideWhenUsed/>
    <w:rsid w:val="0090719C"/>
    <w:rPr>
      <w:color w:val="0B1F2C" w:themeColor="text1"/>
    </w:rPr>
    <w:tblPr>
      <w:tblStyleRowBandSize w:val="1"/>
      <w:tblStyleColBandSize w:val="1"/>
      <w:tblBorders>
        <w:top w:val="single" w:sz="24" w:space="0" w:color="800080" w:themeColor="accent2"/>
        <w:left w:val="single" w:sz="4" w:space="0" w:color="0B1F2C" w:themeColor="text1"/>
        <w:bottom w:val="single" w:sz="4" w:space="0" w:color="0B1F2C" w:themeColor="text1"/>
        <w:right w:val="single" w:sz="4" w:space="0" w:color="0B1F2C" w:themeColor="text1"/>
        <w:insideH w:val="single" w:sz="4" w:space="0" w:color="FFFFFF" w:themeColor="background1"/>
        <w:insideV w:val="single" w:sz="4" w:space="0" w:color="FFFFFF" w:themeColor="background1"/>
      </w:tblBorders>
    </w:tblPr>
    <w:tcPr>
      <w:shd w:val="clear" w:color="auto" w:fill="DBEBF6" w:themeFill="text1" w:themeFillTint="19"/>
    </w:tcPr>
    <w:tblStylePr w:type="firstRow">
      <w:rPr>
        <w:b/>
        <w:bCs/>
      </w:rPr>
      <w:tblPr/>
      <w:tcPr>
        <w:tcBorders>
          <w:top w:val="nil"/>
          <w:left w:val="nil"/>
          <w:bottom w:val="single" w:sz="24" w:space="0" w:color="800080"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6121A" w:themeFill="text1" w:themeFillShade="99"/>
      </w:tcPr>
    </w:tblStylePr>
    <w:tblStylePr w:type="firstCol">
      <w:rPr>
        <w:color w:val="FFFFFF" w:themeColor="background1"/>
      </w:rPr>
      <w:tblPr/>
      <w:tcPr>
        <w:tcBorders>
          <w:top w:val="nil"/>
          <w:left w:val="nil"/>
          <w:bottom w:val="nil"/>
          <w:right w:val="nil"/>
          <w:insideH w:val="single" w:sz="4" w:space="0" w:color="06121A" w:themeColor="text1" w:themeShade="99"/>
          <w:insideV w:val="nil"/>
        </w:tcBorders>
        <w:shd w:val="clear" w:color="auto" w:fill="06121A"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81720" w:themeFill="text1" w:themeFillShade="BF"/>
      </w:tcPr>
    </w:tblStylePr>
    <w:tblStylePr w:type="band1Vert">
      <w:tblPr/>
      <w:tcPr>
        <w:shd w:val="clear" w:color="auto" w:fill="6DAFDA" w:themeFill="text1" w:themeFillTint="66"/>
      </w:tcPr>
    </w:tblStylePr>
    <w:tblStylePr w:type="band1Horz">
      <w:tblPr/>
      <w:tcPr>
        <w:shd w:val="clear" w:color="auto" w:fill="499BD1" w:themeFill="text1" w:themeFillTint="7F"/>
      </w:tcPr>
    </w:tblStylePr>
    <w:tblStylePr w:type="neCell">
      <w:rPr>
        <w:color w:val="0B1F2C" w:themeColor="text1"/>
      </w:rPr>
    </w:tblStylePr>
    <w:tblStylePr w:type="nwCell">
      <w:rPr>
        <w:color w:val="0B1F2C" w:themeColor="text1"/>
      </w:rPr>
    </w:tblStylePr>
  </w:style>
  <w:style w:type="table" w:styleId="ColourfulShadingAccent1">
    <w:name w:val="Colorful Shading Accent 1"/>
    <w:basedOn w:val="TableNormal"/>
    <w:uiPriority w:val="71"/>
    <w:semiHidden/>
    <w:unhideWhenUsed/>
    <w:rsid w:val="0090719C"/>
    <w:rPr>
      <w:color w:val="0B1F2C" w:themeColor="text1"/>
    </w:rPr>
    <w:tblPr>
      <w:tblStyleRowBandSize w:val="1"/>
      <w:tblStyleColBandSize w:val="1"/>
      <w:tblBorders>
        <w:top w:val="single" w:sz="24" w:space="0" w:color="800080" w:themeColor="accent2"/>
        <w:left w:val="single" w:sz="4" w:space="0" w:color="009FE3" w:themeColor="accent1"/>
        <w:bottom w:val="single" w:sz="4" w:space="0" w:color="009FE3" w:themeColor="accent1"/>
        <w:right w:val="single" w:sz="4" w:space="0" w:color="009FE3" w:themeColor="accent1"/>
        <w:insideH w:val="single" w:sz="4" w:space="0" w:color="FFFFFF" w:themeColor="background1"/>
        <w:insideV w:val="single" w:sz="4" w:space="0" w:color="FFFFFF" w:themeColor="background1"/>
      </w:tblBorders>
    </w:tblPr>
    <w:tcPr>
      <w:shd w:val="clear" w:color="auto" w:fill="E3F6FF" w:themeFill="accent1" w:themeFillTint="19"/>
    </w:tcPr>
    <w:tblStylePr w:type="firstRow">
      <w:rPr>
        <w:b/>
        <w:bCs/>
      </w:rPr>
      <w:tblPr/>
      <w:tcPr>
        <w:tcBorders>
          <w:top w:val="nil"/>
          <w:left w:val="nil"/>
          <w:bottom w:val="single" w:sz="24" w:space="0" w:color="800080"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5E88" w:themeFill="accent1" w:themeFillShade="99"/>
      </w:tcPr>
    </w:tblStylePr>
    <w:tblStylePr w:type="firstCol">
      <w:rPr>
        <w:color w:val="FFFFFF" w:themeColor="background1"/>
      </w:rPr>
      <w:tblPr/>
      <w:tcPr>
        <w:tcBorders>
          <w:top w:val="nil"/>
          <w:left w:val="nil"/>
          <w:bottom w:val="nil"/>
          <w:right w:val="nil"/>
          <w:insideH w:val="single" w:sz="4" w:space="0" w:color="005E88" w:themeColor="accent1" w:themeShade="99"/>
          <w:insideV w:val="nil"/>
        </w:tcBorders>
        <w:shd w:val="clear" w:color="auto" w:fill="005E88"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05E88" w:themeFill="accent1" w:themeFillShade="99"/>
      </w:tcPr>
    </w:tblStylePr>
    <w:tblStylePr w:type="band1Vert">
      <w:tblPr/>
      <w:tcPr>
        <w:shd w:val="clear" w:color="auto" w:fill="8DDCFF" w:themeFill="accent1" w:themeFillTint="66"/>
      </w:tcPr>
    </w:tblStylePr>
    <w:tblStylePr w:type="band1Horz">
      <w:tblPr/>
      <w:tcPr>
        <w:shd w:val="clear" w:color="auto" w:fill="72D4FF" w:themeFill="accent1" w:themeFillTint="7F"/>
      </w:tcPr>
    </w:tblStylePr>
    <w:tblStylePr w:type="neCell">
      <w:rPr>
        <w:color w:val="0B1F2C" w:themeColor="text1"/>
      </w:rPr>
    </w:tblStylePr>
    <w:tblStylePr w:type="nwCell">
      <w:rPr>
        <w:color w:val="0B1F2C" w:themeColor="text1"/>
      </w:rPr>
    </w:tblStylePr>
  </w:style>
  <w:style w:type="table" w:styleId="ColourfulShadingAccent2">
    <w:name w:val="Colorful Shading Accent 2"/>
    <w:basedOn w:val="TableNormal"/>
    <w:uiPriority w:val="71"/>
    <w:semiHidden/>
    <w:unhideWhenUsed/>
    <w:rsid w:val="0090719C"/>
    <w:rPr>
      <w:color w:val="0B1F2C" w:themeColor="text1"/>
    </w:rPr>
    <w:tblPr>
      <w:tblStyleRowBandSize w:val="1"/>
      <w:tblStyleColBandSize w:val="1"/>
      <w:tblBorders>
        <w:top w:val="single" w:sz="24" w:space="0" w:color="800080" w:themeColor="accent2"/>
        <w:left w:val="single" w:sz="4" w:space="0" w:color="800080" w:themeColor="accent2"/>
        <w:bottom w:val="single" w:sz="4" w:space="0" w:color="800080" w:themeColor="accent2"/>
        <w:right w:val="single" w:sz="4" w:space="0" w:color="800080" w:themeColor="accent2"/>
        <w:insideH w:val="single" w:sz="4" w:space="0" w:color="FFFFFF" w:themeColor="background1"/>
        <w:insideV w:val="single" w:sz="4" w:space="0" w:color="FFFFFF" w:themeColor="background1"/>
      </w:tblBorders>
    </w:tblPr>
    <w:tcPr>
      <w:shd w:val="clear" w:color="auto" w:fill="FFD9FF" w:themeFill="accent2" w:themeFillTint="19"/>
    </w:tcPr>
    <w:tblStylePr w:type="firstRow">
      <w:rPr>
        <w:b/>
        <w:bCs/>
      </w:rPr>
      <w:tblPr/>
      <w:tcPr>
        <w:tcBorders>
          <w:top w:val="nil"/>
          <w:left w:val="nil"/>
          <w:bottom w:val="single" w:sz="24" w:space="0" w:color="800080"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004C" w:themeFill="accent2" w:themeFillShade="99"/>
      </w:tcPr>
    </w:tblStylePr>
    <w:tblStylePr w:type="firstCol">
      <w:rPr>
        <w:color w:val="FFFFFF" w:themeColor="background1"/>
      </w:rPr>
      <w:tblPr/>
      <w:tcPr>
        <w:tcBorders>
          <w:top w:val="nil"/>
          <w:left w:val="nil"/>
          <w:bottom w:val="nil"/>
          <w:right w:val="nil"/>
          <w:insideH w:val="single" w:sz="4" w:space="0" w:color="4C004C" w:themeColor="accent2" w:themeShade="99"/>
          <w:insideV w:val="nil"/>
        </w:tcBorders>
        <w:shd w:val="clear" w:color="auto" w:fill="4C004C"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4C004C" w:themeFill="accent2" w:themeFillShade="99"/>
      </w:tcPr>
    </w:tblStylePr>
    <w:tblStylePr w:type="band1Vert">
      <w:tblPr/>
      <w:tcPr>
        <w:shd w:val="clear" w:color="auto" w:fill="FF66FF" w:themeFill="accent2" w:themeFillTint="66"/>
      </w:tcPr>
    </w:tblStylePr>
    <w:tblStylePr w:type="band1Horz">
      <w:tblPr/>
      <w:tcPr>
        <w:shd w:val="clear" w:color="auto" w:fill="FF40FF" w:themeFill="accent2" w:themeFillTint="7F"/>
      </w:tcPr>
    </w:tblStylePr>
    <w:tblStylePr w:type="neCell">
      <w:rPr>
        <w:color w:val="0B1F2C" w:themeColor="text1"/>
      </w:rPr>
    </w:tblStylePr>
    <w:tblStylePr w:type="nwCell">
      <w:rPr>
        <w:color w:val="0B1F2C" w:themeColor="text1"/>
      </w:rPr>
    </w:tblStylePr>
  </w:style>
  <w:style w:type="table" w:styleId="ColourfulShadingAccent3">
    <w:name w:val="Colorful Shading Accent 3"/>
    <w:basedOn w:val="TableNormal"/>
    <w:uiPriority w:val="71"/>
    <w:semiHidden/>
    <w:unhideWhenUsed/>
    <w:rsid w:val="0090719C"/>
    <w:rPr>
      <w:color w:val="0B1F2C" w:themeColor="text1"/>
    </w:rPr>
    <w:tblPr>
      <w:tblStyleRowBandSize w:val="1"/>
      <w:tblStyleColBandSize w:val="1"/>
      <w:tblBorders>
        <w:top w:val="single" w:sz="24" w:space="0" w:color="C5446E" w:themeColor="accent4"/>
        <w:left w:val="single" w:sz="4" w:space="0" w:color="26C0BC" w:themeColor="accent3"/>
        <w:bottom w:val="single" w:sz="4" w:space="0" w:color="26C0BC" w:themeColor="accent3"/>
        <w:right w:val="single" w:sz="4" w:space="0" w:color="26C0BC" w:themeColor="accent3"/>
        <w:insideH w:val="single" w:sz="4" w:space="0" w:color="FFFFFF" w:themeColor="background1"/>
        <w:insideV w:val="single" w:sz="4" w:space="0" w:color="FFFFFF" w:themeColor="background1"/>
      </w:tblBorders>
    </w:tblPr>
    <w:tcPr>
      <w:shd w:val="clear" w:color="auto" w:fill="E7FAF9" w:themeFill="accent3" w:themeFillTint="19"/>
    </w:tcPr>
    <w:tblStylePr w:type="firstRow">
      <w:rPr>
        <w:b/>
        <w:bCs/>
      </w:rPr>
      <w:tblPr/>
      <w:tcPr>
        <w:tcBorders>
          <w:top w:val="nil"/>
          <w:left w:val="nil"/>
          <w:bottom w:val="single" w:sz="24" w:space="0" w:color="C5446E"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67370" w:themeFill="accent3" w:themeFillShade="99"/>
      </w:tcPr>
    </w:tblStylePr>
    <w:tblStylePr w:type="firstCol">
      <w:rPr>
        <w:color w:val="FFFFFF" w:themeColor="background1"/>
      </w:rPr>
      <w:tblPr/>
      <w:tcPr>
        <w:tcBorders>
          <w:top w:val="nil"/>
          <w:left w:val="nil"/>
          <w:bottom w:val="nil"/>
          <w:right w:val="nil"/>
          <w:insideH w:val="single" w:sz="4" w:space="0" w:color="167370" w:themeColor="accent3" w:themeShade="99"/>
          <w:insideV w:val="nil"/>
        </w:tcBorders>
        <w:shd w:val="clear" w:color="auto" w:fill="16737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167370" w:themeFill="accent3" w:themeFillShade="99"/>
      </w:tcPr>
    </w:tblStylePr>
    <w:tblStylePr w:type="band1Vert">
      <w:tblPr/>
      <w:tcPr>
        <w:shd w:val="clear" w:color="auto" w:fill="A1ECEA" w:themeFill="accent3" w:themeFillTint="66"/>
      </w:tcPr>
    </w:tblStylePr>
    <w:tblStylePr w:type="band1Horz">
      <w:tblPr/>
      <w:tcPr>
        <w:shd w:val="clear" w:color="auto" w:fill="8AE8E5" w:themeFill="accent3" w:themeFillTint="7F"/>
      </w:tcPr>
    </w:tblStylePr>
  </w:style>
  <w:style w:type="table" w:styleId="ColourfulShadingAccent4">
    <w:name w:val="Colorful Shading Accent 4"/>
    <w:basedOn w:val="TableNormal"/>
    <w:uiPriority w:val="71"/>
    <w:semiHidden/>
    <w:unhideWhenUsed/>
    <w:rsid w:val="0090719C"/>
    <w:rPr>
      <w:color w:val="0B1F2C" w:themeColor="text1"/>
    </w:rPr>
    <w:tblPr>
      <w:tblStyleRowBandSize w:val="1"/>
      <w:tblStyleColBandSize w:val="1"/>
      <w:tblBorders>
        <w:top w:val="single" w:sz="24" w:space="0" w:color="26C0BC" w:themeColor="accent3"/>
        <w:left w:val="single" w:sz="4" w:space="0" w:color="C5446E" w:themeColor="accent4"/>
        <w:bottom w:val="single" w:sz="4" w:space="0" w:color="C5446E" w:themeColor="accent4"/>
        <w:right w:val="single" w:sz="4" w:space="0" w:color="C5446E" w:themeColor="accent4"/>
        <w:insideH w:val="single" w:sz="4" w:space="0" w:color="FFFFFF" w:themeColor="background1"/>
        <w:insideV w:val="single" w:sz="4" w:space="0" w:color="FFFFFF" w:themeColor="background1"/>
      </w:tblBorders>
    </w:tblPr>
    <w:tcPr>
      <w:shd w:val="clear" w:color="auto" w:fill="F9ECF0" w:themeFill="accent4" w:themeFillTint="19"/>
    </w:tcPr>
    <w:tblStylePr w:type="firstRow">
      <w:rPr>
        <w:b/>
        <w:bCs/>
      </w:rPr>
      <w:tblPr/>
      <w:tcPr>
        <w:tcBorders>
          <w:top w:val="nil"/>
          <w:left w:val="nil"/>
          <w:bottom w:val="single" w:sz="24" w:space="0" w:color="26C0BC"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92540" w:themeFill="accent4" w:themeFillShade="99"/>
      </w:tcPr>
    </w:tblStylePr>
    <w:tblStylePr w:type="firstCol">
      <w:rPr>
        <w:color w:val="FFFFFF" w:themeColor="background1"/>
      </w:rPr>
      <w:tblPr/>
      <w:tcPr>
        <w:tcBorders>
          <w:top w:val="nil"/>
          <w:left w:val="nil"/>
          <w:bottom w:val="nil"/>
          <w:right w:val="nil"/>
          <w:insideH w:val="single" w:sz="4" w:space="0" w:color="792540" w:themeColor="accent4" w:themeShade="99"/>
          <w:insideV w:val="nil"/>
        </w:tcBorders>
        <w:shd w:val="clear" w:color="auto" w:fill="792540"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792540" w:themeFill="accent4" w:themeFillShade="99"/>
      </w:tcPr>
    </w:tblStylePr>
    <w:tblStylePr w:type="band1Vert">
      <w:tblPr/>
      <w:tcPr>
        <w:shd w:val="clear" w:color="auto" w:fill="E7B4C4" w:themeFill="accent4" w:themeFillTint="66"/>
      </w:tcPr>
    </w:tblStylePr>
    <w:tblStylePr w:type="band1Horz">
      <w:tblPr/>
      <w:tcPr>
        <w:shd w:val="clear" w:color="auto" w:fill="E2A1B6" w:themeFill="accent4" w:themeFillTint="7F"/>
      </w:tcPr>
    </w:tblStylePr>
    <w:tblStylePr w:type="neCell">
      <w:rPr>
        <w:color w:val="0B1F2C" w:themeColor="text1"/>
      </w:rPr>
    </w:tblStylePr>
    <w:tblStylePr w:type="nwCell">
      <w:rPr>
        <w:color w:val="0B1F2C" w:themeColor="text1"/>
      </w:rPr>
    </w:tblStylePr>
  </w:style>
  <w:style w:type="table" w:styleId="ColourfulShadingAccent5">
    <w:name w:val="Colorful Shading Accent 5"/>
    <w:basedOn w:val="TableNormal"/>
    <w:uiPriority w:val="71"/>
    <w:semiHidden/>
    <w:unhideWhenUsed/>
    <w:rsid w:val="0090719C"/>
    <w:rPr>
      <w:color w:val="0B1F2C" w:themeColor="text1"/>
    </w:rPr>
    <w:tblPr>
      <w:tblStyleRowBandSize w:val="1"/>
      <w:tblStyleColBandSize w:val="1"/>
      <w:tblBorders>
        <w:top w:val="single" w:sz="24" w:space="0" w:color="909090" w:themeColor="accent6"/>
        <w:left w:val="single" w:sz="4" w:space="0" w:color="0B1F2C" w:themeColor="accent5"/>
        <w:bottom w:val="single" w:sz="4" w:space="0" w:color="0B1F2C" w:themeColor="accent5"/>
        <w:right w:val="single" w:sz="4" w:space="0" w:color="0B1F2C" w:themeColor="accent5"/>
        <w:insideH w:val="single" w:sz="4" w:space="0" w:color="FFFFFF" w:themeColor="background1"/>
        <w:insideV w:val="single" w:sz="4" w:space="0" w:color="FFFFFF" w:themeColor="background1"/>
      </w:tblBorders>
    </w:tblPr>
    <w:tcPr>
      <w:shd w:val="clear" w:color="auto" w:fill="DBEBF6" w:themeFill="accent5" w:themeFillTint="19"/>
    </w:tcPr>
    <w:tblStylePr w:type="firstRow">
      <w:rPr>
        <w:b/>
        <w:bCs/>
      </w:rPr>
      <w:tblPr/>
      <w:tcPr>
        <w:tcBorders>
          <w:top w:val="nil"/>
          <w:left w:val="nil"/>
          <w:bottom w:val="single" w:sz="24" w:space="0" w:color="909090"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6121A" w:themeFill="accent5" w:themeFillShade="99"/>
      </w:tcPr>
    </w:tblStylePr>
    <w:tblStylePr w:type="firstCol">
      <w:rPr>
        <w:color w:val="FFFFFF" w:themeColor="background1"/>
      </w:rPr>
      <w:tblPr/>
      <w:tcPr>
        <w:tcBorders>
          <w:top w:val="nil"/>
          <w:left w:val="nil"/>
          <w:bottom w:val="nil"/>
          <w:right w:val="nil"/>
          <w:insideH w:val="single" w:sz="4" w:space="0" w:color="06121A" w:themeColor="accent5" w:themeShade="99"/>
          <w:insideV w:val="nil"/>
        </w:tcBorders>
        <w:shd w:val="clear" w:color="auto" w:fill="06121A"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06121A" w:themeFill="accent5" w:themeFillShade="99"/>
      </w:tcPr>
    </w:tblStylePr>
    <w:tblStylePr w:type="band1Vert">
      <w:tblPr/>
      <w:tcPr>
        <w:shd w:val="clear" w:color="auto" w:fill="6DAFDA" w:themeFill="accent5" w:themeFillTint="66"/>
      </w:tcPr>
    </w:tblStylePr>
    <w:tblStylePr w:type="band1Horz">
      <w:tblPr/>
      <w:tcPr>
        <w:shd w:val="clear" w:color="auto" w:fill="499BD1" w:themeFill="accent5" w:themeFillTint="7F"/>
      </w:tcPr>
    </w:tblStylePr>
    <w:tblStylePr w:type="neCell">
      <w:rPr>
        <w:color w:val="0B1F2C" w:themeColor="text1"/>
      </w:rPr>
    </w:tblStylePr>
    <w:tblStylePr w:type="nwCell">
      <w:rPr>
        <w:color w:val="0B1F2C" w:themeColor="text1"/>
      </w:rPr>
    </w:tblStylePr>
  </w:style>
  <w:style w:type="table" w:styleId="ColourfulShadingAccent6">
    <w:name w:val="Colorful Shading Accent 6"/>
    <w:basedOn w:val="TableNormal"/>
    <w:uiPriority w:val="71"/>
    <w:semiHidden/>
    <w:unhideWhenUsed/>
    <w:rsid w:val="0090719C"/>
    <w:rPr>
      <w:color w:val="0B1F2C" w:themeColor="text1"/>
    </w:rPr>
    <w:tblPr>
      <w:tblStyleRowBandSize w:val="1"/>
      <w:tblStyleColBandSize w:val="1"/>
      <w:tblBorders>
        <w:top w:val="single" w:sz="24" w:space="0" w:color="0B1F2C" w:themeColor="accent5"/>
        <w:left w:val="single" w:sz="4" w:space="0" w:color="909090" w:themeColor="accent6"/>
        <w:bottom w:val="single" w:sz="4" w:space="0" w:color="909090" w:themeColor="accent6"/>
        <w:right w:val="single" w:sz="4" w:space="0" w:color="909090" w:themeColor="accent6"/>
        <w:insideH w:val="single" w:sz="4" w:space="0" w:color="FFFFFF" w:themeColor="background1"/>
        <w:insideV w:val="single" w:sz="4" w:space="0" w:color="FFFFFF" w:themeColor="background1"/>
      </w:tblBorders>
    </w:tblPr>
    <w:tcPr>
      <w:shd w:val="clear" w:color="auto" w:fill="F4F4F4" w:themeFill="accent6" w:themeFillTint="19"/>
    </w:tcPr>
    <w:tblStylePr w:type="firstRow">
      <w:rPr>
        <w:b/>
        <w:bCs/>
      </w:rPr>
      <w:tblPr/>
      <w:tcPr>
        <w:tcBorders>
          <w:top w:val="nil"/>
          <w:left w:val="nil"/>
          <w:bottom w:val="single" w:sz="24" w:space="0" w:color="0B1F2C"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65656" w:themeFill="accent6" w:themeFillShade="99"/>
      </w:tcPr>
    </w:tblStylePr>
    <w:tblStylePr w:type="firstCol">
      <w:rPr>
        <w:color w:val="FFFFFF" w:themeColor="background1"/>
      </w:rPr>
      <w:tblPr/>
      <w:tcPr>
        <w:tcBorders>
          <w:top w:val="nil"/>
          <w:left w:val="nil"/>
          <w:bottom w:val="nil"/>
          <w:right w:val="nil"/>
          <w:insideH w:val="single" w:sz="4" w:space="0" w:color="565656" w:themeColor="accent6" w:themeShade="99"/>
          <w:insideV w:val="nil"/>
        </w:tcBorders>
        <w:shd w:val="clear" w:color="auto" w:fill="565656"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565656" w:themeFill="accent6" w:themeFillShade="99"/>
      </w:tcPr>
    </w:tblStylePr>
    <w:tblStylePr w:type="band1Vert">
      <w:tblPr/>
      <w:tcPr>
        <w:shd w:val="clear" w:color="auto" w:fill="D2D2D2" w:themeFill="accent6" w:themeFillTint="66"/>
      </w:tcPr>
    </w:tblStylePr>
    <w:tblStylePr w:type="band1Horz">
      <w:tblPr/>
      <w:tcPr>
        <w:shd w:val="clear" w:color="auto" w:fill="C7C7C7" w:themeFill="accent6" w:themeFillTint="7F"/>
      </w:tcPr>
    </w:tblStylePr>
    <w:tblStylePr w:type="neCell">
      <w:rPr>
        <w:color w:val="0B1F2C" w:themeColor="text1"/>
      </w:rPr>
    </w:tblStylePr>
    <w:tblStylePr w:type="nwCell">
      <w:rPr>
        <w:color w:val="0B1F2C" w:themeColor="text1"/>
      </w:rPr>
    </w:tblStylePr>
  </w:style>
  <w:style w:type="character" w:styleId="CommentReference">
    <w:name w:val="annotation reference"/>
    <w:basedOn w:val="DefaultParagraphFont"/>
    <w:uiPriority w:val="99"/>
    <w:semiHidden/>
    <w:unhideWhenUsed/>
    <w:rsid w:val="0090719C"/>
    <w:rPr>
      <w:sz w:val="16"/>
      <w:szCs w:val="16"/>
      <w:lang w:val="en-GB"/>
    </w:rPr>
  </w:style>
  <w:style w:type="paragraph" w:styleId="CommentText">
    <w:name w:val="annotation text"/>
    <w:basedOn w:val="Normal"/>
    <w:link w:val="CommentTextChar"/>
    <w:uiPriority w:val="99"/>
    <w:semiHidden/>
    <w:rsid w:val="0090719C"/>
  </w:style>
  <w:style w:type="character" w:customStyle="1" w:styleId="CommentTextChar">
    <w:name w:val="Comment Text Char"/>
    <w:basedOn w:val="DefaultParagraphFont"/>
    <w:link w:val="CommentText"/>
    <w:uiPriority w:val="99"/>
    <w:semiHidden/>
    <w:rsid w:val="006B71F3"/>
    <w:rPr>
      <w:rFonts w:ascii="Arial" w:eastAsia="Arial" w:hAnsi="Arial" w:cs="Arial"/>
      <w:sz w:val="20"/>
      <w:szCs w:val="20"/>
      <w:lang w:val="en-GB"/>
    </w:rPr>
  </w:style>
  <w:style w:type="paragraph" w:styleId="CommentSubject">
    <w:name w:val="annotation subject"/>
    <w:basedOn w:val="CommentText"/>
    <w:next w:val="CommentText"/>
    <w:link w:val="CommentSubjectChar"/>
    <w:uiPriority w:val="99"/>
    <w:semiHidden/>
    <w:unhideWhenUsed/>
    <w:rsid w:val="0090719C"/>
    <w:rPr>
      <w:b/>
      <w:bCs/>
    </w:rPr>
  </w:style>
  <w:style w:type="character" w:customStyle="1" w:styleId="CommentSubjectChar">
    <w:name w:val="Comment Subject Char"/>
    <w:basedOn w:val="CommentTextChar"/>
    <w:link w:val="CommentSubject"/>
    <w:uiPriority w:val="99"/>
    <w:semiHidden/>
    <w:rsid w:val="0090719C"/>
    <w:rPr>
      <w:rFonts w:ascii="Arial" w:eastAsia="Arial" w:hAnsi="Arial" w:cs="Arial"/>
      <w:b/>
      <w:bCs/>
      <w:sz w:val="20"/>
      <w:szCs w:val="20"/>
      <w:lang w:val="en-GB"/>
    </w:rPr>
  </w:style>
  <w:style w:type="table" w:styleId="DarkList">
    <w:name w:val="Dark List"/>
    <w:basedOn w:val="TableNormal"/>
    <w:uiPriority w:val="70"/>
    <w:semiHidden/>
    <w:unhideWhenUsed/>
    <w:rsid w:val="0090719C"/>
    <w:rPr>
      <w:color w:val="FFFFFF" w:themeColor="background1"/>
    </w:rPr>
    <w:tblPr>
      <w:tblStyleRowBandSize w:val="1"/>
      <w:tblStyleColBandSize w:val="1"/>
    </w:tblPr>
    <w:tcPr>
      <w:shd w:val="clear" w:color="auto" w:fill="0B1F2C" w:themeFill="text1"/>
    </w:tcPr>
    <w:tblStylePr w:type="firstRow">
      <w:rPr>
        <w:b/>
        <w:bCs/>
      </w:rPr>
      <w:tblPr/>
      <w:tcPr>
        <w:tcBorders>
          <w:top w:val="nil"/>
          <w:left w:val="nil"/>
          <w:bottom w:val="single" w:sz="18" w:space="0" w:color="FFFFFF" w:themeColor="background1"/>
          <w:right w:val="nil"/>
          <w:insideH w:val="nil"/>
          <w:insideV w:val="nil"/>
        </w:tcBorders>
        <w:shd w:val="clear" w:color="auto" w:fill="0B1F2C" w:themeFill="text1"/>
      </w:tcPr>
    </w:tblStylePr>
    <w:tblStylePr w:type="lastRow">
      <w:tblPr/>
      <w:tcPr>
        <w:tcBorders>
          <w:top w:val="single" w:sz="18" w:space="0" w:color="FFFFFF" w:themeColor="background1"/>
          <w:left w:val="nil"/>
          <w:bottom w:val="nil"/>
          <w:right w:val="nil"/>
          <w:insideH w:val="nil"/>
          <w:insideV w:val="nil"/>
        </w:tcBorders>
        <w:shd w:val="clear" w:color="auto" w:fill="050F15"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8172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81720" w:themeFill="text1" w:themeFillShade="BF"/>
      </w:tcPr>
    </w:tblStylePr>
    <w:tblStylePr w:type="band1Vert">
      <w:tblPr/>
      <w:tcPr>
        <w:tcBorders>
          <w:top w:val="nil"/>
          <w:left w:val="nil"/>
          <w:bottom w:val="nil"/>
          <w:right w:val="nil"/>
          <w:insideH w:val="nil"/>
          <w:insideV w:val="nil"/>
        </w:tcBorders>
        <w:shd w:val="clear" w:color="auto" w:fill="081720" w:themeFill="text1" w:themeFillShade="BF"/>
      </w:tcPr>
    </w:tblStylePr>
    <w:tblStylePr w:type="band1Horz">
      <w:tblPr/>
      <w:tcPr>
        <w:tcBorders>
          <w:top w:val="nil"/>
          <w:left w:val="nil"/>
          <w:bottom w:val="nil"/>
          <w:right w:val="nil"/>
          <w:insideH w:val="nil"/>
          <w:insideV w:val="nil"/>
        </w:tcBorders>
        <w:shd w:val="clear" w:color="auto" w:fill="081720" w:themeFill="text1" w:themeFillShade="BF"/>
      </w:tcPr>
    </w:tblStylePr>
  </w:style>
  <w:style w:type="table" w:styleId="DarkList-Accent1">
    <w:name w:val="Dark List Accent 1"/>
    <w:basedOn w:val="TableNormal"/>
    <w:uiPriority w:val="70"/>
    <w:semiHidden/>
    <w:unhideWhenUsed/>
    <w:rsid w:val="0090719C"/>
    <w:rPr>
      <w:color w:val="FFFFFF" w:themeColor="background1"/>
    </w:rPr>
    <w:tblPr>
      <w:tblStyleRowBandSize w:val="1"/>
      <w:tblStyleColBandSize w:val="1"/>
    </w:tblPr>
    <w:tcPr>
      <w:shd w:val="clear" w:color="auto" w:fill="009FE3"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B1F2C" w:themeFill="text1"/>
      </w:tcPr>
    </w:tblStylePr>
    <w:tblStylePr w:type="lastRow">
      <w:tblPr/>
      <w:tcPr>
        <w:tcBorders>
          <w:top w:val="single" w:sz="18" w:space="0" w:color="FFFFFF" w:themeColor="background1"/>
          <w:left w:val="nil"/>
          <w:bottom w:val="nil"/>
          <w:right w:val="nil"/>
          <w:insideH w:val="nil"/>
          <w:insideV w:val="nil"/>
        </w:tcBorders>
        <w:shd w:val="clear" w:color="auto" w:fill="004E71"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076AA"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076AA" w:themeFill="accent1" w:themeFillShade="BF"/>
      </w:tcPr>
    </w:tblStylePr>
    <w:tblStylePr w:type="band1Vert">
      <w:tblPr/>
      <w:tcPr>
        <w:tcBorders>
          <w:top w:val="nil"/>
          <w:left w:val="nil"/>
          <w:bottom w:val="nil"/>
          <w:right w:val="nil"/>
          <w:insideH w:val="nil"/>
          <w:insideV w:val="nil"/>
        </w:tcBorders>
        <w:shd w:val="clear" w:color="auto" w:fill="0076AA" w:themeFill="accent1" w:themeFillShade="BF"/>
      </w:tcPr>
    </w:tblStylePr>
    <w:tblStylePr w:type="band1Horz">
      <w:tblPr/>
      <w:tcPr>
        <w:tcBorders>
          <w:top w:val="nil"/>
          <w:left w:val="nil"/>
          <w:bottom w:val="nil"/>
          <w:right w:val="nil"/>
          <w:insideH w:val="nil"/>
          <w:insideV w:val="nil"/>
        </w:tcBorders>
        <w:shd w:val="clear" w:color="auto" w:fill="0076AA" w:themeFill="accent1" w:themeFillShade="BF"/>
      </w:tcPr>
    </w:tblStylePr>
  </w:style>
  <w:style w:type="table" w:styleId="DarkList-Accent2">
    <w:name w:val="Dark List Accent 2"/>
    <w:basedOn w:val="TableNormal"/>
    <w:uiPriority w:val="70"/>
    <w:semiHidden/>
    <w:unhideWhenUsed/>
    <w:rsid w:val="0090719C"/>
    <w:rPr>
      <w:color w:val="FFFFFF" w:themeColor="background1"/>
    </w:rPr>
    <w:tblPr>
      <w:tblStyleRowBandSize w:val="1"/>
      <w:tblStyleColBandSize w:val="1"/>
    </w:tblPr>
    <w:tcPr>
      <w:shd w:val="clear" w:color="auto" w:fill="800080"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B1F2C" w:themeFill="text1"/>
      </w:tcPr>
    </w:tblStylePr>
    <w:tblStylePr w:type="lastRow">
      <w:tblPr/>
      <w:tcPr>
        <w:tcBorders>
          <w:top w:val="single" w:sz="18" w:space="0" w:color="FFFFFF" w:themeColor="background1"/>
          <w:left w:val="nil"/>
          <w:bottom w:val="nil"/>
          <w:right w:val="nil"/>
          <w:insideH w:val="nil"/>
          <w:insideV w:val="nil"/>
        </w:tcBorders>
        <w:shd w:val="clear" w:color="auto" w:fill="3F003F"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5F005F"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5F005F" w:themeFill="accent2" w:themeFillShade="BF"/>
      </w:tcPr>
    </w:tblStylePr>
    <w:tblStylePr w:type="band1Vert">
      <w:tblPr/>
      <w:tcPr>
        <w:tcBorders>
          <w:top w:val="nil"/>
          <w:left w:val="nil"/>
          <w:bottom w:val="nil"/>
          <w:right w:val="nil"/>
          <w:insideH w:val="nil"/>
          <w:insideV w:val="nil"/>
        </w:tcBorders>
        <w:shd w:val="clear" w:color="auto" w:fill="5F005F" w:themeFill="accent2" w:themeFillShade="BF"/>
      </w:tcPr>
    </w:tblStylePr>
    <w:tblStylePr w:type="band1Horz">
      <w:tblPr/>
      <w:tcPr>
        <w:tcBorders>
          <w:top w:val="nil"/>
          <w:left w:val="nil"/>
          <w:bottom w:val="nil"/>
          <w:right w:val="nil"/>
          <w:insideH w:val="nil"/>
          <w:insideV w:val="nil"/>
        </w:tcBorders>
        <w:shd w:val="clear" w:color="auto" w:fill="5F005F" w:themeFill="accent2" w:themeFillShade="BF"/>
      </w:tcPr>
    </w:tblStylePr>
  </w:style>
  <w:style w:type="table" w:styleId="DarkList-Accent3">
    <w:name w:val="Dark List Accent 3"/>
    <w:basedOn w:val="TableNormal"/>
    <w:uiPriority w:val="70"/>
    <w:semiHidden/>
    <w:unhideWhenUsed/>
    <w:rsid w:val="0090719C"/>
    <w:rPr>
      <w:color w:val="FFFFFF" w:themeColor="background1"/>
    </w:rPr>
    <w:tblPr>
      <w:tblStyleRowBandSize w:val="1"/>
      <w:tblStyleColBandSize w:val="1"/>
    </w:tblPr>
    <w:tcPr>
      <w:shd w:val="clear" w:color="auto" w:fill="26C0BC"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B1F2C" w:themeFill="text1"/>
      </w:tcPr>
    </w:tblStylePr>
    <w:tblStylePr w:type="lastRow">
      <w:tblPr/>
      <w:tcPr>
        <w:tcBorders>
          <w:top w:val="single" w:sz="18" w:space="0" w:color="FFFFFF" w:themeColor="background1"/>
          <w:left w:val="nil"/>
          <w:bottom w:val="nil"/>
          <w:right w:val="nil"/>
          <w:insideH w:val="nil"/>
          <w:insideV w:val="nil"/>
        </w:tcBorders>
        <w:shd w:val="clear" w:color="auto" w:fill="135F5D"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C8F8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C8F8C" w:themeFill="accent3" w:themeFillShade="BF"/>
      </w:tcPr>
    </w:tblStylePr>
    <w:tblStylePr w:type="band1Vert">
      <w:tblPr/>
      <w:tcPr>
        <w:tcBorders>
          <w:top w:val="nil"/>
          <w:left w:val="nil"/>
          <w:bottom w:val="nil"/>
          <w:right w:val="nil"/>
          <w:insideH w:val="nil"/>
          <w:insideV w:val="nil"/>
        </w:tcBorders>
        <w:shd w:val="clear" w:color="auto" w:fill="1C8F8C" w:themeFill="accent3" w:themeFillShade="BF"/>
      </w:tcPr>
    </w:tblStylePr>
    <w:tblStylePr w:type="band1Horz">
      <w:tblPr/>
      <w:tcPr>
        <w:tcBorders>
          <w:top w:val="nil"/>
          <w:left w:val="nil"/>
          <w:bottom w:val="nil"/>
          <w:right w:val="nil"/>
          <w:insideH w:val="nil"/>
          <w:insideV w:val="nil"/>
        </w:tcBorders>
        <w:shd w:val="clear" w:color="auto" w:fill="1C8F8C" w:themeFill="accent3" w:themeFillShade="BF"/>
      </w:tcPr>
    </w:tblStylePr>
  </w:style>
  <w:style w:type="table" w:styleId="DarkList-Accent4">
    <w:name w:val="Dark List Accent 4"/>
    <w:basedOn w:val="TableNormal"/>
    <w:uiPriority w:val="70"/>
    <w:semiHidden/>
    <w:unhideWhenUsed/>
    <w:rsid w:val="0090719C"/>
    <w:rPr>
      <w:color w:val="FFFFFF" w:themeColor="background1"/>
    </w:rPr>
    <w:tblPr>
      <w:tblStyleRowBandSize w:val="1"/>
      <w:tblStyleColBandSize w:val="1"/>
    </w:tblPr>
    <w:tcPr>
      <w:shd w:val="clear" w:color="auto" w:fill="C5446E"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B1F2C" w:themeFill="text1"/>
      </w:tcPr>
    </w:tblStylePr>
    <w:tblStylePr w:type="lastRow">
      <w:tblPr/>
      <w:tcPr>
        <w:tcBorders>
          <w:top w:val="single" w:sz="18" w:space="0" w:color="FFFFFF" w:themeColor="background1"/>
          <w:left w:val="nil"/>
          <w:bottom w:val="nil"/>
          <w:right w:val="nil"/>
          <w:insideH w:val="nil"/>
          <w:insideV w:val="nil"/>
        </w:tcBorders>
        <w:shd w:val="clear" w:color="auto" w:fill="641F35"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972F50"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972F50" w:themeFill="accent4" w:themeFillShade="BF"/>
      </w:tcPr>
    </w:tblStylePr>
    <w:tblStylePr w:type="band1Vert">
      <w:tblPr/>
      <w:tcPr>
        <w:tcBorders>
          <w:top w:val="nil"/>
          <w:left w:val="nil"/>
          <w:bottom w:val="nil"/>
          <w:right w:val="nil"/>
          <w:insideH w:val="nil"/>
          <w:insideV w:val="nil"/>
        </w:tcBorders>
        <w:shd w:val="clear" w:color="auto" w:fill="972F50" w:themeFill="accent4" w:themeFillShade="BF"/>
      </w:tcPr>
    </w:tblStylePr>
    <w:tblStylePr w:type="band1Horz">
      <w:tblPr/>
      <w:tcPr>
        <w:tcBorders>
          <w:top w:val="nil"/>
          <w:left w:val="nil"/>
          <w:bottom w:val="nil"/>
          <w:right w:val="nil"/>
          <w:insideH w:val="nil"/>
          <w:insideV w:val="nil"/>
        </w:tcBorders>
        <w:shd w:val="clear" w:color="auto" w:fill="972F50" w:themeFill="accent4" w:themeFillShade="BF"/>
      </w:tcPr>
    </w:tblStylePr>
  </w:style>
  <w:style w:type="table" w:styleId="DarkList-Accent5">
    <w:name w:val="Dark List Accent 5"/>
    <w:basedOn w:val="TableNormal"/>
    <w:uiPriority w:val="70"/>
    <w:semiHidden/>
    <w:unhideWhenUsed/>
    <w:rsid w:val="0090719C"/>
    <w:rPr>
      <w:color w:val="FFFFFF" w:themeColor="background1"/>
    </w:rPr>
    <w:tblPr>
      <w:tblStyleRowBandSize w:val="1"/>
      <w:tblStyleColBandSize w:val="1"/>
    </w:tblPr>
    <w:tcPr>
      <w:shd w:val="clear" w:color="auto" w:fill="0B1F2C"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B1F2C" w:themeFill="text1"/>
      </w:tcPr>
    </w:tblStylePr>
    <w:tblStylePr w:type="lastRow">
      <w:tblPr/>
      <w:tcPr>
        <w:tcBorders>
          <w:top w:val="single" w:sz="18" w:space="0" w:color="FFFFFF" w:themeColor="background1"/>
          <w:left w:val="nil"/>
          <w:bottom w:val="nil"/>
          <w:right w:val="nil"/>
          <w:insideH w:val="nil"/>
          <w:insideV w:val="nil"/>
        </w:tcBorders>
        <w:shd w:val="clear" w:color="auto" w:fill="050F15"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081720"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081720" w:themeFill="accent5" w:themeFillShade="BF"/>
      </w:tcPr>
    </w:tblStylePr>
    <w:tblStylePr w:type="band1Vert">
      <w:tblPr/>
      <w:tcPr>
        <w:tcBorders>
          <w:top w:val="nil"/>
          <w:left w:val="nil"/>
          <w:bottom w:val="nil"/>
          <w:right w:val="nil"/>
          <w:insideH w:val="nil"/>
          <w:insideV w:val="nil"/>
        </w:tcBorders>
        <w:shd w:val="clear" w:color="auto" w:fill="081720" w:themeFill="accent5" w:themeFillShade="BF"/>
      </w:tcPr>
    </w:tblStylePr>
    <w:tblStylePr w:type="band1Horz">
      <w:tblPr/>
      <w:tcPr>
        <w:tcBorders>
          <w:top w:val="nil"/>
          <w:left w:val="nil"/>
          <w:bottom w:val="nil"/>
          <w:right w:val="nil"/>
          <w:insideH w:val="nil"/>
          <w:insideV w:val="nil"/>
        </w:tcBorders>
        <w:shd w:val="clear" w:color="auto" w:fill="081720" w:themeFill="accent5" w:themeFillShade="BF"/>
      </w:tcPr>
    </w:tblStylePr>
  </w:style>
  <w:style w:type="table" w:styleId="DarkList-Accent6">
    <w:name w:val="Dark List Accent 6"/>
    <w:basedOn w:val="TableNormal"/>
    <w:uiPriority w:val="70"/>
    <w:semiHidden/>
    <w:unhideWhenUsed/>
    <w:rsid w:val="0090719C"/>
    <w:rPr>
      <w:color w:val="FFFFFF" w:themeColor="background1"/>
    </w:rPr>
    <w:tblPr>
      <w:tblStyleRowBandSize w:val="1"/>
      <w:tblStyleColBandSize w:val="1"/>
    </w:tblPr>
    <w:tcPr>
      <w:shd w:val="clear" w:color="auto" w:fill="909090"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B1F2C" w:themeFill="text1"/>
      </w:tcPr>
    </w:tblStylePr>
    <w:tblStylePr w:type="lastRow">
      <w:tblPr/>
      <w:tcPr>
        <w:tcBorders>
          <w:top w:val="single" w:sz="18" w:space="0" w:color="FFFFFF" w:themeColor="background1"/>
          <w:left w:val="nil"/>
          <w:bottom w:val="nil"/>
          <w:right w:val="nil"/>
          <w:insideH w:val="nil"/>
          <w:insideV w:val="nil"/>
        </w:tcBorders>
        <w:shd w:val="clear" w:color="auto" w:fill="47474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6B6B6B"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6B6B6B" w:themeFill="accent6" w:themeFillShade="BF"/>
      </w:tcPr>
    </w:tblStylePr>
    <w:tblStylePr w:type="band1Vert">
      <w:tblPr/>
      <w:tcPr>
        <w:tcBorders>
          <w:top w:val="nil"/>
          <w:left w:val="nil"/>
          <w:bottom w:val="nil"/>
          <w:right w:val="nil"/>
          <w:insideH w:val="nil"/>
          <w:insideV w:val="nil"/>
        </w:tcBorders>
        <w:shd w:val="clear" w:color="auto" w:fill="6B6B6B" w:themeFill="accent6" w:themeFillShade="BF"/>
      </w:tcPr>
    </w:tblStylePr>
    <w:tblStylePr w:type="band1Horz">
      <w:tblPr/>
      <w:tcPr>
        <w:tcBorders>
          <w:top w:val="nil"/>
          <w:left w:val="nil"/>
          <w:bottom w:val="nil"/>
          <w:right w:val="nil"/>
          <w:insideH w:val="nil"/>
          <w:insideV w:val="nil"/>
        </w:tcBorders>
        <w:shd w:val="clear" w:color="auto" w:fill="6B6B6B" w:themeFill="accent6" w:themeFillShade="BF"/>
      </w:tcPr>
    </w:tblStylePr>
  </w:style>
  <w:style w:type="paragraph" w:styleId="Date">
    <w:name w:val="Date"/>
    <w:basedOn w:val="Normal"/>
    <w:next w:val="Normal"/>
    <w:link w:val="DateChar"/>
    <w:uiPriority w:val="99"/>
    <w:semiHidden/>
    <w:unhideWhenUsed/>
    <w:rsid w:val="0090719C"/>
  </w:style>
  <w:style w:type="character" w:customStyle="1" w:styleId="DateChar">
    <w:name w:val="Date Char"/>
    <w:basedOn w:val="DefaultParagraphFont"/>
    <w:link w:val="Date"/>
    <w:uiPriority w:val="99"/>
    <w:semiHidden/>
    <w:rsid w:val="0090719C"/>
    <w:rPr>
      <w:rFonts w:ascii="Arial" w:eastAsia="Arial" w:hAnsi="Arial" w:cs="Arial"/>
      <w:lang w:val="en-GB"/>
    </w:rPr>
  </w:style>
  <w:style w:type="paragraph" w:styleId="DocumentMap">
    <w:name w:val="Document Map"/>
    <w:basedOn w:val="Normal"/>
    <w:link w:val="DocumentMapChar"/>
    <w:uiPriority w:val="99"/>
    <w:semiHidden/>
    <w:unhideWhenUsed/>
    <w:rsid w:val="0090719C"/>
    <w:rPr>
      <w:rFonts w:ascii="Segoe UI" w:hAnsi="Segoe UI" w:cs="Segoe UI"/>
      <w:sz w:val="16"/>
      <w:szCs w:val="16"/>
    </w:rPr>
  </w:style>
  <w:style w:type="character" w:customStyle="1" w:styleId="DocumentMapChar">
    <w:name w:val="Document Map Char"/>
    <w:basedOn w:val="DefaultParagraphFont"/>
    <w:link w:val="DocumentMap"/>
    <w:uiPriority w:val="99"/>
    <w:semiHidden/>
    <w:rsid w:val="0090719C"/>
    <w:rPr>
      <w:rFonts w:ascii="Segoe UI" w:eastAsia="Arial" w:hAnsi="Segoe UI" w:cs="Segoe UI"/>
      <w:sz w:val="16"/>
      <w:szCs w:val="16"/>
      <w:lang w:val="en-GB"/>
    </w:rPr>
  </w:style>
  <w:style w:type="paragraph" w:styleId="EmailSignature">
    <w:name w:val="E-mail Signature"/>
    <w:basedOn w:val="Normal"/>
    <w:link w:val="EmailSignatureChar"/>
    <w:uiPriority w:val="99"/>
    <w:semiHidden/>
    <w:unhideWhenUsed/>
    <w:rsid w:val="0090719C"/>
  </w:style>
  <w:style w:type="character" w:customStyle="1" w:styleId="EmailSignatureChar">
    <w:name w:val="Email Signature Char"/>
    <w:basedOn w:val="DefaultParagraphFont"/>
    <w:link w:val="EmailSignature"/>
    <w:uiPriority w:val="99"/>
    <w:semiHidden/>
    <w:rsid w:val="0090719C"/>
    <w:rPr>
      <w:rFonts w:ascii="Arial" w:eastAsia="Arial" w:hAnsi="Arial" w:cs="Arial"/>
      <w:lang w:val="en-GB"/>
    </w:rPr>
  </w:style>
  <w:style w:type="character" w:styleId="Emphasis">
    <w:name w:val="Emphasis"/>
    <w:basedOn w:val="DefaultParagraphFont"/>
    <w:uiPriority w:val="20"/>
    <w:semiHidden/>
    <w:qFormat/>
    <w:rsid w:val="0090719C"/>
    <w:rPr>
      <w:i/>
      <w:iCs/>
      <w:lang w:val="en-GB"/>
    </w:rPr>
  </w:style>
  <w:style w:type="character" w:styleId="EndnoteReference">
    <w:name w:val="endnote reference"/>
    <w:basedOn w:val="DefaultParagraphFont"/>
    <w:uiPriority w:val="99"/>
    <w:semiHidden/>
    <w:unhideWhenUsed/>
    <w:rsid w:val="0090719C"/>
    <w:rPr>
      <w:vertAlign w:val="superscript"/>
      <w:lang w:val="en-GB"/>
    </w:rPr>
  </w:style>
  <w:style w:type="paragraph" w:styleId="EndnoteText">
    <w:name w:val="endnote text"/>
    <w:basedOn w:val="Normal"/>
    <w:link w:val="EndnoteTextChar"/>
    <w:uiPriority w:val="99"/>
    <w:semiHidden/>
    <w:unhideWhenUsed/>
    <w:rsid w:val="0090719C"/>
  </w:style>
  <w:style w:type="character" w:customStyle="1" w:styleId="EndnoteTextChar">
    <w:name w:val="Endnote Text Char"/>
    <w:basedOn w:val="DefaultParagraphFont"/>
    <w:link w:val="EndnoteText"/>
    <w:uiPriority w:val="99"/>
    <w:semiHidden/>
    <w:rsid w:val="0090719C"/>
    <w:rPr>
      <w:rFonts w:ascii="Arial" w:eastAsia="Arial" w:hAnsi="Arial" w:cs="Arial"/>
      <w:sz w:val="20"/>
      <w:szCs w:val="20"/>
      <w:lang w:val="en-GB"/>
    </w:rPr>
  </w:style>
  <w:style w:type="paragraph" w:styleId="EnvelopeAddress">
    <w:name w:val="envelope address"/>
    <w:basedOn w:val="Normal"/>
    <w:uiPriority w:val="99"/>
    <w:semiHidden/>
    <w:unhideWhenUsed/>
    <w:rsid w:val="0090719C"/>
    <w:pPr>
      <w:framePr w:w="7920" w:h="1980" w:hRule="exact" w:hSpace="180" w:wrap="auto" w:hAnchor="page" w:xAlign="center" w:yAlign="bottom"/>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90719C"/>
    <w:rPr>
      <w:rFonts w:asciiTheme="majorHAnsi" w:eastAsiaTheme="majorEastAsia" w:hAnsiTheme="majorHAnsi" w:cstheme="majorBidi"/>
    </w:rPr>
  </w:style>
  <w:style w:type="character" w:styleId="FollowedHyperlink">
    <w:name w:val="FollowedHyperlink"/>
    <w:basedOn w:val="DefaultParagraphFont"/>
    <w:uiPriority w:val="99"/>
    <w:semiHidden/>
    <w:unhideWhenUsed/>
    <w:rsid w:val="0090719C"/>
    <w:rPr>
      <w:color w:val="800080" w:themeColor="followedHyperlink"/>
      <w:u w:val="single"/>
      <w:lang w:val="en-GB"/>
    </w:rPr>
  </w:style>
  <w:style w:type="character" w:styleId="FootnoteReference">
    <w:name w:val="footnote reference"/>
    <w:basedOn w:val="DefaultParagraphFont"/>
    <w:uiPriority w:val="99"/>
    <w:semiHidden/>
    <w:unhideWhenUsed/>
    <w:rsid w:val="0090719C"/>
    <w:rPr>
      <w:vertAlign w:val="superscript"/>
      <w:lang w:val="en-GB"/>
    </w:rPr>
  </w:style>
  <w:style w:type="paragraph" w:styleId="FootnoteText">
    <w:name w:val="footnote text"/>
    <w:basedOn w:val="Normal"/>
    <w:link w:val="FootnoteTextChar"/>
    <w:uiPriority w:val="99"/>
    <w:semiHidden/>
    <w:unhideWhenUsed/>
    <w:rsid w:val="0090719C"/>
  </w:style>
  <w:style w:type="character" w:customStyle="1" w:styleId="FootnoteTextChar">
    <w:name w:val="Footnote Text Char"/>
    <w:basedOn w:val="DefaultParagraphFont"/>
    <w:link w:val="FootnoteText"/>
    <w:uiPriority w:val="99"/>
    <w:semiHidden/>
    <w:rsid w:val="0090719C"/>
    <w:rPr>
      <w:rFonts w:ascii="Arial" w:eastAsia="Arial" w:hAnsi="Arial" w:cs="Arial"/>
      <w:sz w:val="20"/>
      <w:szCs w:val="20"/>
      <w:lang w:val="en-GB"/>
    </w:rPr>
  </w:style>
  <w:style w:type="table" w:styleId="GridTable1Light">
    <w:name w:val="Grid Table 1 Light"/>
    <w:basedOn w:val="TableNormal"/>
    <w:uiPriority w:val="46"/>
    <w:rsid w:val="0090719C"/>
    <w:tblPr>
      <w:tblStyleRowBandSize w:val="1"/>
      <w:tblStyleColBandSize w:val="1"/>
      <w:tblBorders>
        <w:top w:val="single" w:sz="4" w:space="0" w:color="6DAFDA" w:themeColor="text1" w:themeTint="66"/>
        <w:left w:val="single" w:sz="4" w:space="0" w:color="6DAFDA" w:themeColor="text1" w:themeTint="66"/>
        <w:bottom w:val="single" w:sz="4" w:space="0" w:color="6DAFDA" w:themeColor="text1" w:themeTint="66"/>
        <w:right w:val="single" w:sz="4" w:space="0" w:color="6DAFDA" w:themeColor="text1" w:themeTint="66"/>
        <w:insideH w:val="single" w:sz="4" w:space="0" w:color="6DAFDA" w:themeColor="text1" w:themeTint="66"/>
        <w:insideV w:val="single" w:sz="4" w:space="0" w:color="6DAFDA" w:themeColor="text1" w:themeTint="66"/>
      </w:tblBorders>
    </w:tblPr>
    <w:tblStylePr w:type="firstRow">
      <w:rPr>
        <w:b/>
        <w:bCs/>
      </w:rPr>
      <w:tblPr/>
      <w:tcPr>
        <w:tcBorders>
          <w:bottom w:val="single" w:sz="12" w:space="0" w:color="2F85BD" w:themeColor="text1" w:themeTint="99"/>
        </w:tcBorders>
      </w:tcPr>
    </w:tblStylePr>
    <w:tblStylePr w:type="lastRow">
      <w:rPr>
        <w:b/>
        <w:bCs/>
      </w:rPr>
      <w:tblPr/>
      <w:tcPr>
        <w:tcBorders>
          <w:top w:val="double" w:sz="2" w:space="0" w:color="2F85BD"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90719C"/>
    <w:tblPr>
      <w:tblStyleRowBandSize w:val="1"/>
      <w:tblStyleColBandSize w:val="1"/>
      <w:tblBorders>
        <w:top w:val="single" w:sz="4" w:space="0" w:color="8DDCFF" w:themeColor="accent1" w:themeTint="66"/>
        <w:left w:val="single" w:sz="4" w:space="0" w:color="8DDCFF" w:themeColor="accent1" w:themeTint="66"/>
        <w:bottom w:val="single" w:sz="4" w:space="0" w:color="8DDCFF" w:themeColor="accent1" w:themeTint="66"/>
        <w:right w:val="single" w:sz="4" w:space="0" w:color="8DDCFF" w:themeColor="accent1" w:themeTint="66"/>
        <w:insideH w:val="single" w:sz="4" w:space="0" w:color="8DDCFF" w:themeColor="accent1" w:themeTint="66"/>
        <w:insideV w:val="single" w:sz="4" w:space="0" w:color="8DDCFF" w:themeColor="accent1" w:themeTint="66"/>
      </w:tblBorders>
    </w:tblPr>
    <w:tblStylePr w:type="firstRow">
      <w:rPr>
        <w:b/>
        <w:bCs/>
      </w:rPr>
      <w:tblPr/>
      <w:tcPr>
        <w:tcBorders>
          <w:bottom w:val="single" w:sz="12" w:space="0" w:color="55CBFF" w:themeColor="accent1" w:themeTint="99"/>
        </w:tcBorders>
      </w:tcPr>
    </w:tblStylePr>
    <w:tblStylePr w:type="lastRow">
      <w:rPr>
        <w:b/>
        <w:bCs/>
      </w:rPr>
      <w:tblPr/>
      <w:tcPr>
        <w:tcBorders>
          <w:top w:val="double" w:sz="2" w:space="0" w:color="55CBFF"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90719C"/>
    <w:tblPr>
      <w:tblStyleRowBandSize w:val="1"/>
      <w:tblStyleColBandSize w:val="1"/>
      <w:tblBorders>
        <w:top w:val="single" w:sz="4" w:space="0" w:color="FF66FF" w:themeColor="accent2" w:themeTint="66"/>
        <w:left w:val="single" w:sz="4" w:space="0" w:color="FF66FF" w:themeColor="accent2" w:themeTint="66"/>
        <w:bottom w:val="single" w:sz="4" w:space="0" w:color="FF66FF" w:themeColor="accent2" w:themeTint="66"/>
        <w:right w:val="single" w:sz="4" w:space="0" w:color="FF66FF" w:themeColor="accent2" w:themeTint="66"/>
        <w:insideH w:val="single" w:sz="4" w:space="0" w:color="FF66FF" w:themeColor="accent2" w:themeTint="66"/>
        <w:insideV w:val="single" w:sz="4" w:space="0" w:color="FF66FF" w:themeColor="accent2" w:themeTint="66"/>
      </w:tblBorders>
    </w:tblPr>
    <w:tblStylePr w:type="firstRow">
      <w:rPr>
        <w:b/>
        <w:bCs/>
      </w:rPr>
      <w:tblPr/>
      <w:tcPr>
        <w:tcBorders>
          <w:bottom w:val="single" w:sz="12" w:space="0" w:color="FF19FF" w:themeColor="accent2" w:themeTint="99"/>
        </w:tcBorders>
      </w:tcPr>
    </w:tblStylePr>
    <w:tblStylePr w:type="lastRow">
      <w:rPr>
        <w:b/>
        <w:bCs/>
      </w:rPr>
      <w:tblPr/>
      <w:tcPr>
        <w:tcBorders>
          <w:top w:val="double" w:sz="2" w:space="0" w:color="FF19FF"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90719C"/>
    <w:tblPr>
      <w:tblStyleRowBandSize w:val="1"/>
      <w:tblStyleColBandSize w:val="1"/>
      <w:tblBorders>
        <w:top w:val="single" w:sz="4" w:space="0" w:color="A1ECEA" w:themeColor="accent3" w:themeTint="66"/>
        <w:left w:val="single" w:sz="4" w:space="0" w:color="A1ECEA" w:themeColor="accent3" w:themeTint="66"/>
        <w:bottom w:val="single" w:sz="4" w:space="0" w:color="A1ECEA" w:themeColor="accent3" w:themeTint="66"/>
        <w:right w:val="single" w:sz="4" w:space="0" w:color="A1ECEA" w:themeColor="accent3" w:themeTint="66"/>
        <w:insideH w:val="single" w:sz="4" w:space="0" w:color="A1ECEA" w:themeColor="accent3" w:themeTint="66"/>
        <w:insideV w:val="single" w:sz="4" w:space="0" w:color="A1ECEA" w:themeColor="accent3" w:themeTint="66"/>
      </w:tblBorders>
    </w:tblPr>
    <w:tblStylePr w:type="firstRow">
      <w:rPr>
        <w:b/>
        <w:bCs/>
      </w:rPr>
      <w:tblPr/>
      <w:tcPr>
        <w:tcBorders>
          <w:bottom w:val="single" w:sz="12" w:space="0" w:color="72E3E0" w:themeColor="accent3" w:themeTint="99"/>
        </w:tcBorders>
      </w:tcPr>
    </w:tblStylePr>
    <w:tblStylePr w:type="lastRow">
      <w:rPr>
        <w:b/>
        <w:bCs/>
      </w:rPr>
      <w:tblPr/>
      <w:tcPr>
        <w:tcBorders>
          <w:top w:val="double" w:sz="2" w:space="0" w:color="72E3E0"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90719C"/>
    <w:tblPr>
      <w:tblStyleRowBandSize w:val="1"/>
      <w:tblStyleColBandSize w:val="1"/>
      <w:tblBorders>
        <w:top w:val="single" w:sz="4" w:space="0" w:color="E7B4C4" w:themeColor="accent4" w:themeTint="66"/>
        <w:left w:val="single" w:sz="4" w:space="0" w:color="E7B4C4" w:themeColor="accent4" w:themeTint="66"/>
        <w:bottom w:val="single" w:sz="4" w:space="0" w:color="E7B4C4" w:themeColor="accent4" w:themeTint="66"/>
        <w:right w:val="single" w:sz="4" w:space="0" w:color="E7B4C4" w:themeColor="accent4" w:themeTint="66"/>
        <w:insideH w:val="single" w:sz="4" w:space="0" w:color="E7B4C4" w:themeColor="accent4" w:themeTint="66"/>
        <w:insideV w:val="single" w:sz="4" w:space="0" w:color="E7B4C4" w:themeColor="accent4" w:themeTint="66"/>
      </w:tblBorders>
    </w:tblPr>
    <w:tblStylePr w:type="firstRow">
      <w:rPr>
        <w:b/>
        <w:bCs/>
      </w:rPr>
      <w:tblPr/>
      <w:tcPr>
        <w:tcBorders>
          <w:bottom w:val="single" w:sz="12" w:space="0" w:color="DC8EA7" w:themeColor="accent4" w:themeTint="99"/>
        </w:tcBorders>
      </w:tcPr>
    </w:tblStylePr>
    <w:tblStylePr w:type="lastRow">
      <w:rPr>
        <w:b/>
        <w:bCs/>
      </w:rPr>
      <w:tblPr/>
      <w:tcPr>
        <w:tcBorders>
          <w:top w:val="double" w:sz="2" w:space="0" w:color="DC8EA7"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90719C"/>
    <w:tblPr>
      <w:tblStyleRowBandSize w:val="1"/>
      <w:tblStyleColBandSize w:val="1"/>
      <w:tblBorders>
        <w:top w:val="single" w:sz="4" w:space="0" w:color="6DAFDA" w:themeColor="accent5" w:themeTint="66"/>
        <w:left w:val="single" w:sz="4" w:space="0" w:color="6DAFDA" w:themeColor="accent5" w:themeTint="66"/>
        <w:bottom w:val="single" w:sz="4" w:space="0" w:color="6DAFDA" w:themeColor="accent5" w:themeTint="66"/>
        <w:right w:val="single" w:sz="4" w:space="0" w:color="6DAFDA" w:themeColor="accent5" w:themeTint="66"/>
        <w:insideH w:val="single" w:sz="4" w:space="0" w:color="6DAFDA" w:themeColor="accent5" w:themeTint="66"/>
        <w:insideV w:val="single" w:sz="4" w:space="0" w:color="6DAFDA" w:themeColor="accent5" w:themeTint="66"/>
      </w:tblBorders>
    </w:tblPr>
    <w:tblStylePr w:type="firstRow">
      <w:rPr>
        <w:b/>
        <w:bCs/>
      </w:rPr>
      <w:tblPr/>
      <w:tcPr>
        <w:tcBorders>
          <w:bottom w:val="single" w:sz="12" w:space="0" w:color="2F85BD" w:themeColor="accent5" w:themeTint="99"/>
        </w:tcBorders>
      </w:tcPr>
    </w:tblStylePr>
    <w:tblStylePr w:type="lastRow">
      <w:rPr>
        <w:b/>
        <w:bCs/>
      </w:rPr>
      <w:tblPr/>
      <w:tcPr>
        <w:tcBorders>
          <w:top w:val="double" w:sz="2" w:space="0" w:color="2F85BD"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rsid w:val="0090719C"/>
    <w:tblPr>
      <w:tblStyleRowBandSize w:val="1"/>
      <w:tblStyleColBandSize w:val="1"/>
      <w:tblBorders>
        <w:top w:val="single" w:sz="4" w:space="0" w:color="D2D2D2" w:themeColor="accent6" w:themeTint="66"/>
        <w:left w:val="single" w:sz="4" w:space="0" w:color="D2D2D2" w:themeColor="accent6" w:themeTint="66"/>
        <w:bottom w:val="single" w:sz="4" w:space="0" w:color="D2D2D2" w:themeColor="accent6" w:themeTint="66"/>
        <w:right w:val="single" w:sz="4" w:space="0" w:color="D2D2D2" w:themeColor="accent6" w:themeTint="66"/>
        <w:insideH w:val="single" w:sz="4" w:space="0" w:color="D2D2D2" w:themeColor="accent6" w:themeTint="66"/>
        <w:insideV w:val="single" w:sz="4" w:space="0" w:color="D2D2D2" w:themeColor="accent6" w:themeTint="66"/>
      </w:tblBorders>
    </w:tblPr>
    <w:tblStylePr w:type="firstRow">
      <w:rPr>
        <w:b/>
        <w:bCs/>
      </w:rPr>
      <w:tblPr/>
      <w:tcPr>
        <w:tcBorders>
          <w:bottom w:val="single" w:sz="12" w:space="0" w:color="BCBCBC" w:themeColor="accent6" w:themeTint="99"/>
        </w:tcBorders>
      </w:tcPr>
    </w:tblStylePr>
    <w:tblStylePr w:type="lastRow">
      <w:rPr>
        <w:b/>
        <w:bCs/>
      </w:rPr>
      <w:tblPr/>
      <w:tcPr>
        <w:tcBorders>
          <w:top w:val="double" w:sz="2" w:space="0" w:color="BCBCBC"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rsid w:val="0090719C"/>
    <w:tblPr>
      <w:tblStyleRowBandSize w:val="1"/>
      <w:tblStyleColBandSize w:val="1"/>
      <w:tblBorders>
        <w:top w:val="single" w:sz="2" w:space="0" w:color="2F85BD" w:themeColor="text1" w:themeTint="99"/>
        <w:bottom w:val="single" w:sz="2" w:space="0" w:color="2F85BD" w:themeColor="text1" w:themeTint="99"/>
        <w:insideH w:val="single" w:sz="2" w:space="0" w:color="2F85BD" w:themeColor="text1" w:themeTint="99"/>
        <w:insideV w:val="single" w:sz="2" w:space="0" w:color="2F85BD" w:themeColor="text1" w:themeTint="99"/>
      </w:tblBorders>
    </w:tblPr>
    <w:tblStylePr w:type="firstRow">
      <w:rPr>
        <w:b/>
        <w:bCs/>
      </w:rPr>
      <w:tblPr/>
      <w:tcPr>
        <w:tcBorders>
          <w:top w:val="nil"/>
          <w:bottom w:val="single" w:sz="12" w:space="0" w:color="2F85BD" w:themeColor="text1" w:themeTint="99"/>
          <w:insideH w:val="nil"/>
          <w:insideV w:val="nil"/>
        </w:tcBorders>
        <w:shd w:val="clear" w:color="auto" w:fill="FFFFFF" w:themeFill="background1"/>
      </w:tcPr>
    </w:tblStylePr>
    <w:tblStylePr w:type="lastRow">
      <w:rPr>
        <w:b/>
        <w:bCs/>
      </w:rPr>
      <w:tblPr/>
      <w:tcPr>
        <w:tcBorders>
          <w:top w:val="double" w:sz="2" w:space="0" w:color="2F85BD"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B6D7EC" w:themeFill="text1" w:themeFillTint="33"/>
      </w:tcPr>
    </w:tblStylePr>
    <w:tblStylePr w:type="band1Horz">
      <w:tblPr/>
      <w:tcPr>
        <w:shd w:val="clear" w:color="auto" w:fill="B6D7EC" w:themeFill="text1" w:themeFillTint="33"/>
      </w:tcPr>
    </w:tblStylePr>
  </w:style>
  <w:style w:type="table" w:styleId="GridTable2-Accent1">
    <w:name w:val="Grid Table 2 Accent 1"/>
    <w:basedOn w:val="TableNormal"/>
    <w:uiPriority w:val="47"/>
    <w:rsid w:val="0090719C"/>
    <w:tblPr>
      <w:tblStyleRowBandSize w:val="1"/>
      <w:tblStyleColBandSize w:val="1"/>
      <w:tblBorders>
        <w:top w:val="single" w:sz="2" w:space="0" w:color="55CBFF" w:themeColor="accent1" w:themeTint="99"/>
        <w:bottom w:val="single" w:sz="2" w:space="0" w:color="55CBFF" w:themeColor="accent1" w:themeTint="99"/>
        <w:insideH w:val="single" w:sz="2" w:space="0" w:color="55CBFF" w:themeColor="accent1" w:themeTint="99"/>
        <w:insideV w:val="single" w:sz="2" w:space="0" w:color="55CBFF" w:themeColor="accent1" w:themeTint="99"/>
      </w:tblBorders>
    </w:tblPr>
    <w:tblStylePr w:type="firstRow">
      <w:rPr>
        <w:b/>
        <w:bCs/>
      </w:rPr>
      <w:tblPr/>
      <w:tcPr>
        <w:tcBorders>
          <w:top w:val="nil"/>
          <w:bottom w:val="single" w:sz="12" w:space="0" w:color="55CBFF" w:themeColor="accent1" w:themeTint="99"/>
          <w:insideH w:val="nil"/>
          <w:insideV w:val="nil"/>
        </w:tcBorders>
        <w:shd w:val="clear" w:color="auto" w:fill="FFFFFF" w:themeFill="background1"/>
      </w:tcPr>
    </w:tblStylePr>
    <w:tblStylePr w:type="lastRow">
      <w:rPr>
        <w:b/>
        <w:bCs/>
      </w:rPr>
      <w:tblPr/>
      <w:tcPr>
        <w:tcBorders>
          <w:top w:val="double" w:sz="2" w:space="0" w:color="55CBFF"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6EDFF" w:themeFill="accent1" w:themeFillTint="33"/>
      </w:tcPr>
    </w:tblStylePr>
    <w:tblStylePr w:type="band1Horz">
      <w:tblPr/>
      <w:tcPr>
        <w:shd w:val="clear" w:color="auto" w:fill="C6EDFF" w:themeFill="accent1" w:themeFillTint="33"/>
      </w:tcPr>
    </w:tblStylePr>
  </w:style>
  <w:style w:type="table" w:styleId="GridTable2-Accent2">
    <w:name w:val="Grid Table 2 Accent 2"/>
    <w:basedOn w:val="TableNormal"/>
    <w:uiPriority w:val="47"/>
    <w:rsid w:val="0090719C"/>
    <w:tblPr>
      <w:tblStyleRowBandSize w:val="1"/>
      <w:tblStyleColBandSize w:val="1"/>
      <w:tblBorders>
        <w:top w:val="single" w:sz="2" w:space="0" w:color="FF19FF" w:themeColor="accent2" w:themeTint="99"/>
        <w:bottom w:val="single" w:sz="2" w:space="0" w:color="FF19FF" w:themeColor="accent2" w:themeTint="99"/>
        <w:insideH w:val="single" w:sz="2" w:space="0" w:color="FF19FF" w:themeColor="accent2" w:themeTint="99"/>
        <w:insideV w:val="single" w:sz="2" w:space="0" w:color="FF19FF" w:themeColor="accent2" w:themeTint="99"/>
      </w:tblBorders>
    </w:tblPr>
    <w:tblStylePr w:type="firstRow">
      <w:rPr>
        <w:b/>
        <w:bCs/>
      </w:rPr>
      <w:tblPr/>
      <w:tcPr>
        <w:tcBorders>
          <w:top w:val="nil"/>
          <w:bottom w:val="single" w:sz="12" w:space="0" w:color="FF19FF" w:themeColor="accent2" w:themeTint="99"/>
          <w:insideH w:val="nil"/>
          <w:insideV w:val="nil"/>
        </w:tcBorders>
        <w:shd w:val="clear" w:color="auto" w:fill="FFFFFF" w:themeFill="background1"/>
      </w:tcPr>
    </w:tblStylePr>
    <w:tblStylePr w:type="lastRow">
      <w:rPr>
        <w:b/>
        <w:bCs/>
      </w:rPr>
      <w:tblPr/>
      <w:tcPr>
        <w:tcBorders>
          <w:top w:val="double" w:sz="2" w:space="0" w:color="FF19FF"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B2FF" w:themeFill="accent2" w:themeFillTint="33"/>
      </w:tcPr>
    </w:tblStylePr>
    <w:tblStylePr w:type="band1Horz">
      <w:tblPr/>
      <w:tcPr>
        <w:shd w:val="clear" w:color="auto" w:fill="FFB2FF" w:themeFill="accent2" w:themeFillTint="33"/>
      </w:tcPr>
    </w:tblStylePr>
  </w:style>
  <w:style w:type="table" w:styleId="GridTable2-Accent3">
    <w:name w:val="Grid Table 2 Accent 3"/>
    <w:basedOn w:val="TableNormal"/>
    <w:uiPriority w:val="47"/>
    <w:rsid w:val="0090719C"/>
    <w:tblPr>
      <w:tblStyleRowBandSize w:val="1"/>
      <w:tblStyleColBandSize w:val="1"/>
      <w:tblBorders>
        <w:top w:val="single" w:sz="2" w:space="0" w:color="72E3E0" w:themeColor="accent3" w:themeTint="99"/>
        <w:bottom w:val="single" w:sz="2" w:space="0" w:color="72E3E0" w:themeColor="accent3" w:themeTint="99"/>
        <w:insideH w:val="single" w:sz="2" w:space="0" w:color="72E3E0" w:themeColor="accent3" w:themeTint="99"/>
        <w:insideV w:val="single" w:sz="2" w:space="0" w:color="72E3E0" w:themeColor="accent3" w:themeTint="99"/>
      </w:tblBorders>
    </w:tblPr>
    <w:tblStylePr w:type="firstRow">
      <w:rPr>
        <w:b/>
        <w:bCs/>
      </w:rPr>
      <w:tblPr/>
      <w:tcPr>
        <w:tcBorders>
          <w:top w:val="nil"/>
          <w:bottom w:val="single" w:sz="12" w:space="0" w:color="72E3E0" w:themeColor="accent3" w:themeTint="99"/>
          <w:insideH w:val="nil"/>
          <w:insideV w:val="nil"/>
        </w:tcBorders>
        <w:shd w:val="clear" w:color="auto" w:fill="FFFFFF" w:themeFill="background1"/>
      </w:tcPr>
    </w:tblStylePr>
    <w:tblStylePr w:type="lastRow">
      <w:rPr>
        <w:b/>
        <w:bCs/>
      </w:rPr>
      <w:tblPr/>
      <w:tcPr>
        <w:tcBorders>
          <w:top w:val="double" w:sz="2" w:space="0" w:color="72E3E0"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0F5F4" w:themeFill="accent3" w:themeFillTint="33"/>
      </w:tcPr>
    </w:tblStylePr>
    <w:tblStylePr w:type="band1Horz">
      <w:tblPr/>
      <w:tcPr>
        <w:shd w:val="clear" w:color="auto" w:fill="D0F5F4" w:themeFill="accent3" w:themeFillTint="33"/>
      </w:tcPr>
    </w:tblStylePr>
  </w:style>
  <w:style w:type="table" w:styleId="GridTable2-Accent4">
    <w:name w:val="Grid Table 2 Accent 4"/>
    <w:basedOn w:val="TableNormal"/>
    <w:uiPriority w:val="47"/>
    <w:rsid w:val="0090719C"/>
    <w:tblPr>
      <w:tblStyleRowBandSize w:val="1"/>
      <w:tblStyleColBandSize w:val="1"/>
      <w:tblBorders>
        <w:top w:val="single" w:sz="2" w:space="0" w:color="DC8EA7" w:themeColor="accent4" w:themeTint="99"/>
        <w:bottom w:val="single" w:sz="2" w:space="0" w:color="DC8EA7" w:themeColor="accent4" w:themeTint="99"/>
        <w:insideH w:val="single" w:sz="2" w:space="0" w:color="DC8EA7" w:themeColor="accent4" w:themeTint="99"/>
        <w:insideV w:val="single" w:sz="2" w:space="0" w:color="DC8EA7" w:themeColor="accent4" w:themeTint="99"/>
      </w:tblBorders>
    </w:tblPr>
    <w:tblStylePr w:type="firstRow">
      <w:rPr>
        <w:b/>
        <w:bCs/>
      </w:rPr>
      <w:tblPr/>
      <w:tcPr>
        <w:tcBorders>
          <w:top w:val="nil"/>
          <w:bottom w:val="single" w:sz="12" w:space="0" w:color="DC8EA7" w:themeColor="accent4" w:themeTint="99"/>
          <w:insideH w:val="nil"/>
          <w:insideV w:val="nil"/>
        </w:tcBorders>
        <w:shd w:val="clear" w:color="auto" w:fill="FFFFFF" w:themeFill="background1"/>
      </w:tcPr>
    </w:tblStylePr>
    <w:tblStylePr w:type="lastRow">
      <w:rPr>
        <w:b/>
        <w:bCs/>
      </w:rPr>
      <w:tblPr/>
      <w:tcPr>
        <w:tcBorders>
          <w:top w:val="double" w:sz="2" w:space="0" w:color="DC8EA7"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3D9E1" w:themeFill="accent4" w:themeFillTint="33"/>
      </w:tcPr>
    </w:tblStylePr>
    <w:tblStylePr w:type="band1Horz">
      <w:tblPr/>
      <w:tcPr>
        <w:shd w:val="clear" w:color="auto" w:fill="F3D9E1" w:themeFill="accent4" w:themeFillTint="33"/>
      </w:tcPr>
    </w:tblStylePr>
  </w:style>
  <w:style w:type="table" w:styleId="GridTable2-Accent5">
    <w:name w:val="Grid Table 2 Accent 5"/>
    <w:basedOn w:val="TableNormal"/>
    <w:uiPriority w:val="47"/>
    <w:rsid w:val="0090719C"/>
    <w:tblPr>
      <w:tblStyleRowBandSize w:val="1"/>
      <w:tblStyleColBandSize w:val="1"/>
      <w:tblBorders>
        <w:top w:val="single" w:sz="2" w:space="0" w:color="2F85BD" w:themeColor="accent5" w:themeTint="99"/>
        <w:bottom w:val="single" w:sz="2" w:space="0" w:color="2F85BD" w:themeColor="accent5" w:themeTint="99"/>
        <w:insideH w:val="single" w:sz="2" w:space="0" w:color="2F85BD" w:themeColor="accent5" w:themeTint="99"/>
        <w:insideV w:val="single" w:sz="2" w:space="0" w:color="2F85BD" w:themeColor="accent5" w:themeTint="99"/>
      </w:tblBorders>
    </w:tblPr>
    <w:tblStylePr w:type="firstRow">
      <w:rPr>
        <w:b/>
        <w:bCs/>
      </w:rPr>
      <w:tblPr/>
      <w:tcPr>
        <w:tcBorders>
          <w:top w:val="nil"/>
          <w:bottom w:val="single" w:sz="12" w:space="0" w:color="2F85BD" w:themeColor="accent5" w:themeTint="99"/>
          <w:insideH w:val="nil"/>
          <w:insideV w:val="nil"/>
        </w:tcBorders>
        <w:shd w:val="clear" w:color="auto" w:fill="FFFFFF" w:themeFill="background1"/>
      </w:tcPr>
    </w:tblStylePr>
    <w:tblStylePr w:type="lastRow">
      <w:rPr>
        <w:b/>
        <w:bCs/>
      </w:rPr>
      <w:tblPr/>
      <w:tcPr>
        <w:tcBorders>
          <w:top w:val="double" w:sz="2" w:space="0" w:color="2F85BD"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B6D7EC" w:themeFill="accent5" w:themeFillTint="33"/>
      </w:tcPr>
    </w:tblStylePr>
    <w:tblStylePr w:type="band1Horz">
      <w:tblPr/>
      <w:tcPr>
        <w:shd w:val="clear" w:color="auto" w:fill="B6D7EC" w:themeFill="accent5" w:themeFillTint="33"/>
      </w:tcPr>
    </w:tblStylePr>
  </w:style>
  <w:style w:type="table" w:styleId="GridTable2-Accent6">
    <w:name w:val="Grid Table 2 Accent 6"/>
    <w:basedOn w:val="TableNormal"/>
    <w:uiPriority w:val="47"/>
    <w:rsid w:val="0090719C"/>
    <w:tblPr>
      <w:tblStyleRowBandSize w:val="1"/>
      <w:tblStyleColBandSize w:val="1"/>
      <w:tblBorders>
        <w:top w:val="single" w:sz="2" w:space="0" w:color="BCBCBC" w:themeColor="accent6" w:themeTint="99"/>
        <w:bottom w:val="single" w:sz="2" w:space="0" w:color="BCBCBC" w:themeColor="accent6" w:themeTint="99"/>
        <w:insideH w:val="single" w:sz="2" w:space="0" w:color="BCBCBC" w:themeColor="accent6" w:themeTint="99"/>
        <w:insideV w:val="single" w:sz="2" w:space="0" w:color="BCBCBC" w:themeColor="accent6" w:themeTint="99"/>
      </w:tblBorders>
    </w:tblPr>
    <w:tblStylePr w:type="firstRow">
      <w:rPr>
        <w:b/>
        <w:bCs/>
      </w:rPr>
      <w:tblPr/>
      <w:tcPr>
        <w:tcBorders>
          <w:top w:val="nil"/>
          <w:bottom w:val="single" w:sz="12" w:space="0" w:color="BCBCBC" w:themeColor="accent6" w:themeTint="99"/>
          <w:insideH w:val="nil"/>
          <w:insideV w:val="nil"/>
        </w:tcBorders>
        <w:shd w:val="clear" w:color="auto" w:fill="FFFFFF" w:themeFill="background1"/>
      </w:tcPr>
    </w:tblStylePr>
    <w:tblStylePr w:type="lastRow">
      <w:rPr>
        <w:b/>
        <w:bCs/>
      </w:rPr>
      <w:tblPr/>
      <w:tcPr>
        <w:tcBorders>
          <w:top w:val="double" w:sz="2" w:space="0" w:color="BCBCBC"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8E8E8" w:themeFill="accent6" w:themeFillTint="33"/>
      </w:tcPr>
    </w:tblStylePr>
    <w:tblStylePr w:type="band1Horz">
      <w:tblPr/>
      <w:tcPr>
        <w:shd w:val="clear" w:color="auto" w:fill="E8E8E8" w:themeFill="accent6" w:themeFillTint="33"/>
      </w:tcPr>
    </w:tblStylePr>
  </w:style>
  <w:style w:type="table" w:styleId="GridTable3">
    <w:name w:val="Grid Table 3"/>
    <w:basedOn w:val="TableNormal"/>
    <w:uiPriority w:val="48"/>
    <w:rsid w:val="0090719C"/>
    <w:tblPr>
      <w:tblStyleRowBandSize w:val="1"/>
      <w:tblStyleColBandSize w:val="1"/>
      <w:tblBorders>
        <w:top w:val="single" w:sz="4" w:space="0" w:color="2F85BD" w:themeColor="text1" w:themeTint="99"/>
        <w:left w:val="single" w:sz="4" w:space="0" w:color="2F85BD" w:themeColor="text1" w:themeTint="99"/>
        <w:bottom w:val="single" w:sz="4" w:space="0" w:color="2F85BD" w:themeColor="text1" w:themeTint="99"/>
        <w:right w:val="single" w:sz="4" w:space="0" w:color="2F85BD" w:themeColor="text1" w:themeTint="99"/>
        <w:insideH w:val="single" w:sz="4" w:space="0" w:color="2F85BD" w:themeColor="text1" w:themeTint="99"/>
        <w:insideV w:val="single" w:sz="4" w:space="0" w:color="2F85BD"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6D7EC" w:themeFill="text1" w:themeFillTint="33"/>
      </w:tcPr>
    </w:tblStylePr>
    <w:tblStylePr w:type="band1Horz">
      <w:tblPr/>
      <w:tcPr>
        <w:shd w:val="clear" w:color="auto" w:fill="B6D7EC" w:themeFill="text1" w:themeFillTint="33"/>
      </w:tcPr>
    </w:tblStylePr>
    <w:tblStylePr w:type="neCell">
      <w:tblPr/>
      <w:tcPr>
        <w:tcBorders>
          <w:bottom w:val="single" w:sz="4" w:space="0" w:color="2F85BD" w:themeColor="text1" w:themeTint="99"/>
        </w:tcBorders>
      </w:tcPr>
    </w:tblStylePr>
    <w:tblStylePr w:type="nwCell">
      <w:tblPr/>
      <w:tcPr>
        <w:tcBorders>
          <w:bottom w:val="single" w:sz="4" w:space="0" w:color="2F85BD" w:themeColor="text1" w:themeTint="99"/>
        </w:tcBorders>
      </w:tcPr>
    </w:tblStylePr>
    <w:tblStylePr w:type="seCell">
      <w:tblPr/>
      <w:tcPr>
        <w:tcBorders>
          <w:top w:val="single" w:sz="4" w:space="0" w:color="2F85BD" w:themeColor="text1" w:themeTint="99"/>
        </w:tcBorders>
      </w:tcPr>
    </w:tblStylePr>
    <w:tblStylePr w:type="swCell">
      <w:tblPr/>
      <w:tcPr>
        <w:tcBorders>
          <w:top w:val="single" w:sz="4" w:space="0" w:color="2F85BD" w:themeColor="text1" w:themeTint="99"/>
        </w:tcBorders>
      </w:tcPr>
    </w:tblStylePr>
  </w:style>
  <w:style w:type="table" w:styleId="GridTable3-Accent1">
    <w:name w:val="Grid Table 3 Accent 1"/>
    <w:basedOn w:val="TableNormal"/>
    <w:uiPriority w:val="48"/>
    <w:rsid w:val="0090719C"/>
    <w:tblPr>
      <w:tblStyleRowBandSize w:val="1"/>
      <w:tblStyleColBandSize w:val="1"/>
      <w:tblBorders>
        <w:top w:val="single" w:sz="4" w:space="0" w:color="55CBFF" w:themeColor="accent1" w:themeTint="99"/>
        <w:left w:val="single" w:sz="4" w:space="0" w:color="55CBFF" w:themeColor="accent1" w:themeTint="99"/>
        <w:bottom w:val="single" w:sz="4" w:space="0" w:color="55CBFF" w:themeColor="accent1" w:themeTint="99"/>
        <w:right w:val="single" w:sz="4" w:space="0" w:color="55CBFF" w:themeColor="accent1" w:themeTint="99"/>
        <w:insideH w:val="single" w:sz="4" w:space="0" w:color="55CBFF" w:themeColor="accent1" w:themeTint="99"/>
        <w:insideV w:val="single" w:sz="4" w:space="0" w:color="55CBFF"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6EDFF" w:themeFill="accent1" w:themeFillTint="33"/>
      </w:tcPr>
    </w:tblStylePr>
    <w:tblStylePr w:type="band1Horz">
      <w:tblPr/>
      <w:tcPr>
        <w:shd w:val="clear" w:color="auto" w:fill="C6EDFF" w:themeFill="accent1" w:themeFillTint="33"/>
      </w:tcPr>
    </w:tblStylePr>
    <w:tblStylePr w:type="neCell">
      <w:tblPr/>
      <w:tcPr>
        <w:tcBorders>
          <w:bottom w:val="single" w:sz="4" w:space="0" w:color="55CBFF" w:themeColor="accent1" w:themeTint="99"/>
        </w:tcBorders>
      </w:tcPr>
    </w:tblStylePr>
    <w:tblStylePr w:type="nwCell">
      <w:tblPr/>
      <w:tcPr>
        <w:tcBorders>
          <w:bottom w:val="single" w:sz="4" w:space="0" w:color="55CBFF" w:themeColor="accent1" w:themeTint="99"/>
        </w:tcBorders>
      </w:tcPr>
    </w:tblStylePr>
    <w:tblStylePr w:type="seCell">
      <w:tblPr/>
      <w:tcPr>
        <w:tcBorders>
          <w:top w:val="single" w:sz="4" w:space="0" w:color="55CBFF" w:themeColor="accent1" w:themeTint="99"/>
        </w:tcBorders>
      </w:tcPr>
    </w:tblStylePr>
    <w:tblStylePr w:type="swCell">
      <w:tblPr/>
      <w:tcPr>
        <w:tcBorders>
          <w:top w:val="single" w:sz="4" w:space="0" w:color="55CBFF" w:themeColor="accent1" w:themeTint="99"/>
        </w:tcBorders>
      </w:tcPr>
    </w:tblStylePr>
  </w:style>
  <w:style w:type="table" w:styleId="GridTable3-Accent2">
    <w:name w:val="Grid Table 3 Accent 2"/>
    <w:basedOn w:val="TableNormal"/>
    <w:uiPriority w:val="48"/>
    <w:rsid w:val="0090719C"/>
    <w:tblPr>
      <w:tblStyleRowBandSize w:val="1"/>
      <w:tblStyleColBandSize w:val="1"/>
      <w:tblBorders>
        <w:top w:val="single" w:sz="4" w:space="0" w:color="FF19FF" w:themeColor="accent2" w:themeTint="99"/>
        <w:left w:val="single" w:sz="4" w:space="0" w:color="FF19FF" w:themeColor="accent2" w:themeTint="99"/>
        <w:bottom w:val="single" w:sz="4" w:space="0" w:color="FF19FF" w:themeColor="accent2" w:themeTint="99"/>
        <w:right w:val="single" w:sz="4" w:space="0" w:color="FF19FF" w:themeColor="accent2" w:themeTint="99"/>
        <w:insideH w:val="single" w:sz="4" w:space="0" w:color="FF19FF" w:themeColor="accent2" w:themeTint="99"/>
        <w:insideV w:val="single" w:sz="4" w:space="0" w:color="FF19FF"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B2FF" w:themeFill="accent2" w:themeFillTint="33"/>
      </w:tcPr>
    </w:tblStylePr>
    <w:tblStylePr w:type="band1Horz">
      <w:tblPr/>
      <w:tcPr>
        <w:shd w:val="clear" w:color="auto" w:fill="FFB2FF" w:themeFill="accent2" w:themeFillTint="33"/>
      </w:tcPr>
    </w:tblStylePr>
    <w:tblStylePr w:type="neCell">
      <w:tblPr/>
      <w:tcPr>
        <w:tcBorders>
          <w:bottom w:val="single" w:sz="4" w:space="0" w:color="FF19FF" w:themeColor="accent2" w:themeTint="99"/>
        </w:tcBorders>
      </w:tcPr>
    </w:tblStylePr>
    <w:tblStylePr w:type="nwCell">
      <w:tblPr/>
      <w:tcPr>
        <w:tcBorders>
          <w:bottom w:val="single" w:sz="4" w:space="0" w:color="FF19FF" w:themeColor="accent2" w:themeTint="99"/>
        </w:tcBorders>
      </w:tcPr>
    </w:tblStylePr>
    <w:tblStylePr w:type="seCell">
      <w:tblPr/>
      <w:tcPr>
        <w:tcBorders>
          <w:top w:val="single" w:sz="4" w:space="0" w:color="FF19FF" w:themeColor="accent2" w:themeTint="99"/>
        </w:tcBorders>
      </w:tcPr>
    </w:tblStylePr>
    <w:tblStylePr w:type="swCell">
      <w:tblPr/>
      <w:tcPr>
        <w:tcBorders>
          <w:top w:val="single" w:sz="4" w:space="0" w:color="FF19FF" w:themeColor="accent2" w:themeTint="99"/>
        </w:tcBorders>
      </w:tcPr>
    </w:tblStylePr>
  </w:style>
  <w:style w:type="table" w:styleId="GridTable3-Accent3">
    <w:name w:val="Grid Table 3 Accent 3"/>
    <w:basedOn w:val="TableNormal"/>
    <w:uiPriority w:val="48"/>
    <w:rsid w:val="0090719C"/>
    <w:tblPr>
      <w:tblStyleRowBandSize w:val="1"/>
      <w:tblStyleColBandSize w:val="1"/>
      <w:tblBorders>
        <w:top w:val="single" w:sz="4" w:space="0" w:color="72E3E0" w:themeColor="accent3" w:themeTint="99"/>
        <w:left w:val="single" w:sz="4" w:space="0" w:color="72E3E0" w:themeColor="accent3" w:themeTint="99"/>
        <w:bottom w:val="single" w:sz="4" w:space="0" w:color="72E3E0" w:themeColor="accent3" w:themeTint="99"/>
        <w:right w:val="single" w:sz="4" w:space="0" w:color="72E3E0" w:themeColor="accent3" w:themeTint="99"/>
        <w:insideH w:val="single" w:sz="4" w:space="0" w:color="72E3E0" w:themeColor="accent3" w:themeTint="99"/>
        <w:insideV w:val="single" w:sz="4" w:space="0" w:color="72E3E0"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0F5F4" w:themeFill="accent3" w:themeFillTint="33"/>
      </w:tcPr>
    </w:tblStylePr>
    <w:tblStylePr w:type="band1Horz">
      <w:tblPr/>
      <w:tcPr>
        <w:shd w:val="clear" w:color="auto" w:fill="D0F5F4" w:themeFill="accent3" w:themeFillTint="33"/>
      </w:tcPr>
    </w:tblStylePr>
    <w:tblStylePr w:type="neCell">
      <w:tblPr/>
      <w:tcPr>
        <w:tcBorders>
          <w:bottom w:val="single" w:sz="4" w:space="0" w:color="72E3E0" w:themeColor="accent3" w:themeTint="99"/>
        </w:tcBorders>
      </w:tcPr>
    </w:tblStylePr>
    <w:tblStylePr w:type="nwCell">
      <w:tblPr/>
      <w:tcPr>
        <w:tcBorders>
          <w:bottom w:val="single" w:sz="4" w:space="0" w:color="72E3E0" w:themeColor="accent3" w:themeTint="99"/>
        </w:tcBorders>
      </w:tcPr>
    </w:tblStylePr>
    <w:tblStylePr w:type="seCell">
      <w:tblPr/>
      <w:tcPr>
        <w:tcBorders>
          <w:top w:val="single" w:sz="4" w:space="0" w:color="72E3E0" w:themeColor="accent3" w:themeTint="99"/>
        </w:tcBorders>
      </w:tcPr>
    </w:tblStylePr>
    <w:tblStylePr w:type="swCell">
      <w:tblPr/>
      <w:tcPr>
        <w:tcBorders>
          <w:top w:val="single" w:sz="4" w:space="0" w:color="72E3E0" w:themeColor="accent3" w:themeTint="99"/>
        </w:tcBorders>
      </w:tcPr>
    </w:tblStylePr>
  </w:style>
  <w:style w:type="table" w:styleId="GridTable3-Accent4">
    <w:name w:val="Grid Table 3 Accent 4"/>
    <w:basedOn w:val="TableNormal"/>
    <w:uiPriority w:val="48"/>
    <w:rsid w:val="0090719C"/>
    <w:tblPr>
      <w:tblStyleRowBandSize w:val="1"/>
      <w:tblStyleColBandSize w:val="1"/>
      <w:tblBorders>
        <w:top w:val="single" w:sz="4" w:space="0" w:color="DC8EA7" w:themeColor="accent4" w:themeTint="99"/>
        <w:left w:val="single" w:sz="4" w:space="0" w:color="DC8EA7" w:themeColor="accent4" w:themeTint="99"/>
        <w:bottom w:val="single" w:sz="4" w:space="0" w:color="DC8EA7" w:themeColor="accent4" w:themeTint="99"/>
        <w:right w:val="single" w:sz="4" w:space="0" w:color="DC8EA7" w:themeColor="accent4" w:themeTint="99"/>
        <w:insideH w:val="single" w:sz="4" w:space="0" w:color="DC8EA7" w:themeColor="accent4" w:themeTint="99"/>
        <w:insideV w:val="single" w:sz="4" w:space="0" w:color="DC8EA7"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3D9E1" w:themeFill="accent4" w:themeFillTint="33"/>
      </w:tcPr>
    </w:tblStylePr>
    <w:tblStylePr w:type="band1Horz">
      <w:tblPr/>
      <w:tcPr>
        <w:shd w:val="clear" w:color="auto" w:fill="F3D9E1" w:themeFill="accent4" w:themeFillTint="33"/>
      </w:tcPr>
    </w:tblStylePr>
    <w:tblStylePr w:type="neCell">
      <w:tblPr/>
      <w:tcPr>
        <w:tcBorders>
          <w:bottom w:val="single" w:sz="4" w:space="0" w:color="DC8EA7" w:themeColor="accent4" w:themeTint="99"/>
        </w:tcBorders>
      </w:tcPr>
    </w:tblStylePr>
    <w:tblStylePr w:type="nwCell">
      <w:tblPr/>
      <w:tcPr>
        <w:tcBorders>
          <w:bottom w:val="single" w:sz="4" w:space="0" w:color="DC8EA7" w:themeColor="accent4" w:themeTint="99"/>
        </w:tcBorders>
      </w:tcPr>
    </w:tblStylePr>
    <w:tblStylePr w:type="seCell">
      <w:tblPr/>
      <w:tcPr>
        <w:tcBorders>
          <w:top w:val="single" w:sz="4" w:space="0" w:color="DC8EA7" w:themeColor="accent4" w:themeTint="99"/>
        </w:tcBorders>
      </w:tcPr>
    </w:tblStylePr>
    <w:tblStylePr w:type="swCell">
      <w:tblPr/>
      <w:tcPr>
        <w:tcBorders>
          <w:top w:val="single" w:sz="4" w:space="0" w:color="DC8EA7" w:themeColor="accent4" w:themeTint="99"/>
        </w:tcBorders>
      </w:tcPr>
    </w:tblStylePr>
  </w:style>
  <w:style w:type="table" w:styleId="GridTable3-Accent5">
    <w:name w:val="Grid Table 3 Accent 5"/>
    <w:basedOn w:val="TableNormal"/>
    <w:uiPriority w:val="48"/>
    <w:rsid w:val="0090719C"/>
    <w:tblPr>
      <w:tblStyleRowBandSize w:val="1"/>
      <w:tblStyleColBandSize w:val="1"/>
      <w:tblBorders>
        <w:top w:val="single" w:sz="4" w:space="0" w:color="2F85BD" w:themeColor="accent5" w:themeTint="99"/>
        <w:left w:val="single" w:sz="4" w:space="0" w:color="2F85BD" w:themeColor="accent5" w:themeTint="99"/>
        <w:bottom w:val="single" w:sz="4" w:space="0" w:color="2F85BD" w:themeColor="accent5" w:themeTint="99"/>
        <w:right w:val="single" w:sz="4" w:space="0" w:color="2F85BD" w:themeColor="accent5" w:themeTint="99"/>
        <w:insideH w:val="single" w:sz="4" w:space="0" w:color="2F85BD" w:themeColor="accent5" w:themeTint="99"/>
        <w:insideV w:val="single" w:sz="4" w:space="0" w:color="2F85BD"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6D7EC" w:themeFill="accent5" w:themeFillTint="33"/>
      </w:tcPr>
    </w:tblStylePr>
    <w:tblStylePr w:type="band1Horz">
      <w:tblPr/>
      <w:tcPr>
        <w:shd w:val="clear" w:color="auto" w:fill="B6D7EC" w:themeFill="accent5" w:themeFillTint="33"/>
      </w:tcPr>
    </w:tblStylePr>
    <w:tblStylePr w:type="neCell">
      <w:tblPr/>
      <w:tcPr>
        <w:tcBorders>
          <w:bottom w:val="single" w:sz="4" w:space="0" w:color="2F85BD" w:themeColor="accent5" w:themeTint="99"/>
        </w:tcBorders>
      </w:tcPr>
    </w:tblStylePr>
    <w:tblStylePr w:type="nwCell">
      <w:tblPr/>
      <w:tcPr>
        <w:tcBorders>
          <w:bottom w:val="single" w:sz="4" w:space="0" w:color="2F85BD" w:themeColor="accent5" w:themeTint="99"/>
        </w:tcBorders>
      </w:tcPr>
    </w:tblStylePr>
    <w:tblStylePr w:type="seCell">
      <w:tblPr/>
      <w:tcPr>
        <w:tcBorders>
          <w:top w:val="single" w:sz="4" w:space="0" w:color="2F85BD" w:themeColor="accent5" w:themeTint="99"/>
        </w:tcBorders>
      </w:tcPr>
    </w:tblStylePr>
    <w:tblStylePr w:type="swCell">
      <w:tblPr/>
      <w:tcPr>
        <w:tcBorders>
          <w:top w:val="single" w:sz="4" w:space="0" w:color="2F85BD" w:themeColor="accent5" w:themeTint="99"/>
        </w:tcBorders>
      </w:tcPr>
    </w:tblStylePr>
  </w:style>
  <w:style w:type="table" w:styleId="GridTable3-Accent6">
    <w:name w:val="Grid Table 3 Accent 6"/>
    <w:basedOn w:val="TableNormal"/>
    <w:uiPriority w:val="48"/>
    <w:rsid w:val="0090719C"/>
    <w:tblPr>
      <w:tblStyleRowBandSize w:val="1"/>
      <w:tblStyleColBandSize w:val="1"/>
      <w:tblBorders>
        <w:top w:val="single" w:sz="4" w:space="0" w:color="BCBCBC" w:themeColor="accent6" w:themeTint="99"/>
        <w:left w:val="single" w:sz="4" w:space="0" w:color="BCBCBC" w:themeColor="accent6" w:themeTint="99"/>
        <w:bottom w:val="single" w:sz="4" w:space="0" w:color="BCBCBC" w:themeColor="accent6" w:themeTint="99"/>
        <w:right w:val="single" w:sz="4" w:space="0" w:color="BCBCBC" w:themeColor="accent6" w:themeTint="99"/>
        <w:insideH w:val="single" w:sz="4" w:space="0" w:color="BCBCBC" w:themeColor="accent6" w:themeTint="99"/>
        <w:insideV w:val="single" w:sz="4" w:space="0" w:color="BCBCBC"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8E8E8" w:themeFill="accent6" w:themeFillTint="33"/>
      </w:tcPr>
    </w:tblStylePr>
    <w:tblStylePr w:type="band1Horz">
      <w:tblPr/>
      <w:tcPr>
        <w:shd w:val="clear" w:color="auto" w:fill="E8E8E8" w:themeFill="accent6" w:themeFillTint="33"/>
      </w:tcPr>
    </w:tblStylePr>
    <w:tblStylePr w:type="neCell">
      <w:tblPr/>
      <w:tcPr>
        <w:tcBorders>
          <w:bottom w:val="single" w:sz="4" w:space="0" w:color="BCBCBC" w:themeColor="accent6" w:themeTint="99"/>
        </w:tcBorders>
      </w:tcPr>
    </w:tblStylePr>
    <w:tblStylePr w:type="nwCell">
      <w:tblPr/>
      <w:tcPr>
        <w:tcBorders>
          <w:bottom w:val="single" w:sz="4" w:space="0" w:color="BCBCBC" w:themeColor="accent6" w:themeTint="99"/>
        </w:tcBorders>
      </w:tcPr>
    </w:tblStylePr>
    <w:tblStylePr w:type="seCell">
      <w:tblPr/>
      <w:tcPr>
        <w:tcBorders>
          <w:top w:val="single" w:sz="4" w:space="0" w:color="BCBCBC" w:themeColor="accent6" w:themeTint="99"/>
        </w:tcBorders>
      </w:tcPr>
    </w:tblStylePr>
    <w:tblStylePr w:type="swCell">
      <w:tblPr/>
      <w:tcPr>
        <w:tcBorders>
          <w:top w:val="single" w:sz="4" w:space="0" w:color="BCBCBC" w:themeColor="accent6" w:themeTint="99"/>
        </w:tcBorders>
      </w:tcPr>
    </w:tblStylePr>
  </w:style>
  <w:style w:type="table" w:styleId="GridTable4">
    <w:name w:val="Grid Table 4"/>
    <w:basedOn w:val="TableNormal"/>
    <w:uiPriority w:val="49"/>
    <w:rsid w:val="0090719C"/>
    <w:tblPr>
      <w:tblStyleRowBandSize w:val="1"/>
      <w:tblStyleColBandSize w:val="1"/>
      <w:tblBorders>
        <w:top w:val="single" w:sz="4" w:space="0" w:color="2F85BD" w:themeColor="text1" w:themeTint="99"/>
        <w:left w:val="single" w:sz="4" w:space="0" w:color="2F85BD" w:themeColor="text1" w:themeTint="99"/>
        <w:bottom w:val="single" w:sz="4" w:space="0" w:color="2F85BD" w:themeColor="text1" w:themeTint="99"/>
        <w:right w:val="single" w:sz="4" w:space="0" w:color="2F85BD" w:themeColor="text1" w:themeTint="99"/>
        <w:insideH w:val="single" w:sz="4" w:space="0" w:color="2F85BD" w:themeColor="text1" w:themeTint="99"/>
        <w:insideV w:val="single" w:sz="4" w:space="0" w:color="2F85BD" w:themeColor="text1" w:themeTint="99"/>
      </w:tblBorders>
    </w:tblPr>
    <w:tblStylePr w:type="firstRow">
      <w:rPr>
        <w:b/>
        <w:bCs/>
        <w:color w:val="FFFFFF" w:themeColor="background1"/>
      </w:rPr>
      <w:tblPr/>
      <w:tcPr>
        <w:tcBorders>
          <w:top w:val="single" w:sz="4" w:space="0" w:color="0B1F2C" w:themeColor="text1"/>
          <w:left w:val="single" w:sz="4" w:space="0" w:color="0B1F2C" w:themeColor="text1"/>
          <w:bottom w:val="single" w:sz="4" w:space="0" w:color="0B1F2C" w:themeColor="text1"/>
          <w:right w:val="single" w:sz="4" w:space="0" w:color="0B1F2C" w:themeColor="text1"/>
          <w:insideH w:val="nil"/>
          <w:insideV w:val="nil"/>
        </w:tcBorders>
        <w:shd w:val="clear" w:color="auto" w:fill="0B1F2C" w:themeFill="text1"/>
      </w:tcPr>
    </w:tblStylePr>
    <w:tblStylePr w:type="lastRow">
      <w:rPr>
        <w:b/>
        <w:bCs/>
      </w:rPr>
      <w:tblPr/>
      <w:tcPr>
        <w:tcBorders>
          <w:top w:val="double" w:sz="4" w:space="0" w:color="0B1F2C" w:themeColor="text1"/>
        </w:tcBorders>
      </w:tcPr>
    </w:tblStylePr>
    <w:tblStylePr w:type="firstCol">
      <w:rPr>
        <w:b/>
        <w:bCs/>
      </w:rPr>
    </w:tblStylePr>
    <w:tblStylePr w:type="lastCol">
      <w:rPr>
        <w:b/>
        <w:bCs/>
      </w:rPr>
    </w:tblStylePr>
    <w:tblStylePr w:type="band1Vert">
      <w:tblPr/>
      <w:tcPr>
        <w:shd w:val="clear" w:color="auto" w:fill="B6D7EC" w:themeFill="text1" w:themeFillTint="33"/>
      </w:tcPr>
    </w:tblStylePr>
    <w:tblStylePr w:type="band1Horz">
      <w:tblPr/>
      <w:tcPr>
        <w:shd w:val="clear" w:color="auto" w:fill="B6D7EC" w:themeFill="text1" w:themeFillTint="33"/>
      </w:tcPr>
    </w:tblStylePr>
  </w:style>
  <w:style w:type="table" w:styleId="GridTable4-Accent1">
    <w:name w:val="Grid Table 4 Accent 1"/>
    <w:basedOn w:val="TableNormal"/>
    <w:uiPriority w:val="49"/>
    <w:rsid w:val="0090719C"/>
    <w:tblPr>
      <w:tblStyleRowBandSize w:val="1"/>
      <w:tblStyleColBandSize w:val="1"/>
      <w:tblBorders>
        <w:top w:val="single" w:sz="4" w:space="0" w:color="55CBFF" w:themeColor="accent1" w:themeTint="99"/>
        <w:left w:val="single" w:sz="4" w:space="0" w:color="55CBFF" w:themeColor="accent1" w:themeTint="99"/>
        <w:bottom w:val="single" w:sz="4" w:space="0" w:color="55CBFF" w:themeColor="accent1" w:themeTint="99"/>
        <w:right w:val="single" w:sz="4" w:space="0" w:color="55CBFF" w:themeColor="accent1" w:themeTint="99"/>
        <w:insideH w:val="single" w:sz="4" w:space="0" w:color="55CBFF" w:themeColor="accent1" w:themeTint="99"/>
        <w:insideV w:val="single" w:sz="4" w:space="0" w:color="55CBFF" w:themeColor="accent1" w:themeTint="99"/>
      </w:tblBorders>
    </w:tblPr>
    <w:tblStylePr w:type="firstRow">
      <w:rPr>
        <w:b/>
        <w:bCs/>
        <w:color w:val="FFFFFF" w:themeColor="background1"/>
      </w:rPr>
      <w:tblPr/>
      <w:tcPr>
        <w:tcBorders>
          <w:top w:val="single" w:sz="4" w:space="0" w:color="009FE3" w:themeColor="accent1"/>
          <w:left w:val="single" w:sz="4" w:space="0" w:color="009FE3" w:themeColor="accent1"/>
          <w:bottom w:val="single" w:sz="4" w:space="0" w:color="009FE3" w:themeColor="accent1"/>
          <w:right w:val="single" w:sz="4" w:space="0" w:color="009FE3" w:themeColor="accent1"/>
          <w:insideH w:val="nil"/>
          <w:insideV w:val="nil"/>
        </w:tcBorders>
        <w:shd w:val="clear" w:color="auto" w:fill="009FE3" w:themeFill="accent1"/>
      </w:tcPr>
    </w:tblStylePr>
    <w:tblStylePr w:type="lastRow">
      <w:rPr>
        <w:b/>
        <w:bCs/>
      </w:rPr>
      <w:tblPr/>
      <w:tcPr>
        <w:tcBorders>
          <w:top w:val="double" w:sz="4" w:space="0" w:color="009FE3" w:themeColor="accent1"/>
        </w:tcBorders>
      </w:tcPr>
    </w:tblStylePr>
    <w:tblStylePr w:type="firstCol">
      <w:rPr>
        <w:b/>
        <w:bCs/>
      </w:rPr>
    </w:tblStylePr>
    <w:tblStylePr w:type="lastCol">
      <w:rPr>
        <w:b/>
        <w:bCs/>
      </w:rPr>
    </w:tblStylePr>
    <w:tblStylePr w:type="band1Vert">
      <w:tblPr/>
      <w:tcPr>
        <w:shd w:val="clear" w:color="auto" w:fill="C6EDFF" w:themeFill="accent1" w:themeFillTint="33"/>
      </w:tcPr>
    </w:tblStylePr>
    <w:tblStylePr w:type="band1Horz">
      <w:tblPr/>
      <w:tcPr>
        <w:shd w:val="clear" w:color="auto" w:fill="C6EDFF" w:themeFill="accent1" w:themeFillTint="33"/>
      </w:tcPr>
    </w:tblStylePr>
  </w:style>
  <w:style w:type="table" w:styleId="GridTable4-Accent2">
    <w:name w:val="Grid Table 4 Accent 2"/>
    <w:basedOn w:val="TableNormal"/>
    <w:uiPriority w:val="49"/>
    <w:rsid w:val="0090719C"/>
    <w:tblPr>
      <w:tblStyleRowBandSize w:val="1"/>
      <w:tblStyleColBandSize w:val="1"/>
      <w:tblBorders>
        <w:top w:val="single" w:sz="4" w:space="0" w:color="FF19FF" w:themeColor="accent2" w:themeTint="99"/>
        <w:left w:val="single" w:sz="4" w:space="0" w:color="FF19FF" w:themeColor="accent2" w:themeTint="99"/>
        <w:bottom w:val="single" w:sz="4" w:space="0" w:color="FF19FF" w:themeColor="accent2" w:themeTint="99"/>
        <w:right w:val="single" w:sz="4" w:space="0" w:color="FF19FF" w:themeColor="accent2" w:themeTint="99"/>
        <w:insideH w:val="single" w:sz="4" w:space="0" w:color="FF19FF" w:themeColor="accent2" w:themeTint="99"/>
        <w:insideV w:val="single" w:sz="4" w:space="0" w:color="FF19FF" w:themeColor="accent2" w:themeTint="99"/>
      </w:tblBorders>
    </w:tblPr>
    <w:tblStylePr w:type="firstRow">
      <w:rPr>
        <w:b/>
        <w:bCs/>
        <w:color w:val="FFFFFF" w:themeColor="background1"/>
      </w:rPr>
      <w:tblPr/>
      <w:tcPr>
        <w:tcBorders>
          <w:top w:val="single" w:sz="4" w:space="0" w:color="800080" w:themeColor="accent2"/>
          <w:left w:val="single" w:sz="4" w:space="0" w:color="800080" w:themeColor="accent2"/>
          <w:bottom w:val="single" w:sz="4" w:space="0" w:color="800080" w:themeColor="accent2"/>
          <w:right w:val="single" w:sz="4" w:space="0" w:color="800080" w:themeColor="accent2"/>
          <w:insideH w:val="nil"/>
          <w:insideV w:val="nil"/>
        </w:tcBorders>
        <w:shd w:val="clear" w:color="auto" w:fill="800080" w:themeFill="accent2"/>
      </w:tcPr>
    </w:tblStylePr>
    <w:tblStylePr w:type="lastRow">
      <w:rPr>
        <w:b/>
        <w:bCs/>
      </w:rPr>
      <w:tblPr/>
      <w:tcPr>
        <w:tcBorders>
          <w:top w:val="double" w:sz="4" w:space="0" w:color="800080" w:themeColor="accent2"/>
        </w:tcBorders>
      </w:tcPr>
    </w:tblStylePr>
    <w:tblStylePr w:type="firstCol">
      <w:rPr>
        <w:b/>
        <w:bCs/>
      </w:rPr>
    </w:tblStylePr>
    <w:tblStylePr w:type="lastCol">
      <w:rPr>
        <w:b/>
        <w:bCs/>
      </w:rPr>
    </w:tblStylePr>
    <w:tblStylePr w:type="band1Vert">
      <w:tblPr/>
      <w:tcPr>
        <w:shd w:val="clear" w:color="auto" w:fill="FFB2FF" w:themeFill="accent2" w:themeFillTint="33"/>
      </w:tcPr>
    </w:tblStylePr>
    <w:tblStylePr w:type="band1Horz">
      <w:tblPr/>
      <w:tcPr>
        <w:shd w:val="clear" w:color="auto" w:fill="FFB2FF" w:themeFill="accent2" w:themeFillTint="33"/>
      </w:tcPr>
    </w:tblStylePr>
  </w:style>
  <w:style w:type="table" w:styleId="GridTable4-Accent3">
    <w:name w:val="Grid Table 4 Accent 3"/>
    <w:basedOn w:val="TableNormal"/>
    <w:uiPriority w:val="49"/>
    <w:rsid w:val="0090719C"/>
    <w:tblPr>
      <w:tblStyleRowBandSize w:val="1"/>
      <w:tblStyleColBandSize w:val="1"/>
      <w:tblBorders>
        <w:top w:val="single" w:sz="4" w:space="0" w:color="72E3E0" w:themeColor="accent3" w:themeTint="99"/>
        <w:left w:val="single" w:sz="4" w:space="0" w:color="72E3E0" w:themeColor="accent3" w:themeTint="99"/>
        <w:bottom w:val="single" w:sz="4" w:space="0" w:color="72E3E0" w:themeColor="accent3" w:themeTint="99"/>
        <w:right w:val="single" w:sz="4" w:space="0" w:color="72E3E0" w:themeColor="accent3" w:themeTint="99"/>
        <w:insideH w:val="single" w:sz="4" w:space="0" w:color="72E3E0" w:themeColor="accent3" w:themeTint="99"/>
        <w:insideV w:val="single" w:sz="4" w:space="0" w:color="72E3E0" w:themeColor="accent3" w:themeTint="99"/>
      </w:tblBorders>
    </w:tblPr>
    <w:tblStylePr w:type="firstRow">
      <w:rPr>
        <w:b/>
        <w:bCs/>
        <w:color w:val="FFFFFF" w:themeColor="background1"/>
      </w:rPr>
      <w:tblPr/>
      <w:tcPr>
        <w:tcBorders>
          <w:top w:val="single" w:sz="4" w:space="0" w:color="26C0BC" w:themeColor="accent3"/>
          <w:left w:val="single" w:sz="4" w:space="0" w:color="26C0BC" w:themeColor="accent3"/>
          <w:bottom w:val="single" w:sz="4" w:space="0" w:color="26C0BC" w:themeColor="accent3"/>
          <w:right w:val="single" w:sz="4" w:space="0" w:color="26C0BC" w:themeColor="accent3"/>
          <w:insideH w:val="nil"/>
          <w:insideV w:val="nil"/>
        </w:tcBorders>
        <w:shd w:val="clear" w:color="auto" w:fill="26C0BC" w:themeFill="accent3"/>
      </w:tcPr>
    </w:tblStylePr>
    <w:tblStylePr w:type="lastRow">
      <w:rPr>
        <w:b/>
        <w:bCs/>
      </w:rPr>
      <w:tblPr/>
      <w:tcPr>
        <w:tcBorders>
          <w:top w:val="double" w:sz="4" w:space="0" w:color="26C0BC" w:themeColor="accent3"/>
        </w:tcBorders>
      </w:tcPr>
    </w:tblStylePr>
    <w:tblStylePr w:type="firstCol">
      <w:rPr>
        <w:b/>
        <w:bCs/>
      </w:rPr>
    </w:tblStylePr>
    <w:tblStylePr w:type="lastCol">
      <w:rPr>
        <w:b/>
        <w:bCs/>
      </w:rPr>
    </w:tblStylePr>
    <w:tblStylePr w:type="band1Vert">
      <w:tblPr/>
      <w:tcPr>
        <w:shd w:val="clear" w:color="auto" w:fill="D0F5F4" w:themeFill="accent3" w:themeFillTint="33"/>
      </w:tcPr>
    </w:tblStylePr>
    <w:tblStylePr w:type="band1Horz">
      <w:tblPr/>
      <w:tcPr>
        <w:shd w:val="clear" w:color="auto" w:fill="D0F5F4" w:themeFill="accent3" w:themeFillTint="33"/>
      </w:tcPr>
    </w:tblStylePr>
  </w:style>
  <w:style w:type="table" w:styleId="GridTable4-Accent4">
    <w:name w:val="Grid Table 4 Accent 4"/>
    <w:basedOn w:val="TableNormal"/>
    <w:uiPriority w:val="49"/>
    <w:rsid w:val="0090719C"/>
    <w:tblPr>
      <w:tblStyleRowBandSize w:val="1"/>
      <w:tblStyleColBandSize w:val="1"/>
      <w:tblBorders>
        <w:top w:val="single" w:sz="4" w:space="0" w:color="DC8EA7" w:themeColor="accent4" w:themeTint="99"/>
        <w:left w:val="single" w:sz="4" w:space="0" w:color="DC8EA7" w:themeColor="accent4" w:themeTint="99"/>
        <w:bottom w:val="single" w:sz="4" w:space="0" w:color="DC8EA7" w:themeColor="accent4" w:themeTint="99"/>
        <w:right w:val="single" w:sz="4" w:space="0" w:color="DC8EA7" w:themeColor="accent4" w:themeTint="99"/>
        <w:insideH w:val="single" w:sz="4" w:space="0" w:color="DC8EA7" w:themeColor="accent4" w:themeTint="99"/>
        <w:insideV w:val="single" w:sz="4" w:space="0" w:color="DC8EA7" w:themeColor="accent4" w:themeTint="99"/>
      </w:tblBorders>
    </w:tblPr>
    <w:tblStylePr w:type="firstRow">
      <w:rPr>
        <w:b/>
        <w:bCs/>
        <w:color w:val="FFFFFF" w:themeColor="background1"/>
      </w:rPr>
      <w:tblPr/>
      <w:tcPr>
        <w:tcBorders>
          <w:top w:val="single" w:sz="4" w:space="0" w:color="C5446E" w:themeColor="accent4"/>
          <w:left w:val="single" w:sz="4" w:space="0" w:color="C5446E" w:themeColor="accent4"/>
          <w:bottom w:val="single" w:sz="4" w:space="0" w:color="C5446E" w:themeColor="accent4"/>
          <w:right w:val="single" w:sz="4" w:space="0" w:color="C5446E" w:themeColor="accent4"/>
          <w:insideH w:val="nil"/>
          <w:insideV w:val="nil"/>
        </w:tcBorders>
        <w:shd w:val="clear" w:color="auto" w:fill="C5446E" w:themeFill="accent4"/>
      </w:tcPr>
    </w:tblStylePr>
    <w:tblStylePr w:type="lastRow">
      <w:rPr>
        <w:b/>
        <w:bCs/>
      </w:rPr>
      <w:tblPr/>
      <w:tcPr>
        <w:tcBorders>
          <w:top w:val="double" w:sz="4" w:space="0" w:color="C5446E" w:themeColor="accent4"/>
        </w:tcBorders>
      </w:tcPr>
    </w:tblStylePr>
    <w:tblStylePr w:type="firstCol">
      <w:rPr>
        <w:b/>
        <w:bCs/>
      </w:rPr>
    </w:tblStylePr>
    <w:tblStylePr w:type="lastCol">
      <w:rPr>
        <w:b/>
        <w:bCs/>
      </w:rPr>
    </w:tblStylePr>
    <w:tblStylePr w:type="band1Vert">
      <w:tblPr/>
      <w:tcPr>
        <w:shd w:val="clear" w:color="auto" w:fill="F3D9E1" w:themeFill="accent4" w:themeFillTint="33"/>
      </w:tcPr>
    </w:tblStylePr>
    <w:tblStylePr w:type="band1Horz">
      <w:tblPr/>
      <w:tcPr>
        <w:shd w:val="clear" w:color="auto" w:fill="F3D9E1" w:themeFill="accent4" w:themeFillTint="33"/>
      </w:tcPr>
    </w:tblStylePr>
  </w:style>
  <w:style w:type="table" w:styleId="GridTable4-Accent5">
    <w:name w:val="Grid Table 4 Accent 5"/>
    <w:basedOn w:val="TableNormal"/>
    <w:uiPriority w:val="49"/>
    <w:rsid w:val="0090719C"/>
    <w:tblPr>
      <w:tblStyleRowBandSize w:val="1"/>
      <w:tblStyleColBandSize w:val="1"/>
      <w:tblBorders>
        <w:top w:val="single" w:sz="4" w:space="0" w:color="2F85BD" w:themeColor="accent5" w:themeTint="99"/>
        <w:left w:val="single" w:sz="4" w:space="0" w:color="2F85BD" w:themeColor="accent5" w:themeTint="99"/>
        <w:bottom w:val="single" w:sz="4" w:space="0" w:color="2F85BD" w:themeColor="accent5" w:themeTint="99"/>
        <w:right w:val="single" w:sz="4" w:space="0" w:color="2F85BD" w:themeColor="accent5" w:themeTint="99"/>
        <w:insideH w:val="single" w:sz="4" w:space="0" w:color="2F85BD" w:themeColor="accent5" w:themeTint="99"/>
        <w:insideV w:val="single" w:sz="4" w:space="0" w:color="2F85BD" w:themeColor="accent5" w:themeTint="99"/>
      </w:tblBorders>
    </w:tblPr>
    <w:tblStylePr w:type="firstRow">
      <w:rPr>
        <w:b/>
        <w:bCs/>
        <w:color w:val="FFFFFF" w:themeColor="background1"/>
      </w:rPr>
      <w:tblPr/>
      <w:tcPr>
        <w:tcBorders>
          <w:top w:val="single" w:sz="4" w:space="0" w:color="0B1F2C" w:themeColor="accent5"/>
          <w:left w:val="single" w:sz="4" w:space="0" w:color="0B1F2C" w:themeColor="accent5"/>
          <w:bottom w:val="single" w:sz="4" w:space="0" w:color="0B1F2C" w:themeColor="accent5"/>
          <w:right w:val="single" w:sz="4" w:space="0" w:color="0B1F2C" w:themeColor="accent5"/>
          <w:insideH w:val="nil"/>
          <w:insideV w:val="nil"/>
        </w:tcBorders>
        <w:shd w:val="clear" w:color="auto" w:fill="0B1F2C" w:themeFill="accent5"/>
      </w:tcPr>
    </w:tblStylePr>
    <w:tblStylePr w:type="lastRow">
      <w:rPr>
        <w:b/>
        <w:bCs/>
      </w:rPr>
      <w:tblPr/>
      <w:tcPr>
        <w:tcBorders>
          <w:top w:val="double" w:sz="4" w:space="0" w:color="0B1F2C" w:themeColor="accent5"/>
        </w:tcBorders>
      </w:tcPr>
    </w:tblStylePr>
    <w:tblStylePr w:type="firstCol">
      <w:rPr>
        <w:b/>
        <w:bCs/>
      </w:rPr>
    </w:tblStylePr>
    <w:tblStylePr w:type="lastCol">
      <w:rPr>
        <w:b/>
        <w:bCs/>
      </w:rPr>
    </w:tblStylePr>
    <w:tblStylePr w:type="band1Vert">
      <w:tblPr/>
      <w:tcPr>
        <w:shd w:val="clear" w:color="auto" w:fill="B6D7EC" w:themeFill="accent5" w:themeFillTint="33"/>
      </w:tcPr>
    </w:tblStylePr>
    <w:tblStylePr w:type="band1Horz">
      <w:tblPr/>
      <w:tcPr>
        <w:shd w:val="clear" w:color="auto" w:fill="B6D7EC" w:themeFill="accent5" w:themeFillTint="33"/>
      </w:tcPr>
    </w:tblStylePr>
  </w:style>
  <w:style w:type="table" w:styleId="GridTable4-Accent6">
    <w:name w:val="Grid Table 4 Accent 6"/>
    <w:basedOn w:val="TableNormal"/>
    <w:uiPriority w:val="49"/>
    <w:rsid w:val="0090719C"/>
    <w:tblPr>
      <w:tblStyleRowBandSize w:val="1"/>
      <w:tblStyleColBandSize w:val="1"/>
      <w:tblBorders>
        <w:top w:val="single" w:sz="4" w:space="0" w:color="BCBCBC" w:themeColor="accent6" w:themeTint="99"/>
        <w:left w:val="single" w:sz="4" w:space="0" w:color="BCBCBC" w:themeColor="accent6" w:themeTint="99"/>
        <w:bottom w:val="single" w:sz="4" w:space="0" w:color="BCBCBC" w:themeColor="accent6" w:themeTint="99"/>
        <w:right w:val="single" w:sz="4" w:space="0" w:color="BCBCBC" w:themeColor="accent6" w:themeTint="99"/>
        <w:insideH w:val="single" w:sz="4" w:space="0" w:color="BCBCBC" w:themeColor="accent6" w:themeTint="99"/>
        <w:insideV w:val="single" w:sz="4" w:space="0" w:color="BCBCBC" w:themeColor="accent6" w:themeTint="99"/>
      </w:tblBorders>
    </w:tblPr>
    <w:tblStylePr w:type="firstRow">
      <w:rPr>
        <w:b/>
        <w:bCs/>
        <w:color w:val="FFFFFF" w:themeColor="background1"/>
      </w:rPr>
      <w:tblPr/>
      <w:tcPr>
        <w:tcBorders>
          <w:top w:val="single" w:sz="4" w:space="0" w:color="909090" w:themeColor="accent6"/>
          <w:left w:val="single" w:sz="4" w:space="0" w:color="909090" w:themeColor="accent6"/>
          <w:bottom w:val="single" w:sz="4" w:space="0" w:color="909090" w:themeColor="accent6"/>
          <w:right w:val="single" w:sz="4" w:space="0" w:color="909090" w:themeColor="accent6"/>
          <w:insideH w:val="nil"/>
          <w:insideV w:val="nil"/>
        </w:tcBorders>
        <w:shd w:val="clear" w:color="auto" w:fill="909090" w:themeFill="accent6"/>
      </w:tcPr>
    </w:tblStylePr>
    <w:tblStylePr w:type="lastRow">
      <w:rPr>
        <w:b/>
        <w:bCs/>
      </w:rPr>
      <w:tblPr/>
      <w:tcPr>
        <w:tcBorders>
          <w:top w:val="double" w:sz="4" w:space="0" w:color="909090" w:themeColor="accent6"/>
        </w:tcBorders>
      </w:tcPr>
    </w:tblStylePr>
    <w:tblStylePr w:type="firstCol">
      <w:rPr>
        <w:b/>
        <w:bCs/>
      </w:rPr>
    </w:tblStylePr>
    <w:tblStylePr w:type="lastCol">
      <w:rPr>
        <w:b/>
        <w:bCs/>
      </w:rPr>
    </w:tblStylePr>
    <w:tblStylePr w:type="band1Vert">
      <w:tblPr/>
      <w:tcPr>
        <w:shd w:val="clear" w:color="auto" w:fill="E8E8E8" w:themeFill="accent6" w:themeFillTint="33"/>
      </w:tcPr>
    </w:tblStylePr>
    <w:tblStylePr w:type="band1Horz">
      <w:tblPr/>
      <w:tcPr>
        <w:shd w:val="clear" w:color="auto" w:fill="E8E8E8" w:themeFill="accent6" w:themeFillTint="33"/>
      </w:tcPr>
    </w:tblStylePr>
  </w:style>
  <w:style w:type="table" w:styleId="GridTable5Dark">
    <w:name w:val="Grid Table 5 Dark"/>
    <w:basedOn w:val="TableNormal"/>
    <w:uiPriority w:val="50"/>
    <w:rsid w:val="0090719C"/>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6D7E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B1F2C"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B1F2C"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B1F2C"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B1F2C" w:themeFill="text1"/>
      </w:tcPr>
    </w:tblStylePr>
    <w:tblStylePr w:type="band1Vert">
      <w:tblPr/>
      <w:tcPr>
        <w:shd w:val="clear" w:color="auto" w:fill="6DAFDA" w:themeFill="text1" w:themeFillTint="66"/>
      </w:tcPr>
    </w:tblStylePr>
    <w:tblStylePr w:type="band1Horz">
      <w:tblPr/>
      <w:tcPr>
        <w:shd w:val="clear" w:color="auto" w:fill="6DAFDA" w:themeFill="text1" w:themeFillTint="66"/>
      </w:tcPr>
    </w:tblStylePr>
  </w:style>
  <w:style w:type="table" w:styleId="GridTable5Dark-Accent1">
    <w:name w:val="Grid Table 5 Dark Accent 1"/>
    <w:basedOn w:val="TableNormal"/>
    <w:uiPriority w:val="50"/>
    <w:rsid w:val="0090719C"/>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6ED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FE3"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FE3"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FE3"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FE3" w:themeFill="accent1"/>
      </w:tcPr>
    </w:tblStylePr>
    <w:tblStylePr w:type="band1Vert">
      <w:tblPr/>
      <w:tcPr>
        <w:shd w:val="clear" w:color="auto" w:fill="8DDCFF" w:themeFill="accent1" w:themeFillTint="66"/>
      </w:tcPr>
    </w:tblStylePr>
    <w:tblStylePr w:type="band1Horz">
      <w:tblPr/>
      <w:tcPr>
        <w:shd w:val="clear" w:color="auto" w:fill="8DDCFF" w:themeFill="accent1" w:themeFillTint="66"/>
      </w:tcPr>
    </w:tblStylePr>
  </w:style>
  <w:style w:type="table" w:styleId="GridTable5Dark-Accent2">
    <w:name w:val="Grid Table 5 Dark Accent 2"/>
    <w:basedOn w:val="TableNormal"/>
    <w:uiPriority w:val="50"/>
    <w:rsid w:val="0090719C"/>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B2FF"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00080"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00080"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00080"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00080" w:themeFill="accent2"/>
      </w:tcPr>
    </w:tblStylePr>
    <w:tblStylePr w:type="band1Vert">
      <w:tblPr/>
      <w:tcPr>
        <w:shd w:val="clear" w:color="auto" w:fill="FF66FF" w:themeFill="accent2" w:themeFillTint="66"/>
      </w:tcPr>
    </w:tblStylePr>
    <w:tblStylePr w:type="band1Horz">
      <w:tblPr/>
      <w:tcPr>
        <w:shd w:val="clear" w:color="auto" w:fill="FF66FF" w:themeFill="accent2" w:themeFillTint="66"/>
      </w:tcPr>
    </w:tblStylePr>
  </w:style>
  <w:style w:type="table" w:styleId="GridTable5Dark-Accent3">
    <w:name w:val="Grid Table 5 Dark Accent 3"/>
    <w:basedOn w:val="TableNormal"/>
    <w:uiPriority w:val="50"/>
    <w:rsid w:val="0090719C"/>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0F5F4"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26C0BC"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26C0BC"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26C0BC"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26C0BC" w:themeFill="accent3"/>
      </w:tcPr>
    </w:tblStylePr>
    <w:tblStylePr w:type="band1Vert">
      <w:tblPr/>
      <w:tcPr>
        <w:shd w:val="clear" w:color="auto" w:fill="A1ECEA" w:themeFill="accent3" w:themeFillTint="66"/>
      </w:tcPr>
    </w:tblStylePr>
    <w:tblStylePr w:type="band1Horz">
      <w:tblPr/>
      <w:tcPr>
        <w:shd w:val="clear" w:color="auto" w:fill="A1ECEA" w:themeFill="accent3" w:themeFillTint="66"/>
      </w:tcPr>
    </w:tblStylePr>
  </w:style>
  <w:style w:type="table" w:styleId="GridTable5Dark-Accent4">
    <w:name w:val="Grid Table 5 Dark Accent 4"/>
    <w:basedOn w:val="TableNormal"/>
    <w:uiPriority w:val="50"/>
    <w:rsid w:val="0090719C"/>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3D9E1"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5446E"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5446E"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5446E"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5446E" w:themeFill="accent4"/>
      </w:tcPr>
    </w:tblStylePr>
    <w:tblStylePr w:type="band1Vert">
      <w:tblPr/>
      <w:tcPr>
        <w:shd w:val="clear" w:color="auto" w:fill="E7B4C4" w:themeFill="accent4" w:themeFillTint="66"/>
      </w:tcPr>
    </w:tblStylePr>
    <w:tblStylePr w:type="band1Horz">
      <w:tblPr/>
      <w:tcPr>
        <w:shd w:val="clear" w:color="auto" w:fill="E7B4C4" w:themeFill="accent4" w:themeFillTint="66"/>
      </w:tcPr>
    </w:tblStylePr>
  </w:style>
  <w:style w:type="table" w:styleId="GridTable5Dark-Accent5">
    <w:name w:val="Grid Table 5 Dark Accent 5"/>
    <w:basedOn w:val="TableNormal"/>
    <w:uiPriority w:val="50"/>
    <w:rsid w:val="0090719C"/>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6D7EC"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B1F2C"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B1F2C"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B1F2C"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B1F2C" w:themeFill="accent5"/>
      </w:tcPr>
    </w:tblStylePr>
    <w:tblStylePr w:type="band1Vert">
      <w:tblPr/>
      <w:tcPr>
        <w:shd w:val="clear" w:color="auto" w:fill="6DAFDA" w:themeFill="accent5" w:themeFillTint="66"/>
      </w:tcPr>
    </w:tblStylePr>
    <w:tblStylePr w:type="band1Horz">
      <w:tblPr/>
      <w:tcPr>
        <w:shd w:val="clear" w:color="auto" w:fill="6DAFDA" w:themeFill="accent5" w:themeFillTint="66"/>
      </w:tcPr>
    </w:tblStylePr>
  </w:style>
  <w:style w:type="table" w:styleId="GridTable5Dark-Accent6">
    <w:name w:val="Grid Table 5 Dark Accent 6"/>
    <w:basedOn w:val="TableNormal"/>
    <w:uiPriority w:val="50"/>
    <w:rsid w:val="0090719C"/>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8E8E8"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09090"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09090"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09090"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09090" w:themeFill="accent6"/>
      </w:tcPr>
    </w:tblStylePr>
    <w:tblStylePr w:type="band1Vert">
      <w:tblPr/>
      <w:tcPr>
        <w:shd w:val="clear" w:color="auto" w:fill="D2D2D2" w:themeFill="accent6" w:themeFillTint="66"/>
      </w:tcPr>
    </w:tblStylePr>
    <w:tblStylePr w:type="band1Horz">
      <w:tblPr/>
      <w:tcPr>
        <w:shd w:val="clear" w:color="auto" w:fill="D2D2D2" w:themeFill="accent6" w:themeFillTint="66"/>
      </w:tcPr>
    </w:tblStylePr>
  </w:style>
  <w:style w:type="table" w:styleId="GridTable6Colourful">
    <w:name w:val="Grid Table 6 Colorful"/>
    <w:basedOn w:val="TableNormal"/>
    <w:uiPriority w:val="51"/>
    <w:rsid w:val="0090719C"/>
    <w:rPr>
      <w:color w:val="0B1F2C" w:themeColor="text1"/>
    </w:rPr>
    <w:tblPr>
      <w:tblStyleRowBandSize w:val="1"/>
      <w:tblStyleColBandSize w:val="1"/>
      <w:tblBorders>
        <w:top w:val="single" w:sz="4" w:space="0" w:color="2F85BD" w:themeColor="text1" w:themeTint="99"/>
        <w:left w:val="single" w:sz="4" w:space="0" w:color="2F85BD" w:themeColor="text1" w:themeTint="99"/>
        <w:bottom w:val="single" w:sz="4" w:space="0" w:color="2F85BD" w:themeColor="text1" w:themeTint="99"/>
        <w:right w:val="single" w:sz="4" w:space="0" w:color="2F85BD" w:themeColor="text1" w:themeTint="99"/>
        <w:insideH w:val="single" w:sz="4" w:space="0" w:color="2F85BD" w:themeColor="text1" w:themeTint="99"/>
        <w:insideV w:val="single" w:sz="4" w:space="0" w:color="2F85BD" w:themeColor="text1" w:themeTint="99"/>
      </w:tblBorders>
    </w:tblPr>
    <w:tblStylePr w:type="firstRow">
      <w:rPr>
        <w:b/>
        <w:bCs/>
      </w:rPr>
      <w:tblPr/>
      <w:tcPr>
        <w:tcBorders>
          <w:bottom w:val="single" w:sz="12" w:space="0" w:color="2F85BD" w:themeColor="text1" w:themeTint="99"/>
        </w:tcBorders>
      </w:tcPr>
    </w:tblStylePr>
    <w:tblStylePr w:type="lastRow">
      <w:rPr>
        <w:b/>
        <w:bCs/>
      </w:rPr>
      <w:tblPr/>
      <w:tcPr>
        <w:tcBorders>
          <w:top w:val="double" w:sz="4" w:space="0" w:color="2F85BD" w:themeColor="text1" w:themeTint="99"/>
        </w:tcBorders>
      </w:tcPr>
    </w:tblStylePr>
    <w:tblStylePr w:type="firstCol">
      <w:rPr>
        <w:b/>
        <w:bCs/>
      </w:rPr>
    </w:tblStylePr>
    <w:tblStylePr w:type="lastCol">
      <w:rPr>
        <w:b/>
        <w:bCs/>
      </w:rPr>
    </w:tblStylePr>
    <w:tblStylePr w:type="band1Vert">
      <w:tblPr/>
      <w:tcPr>
        <w:shd w:val="clear" w:color="auto" w:fill="B6D7EC" w:themeFill="text1" w:themeFillTint="33"/>
      </w:tcPr>
    </w:tblStylePr>
    <w:tblStylePr w:type="band1Horz">
      <w:tblPr/>
      <w:tcPr>
        <w:shd w:val="clear" w:color="auto" w:fill="B6D7EC" w:themeFill="text1" w:themeFillTint="33"/>
      </w:tcPr>
    </w:tblStylePr>
  </w:style>
  <w:style w:type="table" w:styleId="GridTable6ColourfulAccent1">
    <w:name w:val="Grid Table 6 Colorful Accent 1"/>
    <w:basedOn w:val="TableNormal"/>
    <w:uiPriority w:val="51"/>
    <w:rsid w:val="0090719C"/>
    <w:rPr>
      <w:color w:val="0076AA" w:themeColor="accent1" w:themeShade="BF"/>
    </w:rPr>
    <w:tblPr>
      <w:tblStyleRowBandSize w:val="1"/>
      <w:tblStyleColBandSize w:val="1"/>
      <w:tblBorders>
        <w:top w:val="single" w:sz="4" w:space="0" w:color="55CBFF" w:themeColor="accent1" w:themeTint="99"/>
        <w:left w:val="single" w:sz="4" w:space="0" w:color="55CBFF" w:themeColor="accent1" w:themeTint="99"/>
        <w:bottom w:val="single" w:sz="4" w:space="0" w:color="55CBFF" w:themeColor="accent1" w:themeTint="99"/>
        <w:right w:val="single" w:sz="4" w:space="0" w:color="55CBFF" w:themeColor="accent1" w:themeTint="99"/>
        <w:insideH w:val="single" w:sz="4" w:space="0" w:color="55CBFF" w:themeColor="accent1" w:themeTint="99"/>
        <w:insideV w:val="single" w:sz="4" w:space="0" w:color="55CBFF" w:themeColor="accent1" w:themeTint="99"/>
      </w:tblBorders>
    </w:tblPr>
    <w:tblStylePr w:type="firstRow">
      <w:rPr>
        <w:b/>
        <w:bCs/>
      </w:rPr>
      <w:tblPr/>
      <w:tcPr>
        <w:tcBorders>
          <w:bottom w:val="single" w:sz="12" w:space="0" w:color="55CBFF" w:themeColor="accent1" w:themeTint="99"/>
        </w:tcBorders>
      </w:tcPr>
    </w:tblStylePr>
    <w:tblStylePr w:type="lastRow">
      <w:rPr>
        <w:b/>
        <w:bCs/>
      </w:rPr>
      <w:tblPr/>
      <w:tcPr>
        <w:tcBorders>
          <w:top w:val="double" w:sz="4" w:space="0" w:color="55CBFF" w:themeColor="accent1" w:themeTint="99"/>
        </w:tcBorders>
      </w:tcPr>
    </w:tblStylePr>
    <w:tblStylePr w:type="firstCol">
      <w:rPr>
        <w:b/>
        <w:bCs/>
      </w:rPr>
    </w:tblStylePr>
    <w:tblStylePr w:type="lastCol">
      <w:rPr>
        <w:b/>
        <w:bCs/>
      </w:rPr>
    </w:tblStylePr>
    <w:tblStylePr w:type="band1Vert">
      <w:tblPr/>
      <w:tcPr>
        <w:shd w:val="clear" w:color="auto" w:fill="C6EDFF" w:themeFill="accent1" w:themeFillTint="33"/>
      </w:tcPr>
    </w:tblStylePr>
    <w:tblStylePr w:type="band1Horz">
      <w:tblPr/>
      <w:tcPr>
        <w:shd w:val="clear" w:color="auto" w:fill="C6EDFF" w:themeFill="accent1" w:themeFillTint="33"/>
      </w:tcPr>
    </w:tblStylePr>
  </w:style>
  <w:style w:type="table" w:styleId="GridTable6ColourfulAccent2">
    <w:name w:val="Grid Table 6 Colorful Accent 2"/>
    <w:basedOn w:val="TableNormal"/>
    <w:uiPriority w:val="51"/>
    <w:rsid w:val="0090719C"/>
    <w:rPr>
      <w:color w:val="5F005F" w:themeColor="accent2" w:themeShade="BF"/>
    </w:rPr>
    <w:tblPr>
      <w:tblStyleRowBandSize w:val="1"/>
      <w:tblStyleColBandSize w:val="1"/>
      <w:tblBorders>
        <w:top w:val="single" w:sz="4" w:space="0" w:color="FF19FF" w:themeColor="accent2" w:themeTint="99"/>
        <w:left w:val="single" w:sz="4" w:space="0" w:color="FF19FF" w:themeColor="accent2" w:themeTint="99"/>
        <w:bottom w:val="single" w:sz="4" w:space="0" w:color="FF19FF" w:themeColor="accent2" w:themeTint="99"/>
        <w:right w:val="single" w:sz="4" w:space="0" w:color="FF19FF" w:themeColor="accent2" w:themeTint="99"/>
        <w:insideH w:val="single" w:sz="4" w:space="0" w:color="FF19FF" w:themeColor="accent2" w:themeTint="99"/>
        <w:insideV w:val="single" w:sz="4" w:space="0" w:color="FF19FF" w:themeColor="accent2" w:themeTint="99"/>
      </w:tblBorders>
    </w:tblPr>
    <w:tblStylePr w:type="firstRow">
      <w:rPr>
        <w:b/>
        <w:bCs/>
      </w:rPr>
      <w:tblPr/>
      <w:tcPr>
        <w:tcBorders>
          <w:bottom w:val="single" w:sz="12" w:space="0" w:color="FF19FF" w:themeColor="accent2" w:themeTint="99"/>
        </w:tcBorders>
      </w:tcPr>
    </w:tblStylePr>
    <w:tblStylePr w:type="lastRow">
      <w:rPr>
        <w:b/>
        <w:bCs/>
      </w:rPr>
      <w:tblPr/>
      <w:tcPr>
        <w:tcBorders>
          <w:top w:val="double" w:sz="4" w:space="0" w:color="FF19FF" w:themeColor="accent2" w:themeTint="99"/>
        </w:tcBorders>
      </w:tcPr>
    </w:tblStylePr>
    <w:tblStylePr w:type="firstCol">
      <w:rPr>
        <w:b/>
        <w:bCs/>
      </w:rPr>
    </w:tblStylePr>
    <w:tblStylePr w:type="lastCol">
      <w:rPr>
        <w:b/>
        <w:bCs/>
      </w:rPr>
    </w:tblStylePr>
    <w:tblStylePr w:type="band1Vert">
      <w:tblPr/>
      <w:tcPr>
        <w:shd w:val="clear" w:color="auto" w:fill="FFB2FF" w:themeFill="accent2" w:themeFillTint="33"/>
      </w:tcPr>
    </w:tblStylePr>
    <w:tblStylePr w:type="band1Horz">
      <w:tblPr/>
      <w:tcPr>
        <w:shd w:val="clear" w:color="auto" w:fill="FFB2FF" w:themeFill="accent2" w:themeFillTint="33"/>
      </w:tcPr>
    </w:tblStylePr>
  </w:style>
  <w:style w:type="table" w:styleId="GridTable6ColourfulAccent3">
    <w:name w:val="Grid Table 6 Colorful Accent 3"/>
    <w:basedOn w:val="TableNormal"/>
    <w:uiPriority w:val="51"/>
    <w:rsid w:val="0090719C"/>
    <w:rPr>
      <w:color w:val="1C8F8C" w:themeColor="accent3" w:themeShade="BF"/>
    </w:rPr>
    <w:tblPr>
      <w:tblStyleRowBandSize w:val="1"/>
      <w:tblStyleColBandSize w:val="1"/>
      <w:tblBorders>
        <w:top w:val="single" w:sz="4" w:space="0" w:color="72E3E0" w:themeColor="accent3" w:themeTint="99"/>
        <w:left w:val="single" w:sz="4" w:space="0" w:color="72E3E0" w:themeColor="accent3" w:themeTint="99"/>
        <w:bottom w:val="single" w:sz="4" w:space="0" w:color="72E3E0" w:themeColor="accent3" w:themeTint="99"/>
        <w:right w:val="single" w:sz="4" w:space="0" w:color="72E3E0" w:themeColor="accent3" w:themeTint="99"/>
        <w:insideH w:val="single" w:sz="4" w:space="0" w:color="72E3E0" w:themeColor="accent3" w:themeTint="99"/>
        <w:insideV w:val="single" w:sz="4" w:space="0" w:color="72E3E0" w:themeColor="accent3" w:themeTint="99"/>
      </w:tblBorders>
    </w:tblPr>
    <w:tblStylePr w:type="firstRow">
      <w:rPr>
        <w:b/>
        <w:bCs/>
      </w:rPr>
      <w:tblPr/>
      <w:tcPr>
        <w:tcBorders>
          <w:bottom w:val="single" w:sz="12" w:space="0" w:color="72E3E0" w:themeColor="accent3" w:themeTint="99"/>
        </w:tcBorders>
      </w:tcPr>
    </w:tblStylePr>
    <w:tblStylePr w:type="lastRow">
      <w:rPr>
        <w:b/>
        <w:bCs/>
      </w:rPr>
      <w:tblPr/>
      <w:tcPr>
        <w:tcBorders>
          <w:top w:val="double" w:sz="4" w:space="0" w:color="72E3E0" w:themeColor="accent3" w:themeTint="99"/>
        </w:tcBorders>
      </w:tcPr>
    </w:tblStylePr>
    <w:tblStylePr w:type="firstCol">
      <w:rPr>
        <w:b/>
        <w:bCs/>
      </w:rPr>
    </w:tblStylePr>
    <w:tblStylePr w:type="lastCol">
      <w:rPr>
        <w:b/>
        <w:bCs/>
      </w:rPr>
    </w:tblStylePr>
    <w:tblStylePr w:type="band1Vert">
      <w:tblPr/>
      <w:tcPr>
        <w:shd w:val="clear" w:color="auto" w:fill="D0F5F4" w:themeFill="accent3" w:themeFillTint="33"/>
      </w:tcPr>
    </w:tblStylePr>
    <w:tblStylePr w:type="band1Horz">
      <w:tblPr/>
      <w:tcPr>
        <w:shd w:val="clear" w:color="auto" w:fill="D0F5F4" w:themeFill="accent3" w:themeFillTint="33"/>
      </w:tcPr>
    </w:tblStylePr>
  </w:style>
  <w:style w:type="table" w:styleId="GridTable6ColourfulAccent4">
    <w:name w:val="Grid Table 6 Colorful Accent 4"/>
    <w:basedOn w:val="TableNormal"/>
    <w:uiPriority w:val="51"/>
    <w:rsid w:val="0090719C"/>
    <w:rPr>
      <w:color w:val="972F50" w:themeColor="accent4" w:themeShade="BF"/>
    </w:rPr>
    <w:tblPr>
      <w:tblStyleRowBandSize w:val="1"/>
      <w:tblStyleColBandSize w:val="1"/>
      <w:tblBorders>
        <w:top w:val="single" w:sz="4" w:space="0" w:color="DC8EA7" w:themeColor="accent4" w:themeTint="99"/>
        <w:left w:val="single" w:sz="4" w:space="0" w:color="DC8EA7" w:themeColor="accent4" w:themeTint="99"/>
        <w:bottom w:val="single" w:sz="4" w:space="0" w:color="DC8EA7" w:themeColor="accent4" w:themeTint="99"/>
        <w:right w:val="single" w:sz="4" w:space="0" w:color="DC8EA7" w:themeColor="accent4" w:themeTint="99"/>
        <w:insideH w:val="single" w:sz="4" w:space="0" w:color="DC8EA7" w:themeColor="accent4" w:themeTint="99"/>
        <w:insideV w:val="single" w:sz="4" w:space="0" w:color="DC8EA7" w:themeColor="accent4" w:themeTint="99"/>
      </w:tblBorders>
    </w:tblPr>
    <w:tblStylePr w:type="firstRow">
      <w:rPr>
        <w:b/>
        <w:bCs/>
      </w:rPr>
      <w:tblPr/>
      <w:tcPr>
        <w:tcBorders>
          <w:bottom w:val="single" w:sz="12" w:space="0" w:color="DC8EA7" w:themeColor="accent4" w:themeTint="99"/>
        </w:tcBorders>
      </w:tcPr>
    </w:tblStylePr>
    <w:tblStylePr w:type="lastRow">
      <w:rPr>
        <w:b/>
        <w:bCs/>
      </w:rPr>
      <w:tblPr/>
      <w:tcPr>
        <w:tcBorders>
          <w:top w:val="double" w:sz="4" w:space="0" w:color="DC8EA7" w:themeColor="accent4" w:themeTint="99"/>
        </w:tcBorders>
      </w:tcPr>
    </w:tblStylePr>
    <w:tblStylePr w:type="firstCol">
      <w:rPr>
        <w:b/>
        <w:bCs/>
      </w:rPr>
    </w:tblStylePr>
    <w:tblStylePr w:type="lastCol">
      <w:rPr>
        <w:b/>
        <w:bCs/>
      </w:rPr>
    </w:tblStylePr>
    <w:tblStylePr w:type="band1Vert">
      <w:tblPr/>
      <w:tcPr>
        <w:shd w:val="clear" w:color="auto" w:fill="F3D9E1" w:themeFill="accent4" w:themeFillTint="33"/>
      </w:tcPr>
    </w:tblStylePr>
    <w:tblStylePr w:type="band1Horz">
      <w:tblPr/>
      <w:tcPr>
        <w:shd w:val="clear" w:color="auto" w:fill="F3D9E1" w:themeFill="accent4" w:themeFillTint="33"/>
      </w:tcPr>
    </w:tblStylePr>
  </w:style>
  <w:style w:type="table" w:styleId="GridTable6ColourfulAccent5">
    <w:name w:val="Grid Table 6 Colorful Accent 5"/>
    <w:basedOn w:val="TableNormal"/>
    <w:uiPriority w:val="51"/>
    <w:rsid w:val="0090719C"/>
    <w:rPr>
      <w:color w:val="081720" w:themeColor="accent5" w:themeShade="BF"/>
    </w:rPr>
    <w:tblPr>
      <w:tblStyleRowBandSize w:val="1"/>
      <w:tblStyleColBandSize w:val="1"/>
      <w:tblBorders>
        <w:top w:val="single" w:sz="4" w:space="0" w:color="2F85BD" w:themeColor="accent5" w:themeTint="99"/>
        <w:left w:val="single" w:sz="4" w:space="0" w:color="2F85BD" w:themeColor="accent5" w:themeTint="99"/>
        <w:bottom w:val="single" w:sz="4" w:space="0" w:color="2F85BD" w:themeColor="accent5" w:themeTint="99"/>
        <w:right w:val="single" w:sz="4" w:space="0" w:color="2F85BD" w:themeColor="accent5" w:themeTint="99"/>
        <w:insideH w:val="single" w:sz="4" w:space="0" w:color="2F85BD" w:themeColor="accent5" w:themeTint="99"/>
        <w:insideV w:val="single" w:sz="4" w:space="0" w:color="2F85BD" w:themeColor="accent5" w:themeTint="99"/>
      </w:tblBorders>
    </w:tblPr>
    <w:tblStylePr w:type="firstRow">
      <w:rPr>
        <w:b/>
        <w:bCs/>
      </w:rPr>
      <w:tblPr/>
      <w:tcPr>
        <w:tcBorders>
          <w:bottom w:val="single" w:sz="12" w:space="0" w:color="2F85BD" w:themeColor="accent5" w:themeTint="99"/>
        </w:tcBorders>
      </w:tcPr>
    </w:tblStylePr>
    <w:tblStylePr w:type="lastRow">
      <w:rPr>
        <w:b/>
        <w:bCs/>
      </w:rPr>
      <w:tblPr/>
      <w:tcPr>
        <w:tcBorders>
          <w:top w:val="double" w:sz="4" w:space="0" w:color="2F85BD" w:themeColor="accent5" w:themeTint="99"/>
        </w:tcBorders>
      </w:tcPr>
    </w:tblStylePr>
    <w:tblStylePr w:type="firstCol">
      <w:rPr>
        <w:b/>
        <w:bCs/>
      </w:rPr>
    </w:tblStylePr>
    <w:tblStylePr w:type="lastCol">
      <w:rPr>
        <w:b/>
        <w:bCs/>
      </w:rPr>
    </w:tblStylePr>
    <w:tblStylePr w:type="band1Vert">
      <w:tblPr/>
      <w:tcPr>
        <w:shd w:val="clear" w:color="auto" w:fill="B6D7EC" w:themeFill="accent5" w:themeFillTint="33"/>
      </w:tcPr>
    </w:tblStylePr>
    <w:tblStylePr w:type="band1Horz">
      <w:tblPr/>
      <w:tcPr>
        <w:shd w:val="clear" w:color="auto" w:fill="B6D7EC" w:themeFill="accent5" w:themeFillTint="33"/>
      </w:tcPr>
    </w:tblStylePr>
  </w:style>
  <w:style w:type="table" w:styleId="GridTable6ColourfulAccent6">
    <w:name w:val="Grid Table 6 Colorful Accent 6"/>
    <w:basedOn w:val="TableNormal"/>
    <w:uiPriority w:val="51"/>
    <w:rsid w:val="0090719C"/>
    <w:rPr>
      <w:color w:val="6B6B6B" w:themeColor="accent6" w:themeShade="BF"/>
    </w:rPr>
    <w:tblPr>
      <w:tblStyleRowBandSize w:val="1"/>
      <w:tblStyleColBandSize w:val="1"/>
      <w:tblBorders>
        <w:top w:val="single" w:sz="4" w:space="0" w:color="BCBCBC" w:themeColor="accent6" w:themeTint="99"/>
        <w:left w:val="single" w:sz="4" w:space="0" w:color="BCBCBC" w:themeColor="accent6" w:themeTint="99"/>
        <w:bottom w:val="single" w:sz="4" w:space="0" w:color="BCBCBC" w:themeColor="accent6" w:themeTint="99"/>
        <w:right w:val="single" w:sz="4" w:space="0" w:color="BCBCBC" w:themeColor="accent6" w:themeTint="99"/>
        <w:insideH w:val="single" w:sz="4" w:space="0" w:color="BCBCBC" w:themeColor="accent6" w:themeTint="99"/>
        <w:insideV w:val="single" w:sz="4" w:space="0" w:color="BCBCBC" w:themeColor="accent6" w:themeTint="99"/>
      </w:tblBorders>
    </w:tblPr>
    <w:tblStylePr w:type="firstRow">
      <w:rPr>
        <w:b/>
        <w:bCs/>
      </w:rPr>
      <w:tblPr/>
      <w:tcPr>
        <w:tcBorders>
          <w:bottom w:val="single" w:sz="12" w:space="0" w:color="BCBCBC" w:themeColor="accent6" w:themeTint="99"/>
        </w:tcBorders>
      </w:tcPr>
    </w:tblStylePr>
    <w:tblStylePr w:type="lastRow">
      <w:rPr>
        <w:b/>
        <w:bCs/>
      </w:rPr>
      <w:tblPr/>
      <w:tcPr>
        <w:tcBorders>
          <w:top w:val="double" w:sz="4" w:space="0" w:color="BCBCBC" w:themeColor="accent6" w:themeTint="99"/>
        </w:tcBorders>
      </w:tcPr>
    </w:tblStylePr>
    <w:tblStylePr w:type="firstCol">
      <w:rPr>
        <w:b/>
        <w:bCs/>
      </w:rPr>
    </w:tblStylePr>
    <w:tblStylePr w:type="lastCol">
      <w:rPr>
        <w:b/>
        <w:bCs/>
      </w:rPr>
    </w:tblStylePr>
    <w:tblStylePr w:type="band1Vert">
      <w:tblPr/>
      <w:tcPr>
        <w:shd w:val="clear" w:color="auto" w:fill="E8E8E8" w:themeFill="accent6" w:themeFillTint="33"/>
      </w:tcPr>
    </w:tblStylePr>
    <w:tblStylePr w:type="band1Horz">
      <w:tblPr/>
      <w:tcPr>
        <w:shd w:val="clear" w:color="auto" w:fill="E8E8E8" w:themeFill="accent6" w:themeFillTint="33"/>
      </w:tcPr>
    </w:tblStylePr>
  </w:style>
  <w:style w:type="table" w:styleId="GridTable7Colourful">
    <w:name w:val="Grid Table 7 Colorful"/>
    <w:basedOn w:val="TableNormal"/>
    <w:uiPriority w:val="52"/>
    <w:rsid w:val="0090719C"/>
    <w:rPr>
      <w:color w:val="0B1F2C" w:themeColor="text1"/>
    </w:rPr>
    <w:tblPr>
      <w:tblStyleRowBandSize w:val="1"/>
      <w:tblStyleColBandSize w:val="1"/>
      <w:tblBorders>
        <w:top w:val="single" w:sz="4" w:space="0" w:color="2F85BD" w:themeColor="text1" w:themeTint="99"/>
        <w:left w:val="single" w:sz="4" w:space="0" w:color="2F85BD" w:themeColor="text1" w:themeTint="99"/>
        <w:bottom w:val="single" w:sz="4" w:space="0" w:color="2F85BD" w:themeColor="text1" w:themeTint="99"/>
        <w:right w:val="single" w:sz="4" w:space="0" w:color="2F85BD" w:themeColor="text1" w:themeTint="99"/>
        <w:insideH w:val="single" w:sz="4" w:space="0" w:color="2F85BD" w:themeColor="text1" w:themeTint="99"/>
        <w:insideV w:val="single" w:sz="4" w:space="0" w:color="2F85BD"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6D7EC" w:themeFill="text1" w:themeFillTint="33"/>
      </w:tcPr>
    </w:tblStylePr>
    <w:tblStylePr w:type="band1Horz">
      <w:tblPr/>
      <w:tcPr>
        <w:shd w:val="clear" w:color="auto" w:fill="B6D7EC" w:themeFill="text1" w:themeFillTint="33"/>
      </w:tcPr>
    </w:tblStylePr>
    <w:tblStylePr w:type="neCell">
      <w:tblPr/>
      <w:tcPr>
        <w:tcBorders>
          <w:bottom w:val="single" w:sz="4" w:space="0" w:color="2F85BD" w:themeColor="text1" w:themeTint="99"/>
        </w:tcBorders>
      </w:tcPr>
    </w:tblStylePr>
    <w:tblStylePr w:type="nwCell">
      <w:tblPr/>
      <w:tcPr>
        <w:tcBorders>
          <w:bottom w:val="single" w:sz="4" w:space="0" w:color="2F85BD" w:themeColor="text1" w:themeTint="99"/>
        </w:tcBorders>
      </w:tcPr>
    </w:tblStylePr>
    <w:tblStylePr w:type="seCell">
      <w:tblPr/>
      <w:tcPr>
        <w:tcBorders>
          <w:top w:val="single" w:sz="4" w:space="0" w:color="2F85BD" w:themeColor="text1" w:themeTint="99"/>
        </w:tcBorders>
      </w:tcPr>
    </w:tblStylePr>
    <w:tblStylePr w:type="swCell">
      <w:tblPr/>
      <w:tcPr>
        <w:tcBorders>
          <w:top w:val="single" w:sz="4" w:space="0" w:color="2F85BD" w:themeColor="text1" w:themeTint="99"/>
        </w:tcBorders>
      </w:tcPr>
    </w:tblStylePr>
  </w:style>
  <w:style w:type="table" w:styleId="GridTable7ColourfulAccent1">
    <w:name w:val="Grid Table 7 Colorful Accent 1"/>
    <w:basedOn w:val="TableNormal"/>
    <w:uiPriority w:val="52"/>
    <w:rsid w:val="0090719C"/>
    <w:rPr>
      <w:color w:val="0076AA" w:themeColor="accent1" w:themeShade="BF"/>
    </w:rPr>
    <w:tblPr>
      <w:tblStyleRowBandSize w:val="1"/>
      <w:tblStyleColBandSize w:val="1"/>
      <w:tblBorders>
        <w:top w:val="single" w:sz="4" w:space="0" w:color="55CBFF" w:themeColor="accent1" w:themeTint="99"/>
        <w:left w:val="single" w:sz="4" w:space="0" w:color="55CBFF" w:themeColor="accent1" w:themeTint="99"/>
        <w:bottom w:val="single" w:sz="4" w:space="0" w:color="55CBFF" w:themeColor="accent1" w:themeTint="99"/>
        <w:right w:val="single" w:sz="4" w:space="0" w:color="55CBFF" w:themeColor="accent1" w:themeTint="99"/>
        <w:insideH w:val="single" w:sz="4" w:space="0" w:color="55CBFF" w:themeColor="accent1" w:themeTint="99"/>
        <w:insideV w:val="single" w:sz="4" w:space="0" w:color="55CBFF"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6EDFF" w:themeFill="accent1" w:themeFillTint="33"/>
      </w:tcPr>
    </w:tblStylePr>
    <w:tblStylePr w:type="band1Horz">
      <w:tblPr/>
      <w:tcPr>
        <w:shd w:val="clear" w:color="auto" w:fill="C6EDFF" w:themeFill="accent1" w:themeFillTint="33"/>
      </w:tcPr>
    </w:tblStylePr>
    <w:tblStylePr w:type="neCell">
      <w:tblPr/>
      <w:tcPr>
        <w:tcBorders>
          <w:bottom w:val="single" w:sz="4" w:space="0" w:color="55CBFF" w:themeColor="accent1" w:themeTint="99"/>
        </w:tcBorders>
      </w:tcPr>
    </w:tblStylePr>
    <w:tblStylePr w:type="nwCell">
      <w:tblPr/>
      <w:tcPr>
        <w:tcBorders>
          <w:bottom w:val="single" w:sz="4" w:space="0" w:color="55CBFF" w:themeColor="accent1" w:themeTint="99"/>
        </w:tcBorders>
      </w:tcPr>
    </w:tblStylePr>
    <w:tblStylePr w:type="seCell">
      <w:tblPr/>
      <w:tcPr>
        <w:tcBorders>
          <w:top w:val="single" w:sz="4" w:space="0" w:color="55CBFF" w:themeColor="accent1" w:themeTint="99"/>
        </w:tcBorders>
      </w:tcPr>
    </w:tblStylePr>
    <w:tblStylePr w:type="swCell">
      <w:tblPr/>
      <w:tcPr>
        <w:tcBorders>
          <w:top w:val="single" w:sz="4" w:space="0" w:color="55CBFF" w:themeColor="accent1" w:themeTint="99"/>
        </w:tcBorders>
      </w:tcPr>
    </w:tblStylePr>
  </w:style>
  <w:style w:type="table" w:styleId="GridTable7ColourfulAccent2">
    <w:name w:val="Grid Table 7 Colorful Accent 2"/>
    <w:basedOn w:val="TableNormal"/>
    <w:uiPriority w:val="52"/>
    <w:rsid w:val="0090719C"/>
    <w:rPr>
      <w:color w:val="5F005F" w:themeColor="accent2" w:themeShade="BF"/>
    </w:rPr>
    <w:tblPr>
      <w:tblStyleRowBandSize w:val="1"/>
      <w:tblStyleColBandSize w:val="1"/>
      <w:tblBorders>
        <w:top w:val="single" w:sz="4" w:space="0" w:color="FF19FF" w:themeColor="accent2" w:themeTint="99"/>
        <w:left w:val="single" w:sz="4" w:space="0" w:color="FF19FF" w:themeColor="accent2" w:themeTint="99"/>
        <w:bottom w:val="single" w:sz="4" w:space="0" w:color="FF19FF" w:themeColor="accent2" w:themeTint="99"/>
        <w:right w:val="single" w:sz="4" w:space="0" w:color="FF19FF" w:themeColor="accent2" w:themeTint="99"/>
        <w:insideH w:val="single" w:sz="4" w:space="0" w:color="FF19FF" w:themeColor="accent2" w:themeTint="99"/>
        <w:insideV w:val="single" w:sz="4" w:space="0" w:color="FF19FF"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B2FF" w:themeFill="accent2" w:themeFillTint="33"/>
      </w:tcPr>
    </w:tblStylePr>
    <w:tblStylePr w:type="band1Horz">
      <w:tblPr/>
      <w:tcPr>
        <w:shd w:val="clear" w:color="auto" w:fill="FFB2FF" w:themeFill="accent2" w:themeFillTint="33"/>
      </w:tcPr>
    </w:tblStylePr>
    <w:tblStylePr w:type="neCell">
      <w:tblPr/>
      <w:tcPr>
        <w:tcBorders>
          <w:bottom w:val="single" w:sz="4" w:space="0" w:color="FF19FF" w:themeColor="accent2" w:themeTint="99"/>
        </w:tcBorders>
      </w:tcPr>
    </w:tblStylePr>
    <w:tblStylePr w:type="nwCell">
      <w:tblPr/>
      <w:tcPr>
        <w:tcBorders>
          <w:bottom w:val="single" w:sz="4" w:space="0" w:color="FF19FF" w:themeColor="accent2" w:themeTint="99"/>
        </w:tcBorders>
      </w:tcPr>
    </w:tblStylePr>
    <w:tblStylePr w:type="seCell">
      <w:tblPr/>
      <w:tcPr>
        <w:tcBorders>
          <w:top w:val="single" w:sz="4" w:space="0" w:color="FF19FF" w:themeColor="accent2" w:themeTint="99"/>
        </w:tcBorders>
      </w:tcPr>
    </w:tblStylePr>
    <w:tblStylePr w:type="swCell">
      <w:tblPr/>
      <w:tcPr>
        <w:tcBorders>
          <w:top w:val="single" w:sz="4" w:space="0" w:color="FF19FF" w:themeColor="accent2" w:themeTint="99"/>
        </w:tcBorders>
      </w:tcPr>
    </w:tblStylePr>
  </w:style>
  <w:style w:type="table" w:styleId="GridTable7ColourfulAccent3">
    <w:name w:val="Grid Table 7 Colorful Accent 3"/>
    <w:basedOn w:val="TableNormal"/>
    <w:uiPriority w:val="52"/>
    <w:rsid w:val="0090719C"/>
    <w:rPr>
      <w:color w:val="1C8F8C" w:themeColor="accent3" w:themeShade="BF"/>
    </w:rPr>
    <w:tblPr>
      <w:tblStyleRowBandSize w:val="1"/>
      <w:tblStyleColBandSize w:val="1"/>
      <w:tblBorders>
        <w:top w:val="single" w:sz="4" w:space="0" w:color="72E3E0" w:themeColor="accent3" w:themeTint="99"/>
        <w:left w:val="single" w:sz="4" w:space="0" w:color="72E3E0" w:themeColor="accent3" w:themeTint="99"/>
        <w:bottom w:val="single" w:sz="4" w:space="0" w:color="72E3E0" w:themeColor="accent3" w:themeTint="99"/>
        <w:right w:val="single" w:sz="4" w:space="0" w:color="72E3E0" w:themeColor="accent3" w:themeTint="99"/>
        <w:insideH w:val="single" w:sz="4" w:space="0" w:color="72E3E0" w:themeColor="accent3" w:themeTint="99"/>
        <w:insideV w:val="single" w:sz="4" w:space="0" w:color="72E3E0"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0F5F4" w:themeFill="accent3" w:themeFillTint="33"/>
      </w:tcPr>
    </w:tblStylePr>
    <w:tblStylePr w:type="band1Horz">
      <w:tblPr/>
      <w:tcPr>
        <w:shd w:val="clear" w:color="auto" w:fill="D0F5F4" w:themeFill="accent3" w:themeFillTint="33"/>
      </w:tcPr>
    </w:tblStylePr>
    <w:tblStylePr w:type="neCell">
      <w:tblPr/>
      <w:tcPr>
        <w:tcBorders>
          <w:bottom w:val="single" w:sz="4" w:space="0" w:color="72E3E0" w:themeColor="accent3" w:themeTint="99"/>
        </w:tcBorders>
      </w:tcPr>
    </w:tblStylePr>
    <w:tblStylePr w:type="nwCell">
      <w:tblPr/>
      <w:tcPr>
        <w:tcBorders>
          <w:bottom w:val="single" w:sz="4" w:space="0" w:color="72E3E0" w:themeColor="accent3" w:themeTint="99"/>
        </w:tcBorders>
      </w:tcPr>
    </w:tblStylePr>
    <w:tblStylePr w:type="seCell">
      <w:tblPr/>
      <w:tcPr>
        <w:tcBorders>
          <w:top w:val="single" w:sz="4" w:space="0" w:color="72E3E0" w:themeColor="accent3" w:themeTint="99"/>
        </w:tcBorders>
      </w:tcPr>
    </w:tblStylePr>
    <w:tblStylePr w:type="swCell">
      <w:tblPr/>
      <w:tcPr>
        <w:tcBorders>
          <w:top w:val="single" w:sz="4" w:space="0" w:color="72E3E0" w:themeColor="accent3" w:themeTint="99"/>
        </w:tcBorders>
      </w:tcPr>
    </w:tblStylePr>
  </w:style>
  <w:style w:type="table" w:styleId="GridTable7ColourfulAccent4">
    <w:name w:val="Grid Table 7 Colorful Accent 4"/>
    <w:basedOn w:val="TableNormal"/>
    <w:uiPriority w:val="52"/>
    <w:rsid w:val="0090719C"/>
    <w:rPr>
      <w:color w:val="972F50" w:themeColor="accent4" w:themeShade="BF"/>
    </w:rPr>
    <w:tblPr>
      <w:tblStyleRowBandSize w:val="1"/>
      <w:tblStyleColBandSize w:val="1"/>
      <w:tblBorders>
        <w:top w:val="single" w:sz="4" w:space="0" w:color="DC8EA7" w:themeColor="accent4" w:themeTint="99"/>
        <w:left w:val="single" w:sz="4" w:space="0" w:color="DC8EA7" w:themeColor="accent4" w:themeTint="99"/>
        <w:bottom w:val="single" w:sz="4" w:space="0" w:color="DC8EA7" w:themeColor="accent4" w:themeTint="99"/>
        <w:right w:val="single" w:sz="4" w:space="0" w:color="DC8EA7" w:themeColor="accent4" w:themeTint="99"/>
        <w:insideH w:val="single" w:sz="4" w:space="0" w:color="DC8EA7" w:themeColor="accent4" w:themeTint="99"/>
        <w:insideV w:val="single" w:sz="4" w:space="0" w:color="DC8EA7"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3D9E1" w:themeFill="accent4" w:themeFillTint="33"/>
      </w:tcPr>
    </w:tblStylePr>
    <w:tblStylePr w:type="band1Horz">
      <w:tblPr/>
      <w:tcPr>
        <w:shd w:val="clear" w:color="auto" w:fill="F3D9E1" w:themeFill="accent4" w:themeFillTint="33"/>
      </w:tcPr>
    </w:tblStylePr>
    <w:tblStylePr w:type="neCell">
      <w:tblPr/>
      <w:tcPr>
        <w:tcBorders>
          <w:bottom w:val="single" w:sz="4" w:space="0" w:color="DC8EA7" w:themeColor="accent4" w:themeTint="99"/>
        </w:tcBorders>
      </w:tcPr>
    </w:tblStylePr>
    <w:tblStylePr w:type="nwCell">
      <w:tblPr/>
      <w:tcPr>
        <w:tcBorders>
          <w:bottom w:val="single" w:sz="4" w:space="0" w:color="DC8EA7" w:themeColor="accent4" w:themeTint="99"/>
        </w:tcBorders>
      </w:tcPr>
    </w:tblStylePr>
    <w:tblStylePr w:type="seCell">
      <w:tblPr/>
      <w:tcPr>
        <w:tcBorders>
          <w:top w:val="single" w:sz="4" w:space="0" w:color="DC8EA7" w:themeColor="accent4" w:themeTint="99"/>
        </w:tcBorders>
      </w:tcPr>
    </w:tblStylePr>
    <w:tblStylePr w:type="swCell">
      <w:tblPr/>
      <w:tcPr>
        <w:tcBorders>
          <w:top w:val="single" w:sz="4" w:space="0" w:color="DC8EA7" w:themeColor="accent4" w:themeTint="99"/>
        </w:tcBorders>
      </w:tcPr>
    </w:tblStylePr>
  </w:style>
  <w:style w:type="table" w:styleId="GridTable7ColourfulAccent5">
    <w:name w:val="Grid Table 7 Colorful Accent 5"/>
    <w:basedOn w:val="TableNormal"/>
    <w:uiPriority w:val="52"/>
    <w:rsid w:val="0090719C"/>
    <w:rPr>
      <w:color w:val="081720" w:themeColor="accent5" w:themeShade="BF"/>
    </w:rPr>
    <w:tblPr>
      <w:tblStyleRowBandSize w:val="1"/>
      <w:tblStyleColBandSize w:val="1"/>
      <w:tblBorders>
        <w:top w:val="single" w:sz="4" w:space="0" w:color="2F85BD" w:themeColor="accent5" w:themeTint="99"/>
        <w:left w:val="single" w:sz="4" w:space="0" w:color="2F85BD" w:themeColor="accent5" w:themeTint="99"/>
        <w:bottom w:val="single" w:sz="4" w:space="0" w:color="2F85BD" w:themeColor="accent5" w:themeTint="99"/>
        <w:right w:val="single" w:sz="4" w:space="0" w:color="2F85BD" w:themeColor="accent5" w:themeTint="99"/>
        <w:insideH w:val="single" w:sz="4" w:space="0" w:color="2F85BD" w:themeColor="accent5" w:themeTint="99"/>
        <w:insideV w:val="single" w:sz="4" w:space="0" w:color="2F85BD"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6D7EC" w:themeFill="accent5" w:themeFillTint="33"/>
      </w:tcPr>
    </w:tblStylePr>
    <w:tblStylePr w:type="band1Horz">
      <w:tblPr/>
      <w:tcPr>
        <w:shd w:val="clear" w:color="auto" w:fill="B6D7EC" w:themeFill="accent5" w:themeFillTint="33"/>
      </w:tcPr>
    </w:tblStylePr>
    <w:tblStylePr w:type="neCell">
      <w:tblPr/>
      <w:tcPr>
        <w:tcBorders>
          <w:bottom w:val="single" w:sz="4" w:space="0" w:color="2F85BD" w:themeColor="accent5" w:themeTint="99"/>
        </w:tcBorders>
      </w:tcPr>
    </w:tblStylePr>
    <w:tblStylePr w:type="nwCell">
      <w:tblPr/>
      <w:tcPr>
        <w:tcBorders>
          <w:bottom w:val="single" w:sz="4" w:space="0" w:color="2F85BD" w:themeColor="accent5" w:themeTint="99"/>
        </w:tcBorders>
      </w:tcPr>
    </w:tblStylePr>
    <w:tblStylePr w:type="seCell">
      <w:tblPr/>
      <w:tcPr>
        <w:tcBorders>
          <w:top w:val="single" w:sz="4" w:space="0" w:color="2F85BD" w:themeColor="accent5" w:themeTint="99"/>
        </w:tcBorders>
      </w:tcPr>
    </w:tblStylePr>
    <w:tblStylePr w:type="swCell">
      <w:tblPr/>
      <w:tcPr>
        <w:tcBorders>
          <w:top w:val="single" w:sz="4" w:space="0" w:color="2F85BD" w:themeColor="accent5" w:themeTint="99"/>
        </w:tcBorders>
      </w:tcPr>
    </w:tblStylePr>
  </w:style>
  <w:style w:type="table" w:styleId="GridTable7ColourfulAccent6">
    <w:name w:val="Grid Table 7 Colorful Accent 6"/>
    <w:basedOn w:val="TableNormal"/>
    <w:uiPriority w:val="52"/>
    <w:rsid w:val="0090719C"/>
    <w:rPr>
      <w:color w:val="6B6B6B" w:themeColor="accent6" w:themeShade="BF"/>
    </w:rPr>
    <w:tblPr>
      <w:tblStyleRowBandSize w:val="1"/>
      <w:tblStyleColBandSize w:val="1"/>
      <w:tblBorders>
        <w:top w:val="single" w:sz="4" w:space="0" w:color="BCBCBC" w:themeColor="accent6" w:themeTint="99"/>
        <w:left w:val="single" w:sz="4" w:space="0" w:color="BCBCBC" w:themeColor="accent6" w:themeTint="99"/>
        <w:bottom w:val="single" w:sz="4" w:space="0" w:color="BCBCBC" w:themeColor="accent6" w:themeTint="99"/>
        <w:right w:val="single" w:sz="4" w:space="0" w:color="BCBCBC" w:themeColor="accent6" w:themeTint="99"/>
        <w:insideH w:val="single" w:sz="4" w:space="0" w:color="BCBCBC" w:themeColor="accent6" w:themeTint="99"/>
        <w:insideV w:val="single" w:sz="4" w:space="0" w:color="BCBCBC"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8E8E8" w:themeFill="accent6" w:themeFillTint="33"/>
      </w:tcPr>
    </w:tblStylePr>
    <w:tblStylePr w:type="band1Horz">
      <w:tblPr/>
      <w:tcPr>
        <w:shd w:val="clear" w:color="auto" w:fill="E8E8E8" w:themeFill="accent6" w:themeFillTint="33"/>
      </w:tcPr>
    </w:tblStylePr>
    <w:tblStylePr w:type="neCell">
      <w:tblPr/>
      <w:tcPr>
        <w:tcBorders>
          <w:bottom w:val="single" w:sz="4" w:space="0" w:color="BCBCBC" w:themeColor="accent6" w:themeTint="99"/>
        </w:tcBorders>
      </w:tcPr>
    </w:tblStylePr>
    <w:tblStylePr w:type="nwCell">
      <w:tblPr/>
      <w:tcPr>
        <w:tcBorders>
          <w:bottom w:val="single" w:sz="4" w:space="0" w:color="BCBCBC" w:themeColor="accent6" w:themeTint="99"/>
        </w:tcBorders>
      </w:tcPr>
    </w:tblStylePr>
    <w:tblStylePr w:type="seCell">
      <w:tblPr/>
      <w:tcPr>
        <w:tcBorders>
          <w:top w:val="single" w:sz="4" w:space="0" w:color="BCBCBC" w:themeColor="accent6" w:themeTint="99"/>
        </w:tcBorders>
      </w:tcPr>
    </w:tblStylePr>
    <w:tblStylePr w:type="swCell">
      <w:tblPr/>
      <w:tcPr>
        <w:tcBorders>
          <w:top w:val="single" w:sz="4" w:space="0" w:color="BCBCBC" w:themeColor="accent6" w:themeTint="99"/>
        </w:tcBorders>
      </w:tcPr>
    </w:tblStylePr>
  </w:style>
  <w:style w:type="character" w:styleId="Hashtag">
    <w:name w:val="Hashtag"/>
    <w:basedOn w:val="DefaultParagraphFont"/>
    <w:uiPriority w:val="99"/>
    <w:semiHidden/>
    <w:unhideWhenUsed/>
    <w:rsid w:val="0090719C"/>
    <w:rPr>
      <w:color w:val="2B579A"/>
      <w:shd w:val="clear" w:color="auto" w:fill="E1DFDD"/>
      <w:lang w:val="en-GB"/>
    </w:rPr>
  </w:style>
  <w:style w:type="character" w:customStyle="1" w:styleId="Heading4Char">
    <w:name w:val="Heading 4 Char"/>
    <w:aliases w:val="Sub-subheading Char"/>
    <w:basedOn w:val="DefaultParagraphFont"/>
    <w:link w:val="Heading4"/>
    <w:uiPriority w:val="9"/>
    <w:rsid w:val="00AA73EE"/>
    <w:rPr>
      <w:rFonts w:asciiTheme="majorHAnsi" w:eastAsiaTheme="majorEastAsia" w:hAnsiTheme="majorHAnsi" w:cstheme="majorBidi"/>
      <w:iCs/>
      <w:color w:val="C5446E" w:themeColor="accent4"/>
      <w:lang w:val="en-GB"/>
    </w:rPr>
  </w:style>
  <w:style w:type="character" w:customStyle="1" w:styleId="Heading5Char">
    <w:name w:val="Heading 5 Char"/>
    <w:basedOn w:val="DefaultParagraphFont"/>
    <w:link w:val="Heading5"/>
    <w:uiPriority w:val="10"/>
    <w:semiHidden/>
    <w:rsid w:val="00986145"/>
    <w:rPr>
      <w:rFonts w:asciiTheme="majorHAnsi" w:eastAsiaTheme="majorEastAsia" w:hAnsiTheme="majorHAnsi" w:cstheme="majorBidi"/>
      <w:color w:val="009FE3"/>
      <w:sz w:val="32"/>
    </w:rPr>
  </w:style>
  <w:style w:type="character" w:customStyle="1" w:styleId="Heading6Char">
    <w:name w:val="Heading 6 Char"/>
    <w:basedOn w:val="DefaultParagraphFont"/>
    <w:link w:val="Heading6"/>
    <w:uiPriority w:val="9"/>
    <w:semiHidden/>
    <w:rsid w:val="0090719C"/>
    <w:rPr>
      <w:rFonts w:asciiTheme="majorHAnsi" w:eastAsiaTheme="majorEastAsia" w:hAnsiTheme="majorHAnsi" w:cstheme="majorBidi"/>
      <w:color w:val="004E71" w:themeColor="accent1" w:themeShade="7F"/>
      <w:lang w:val="en-GB"/>
    </w:rPr>
  </w:style>
  <w:style w:type="character" w:customStyle="1" w:styleId="Heading7Char">
    <w:name w:val="Heading 7 Char"/>
    <w:basedOn w:val="DefaultParagraphFont"/>
    <w:link w:val="Heading7"/>
    <w:uiPriority w:val="9"/>
    <w:semiHidden/>
    <w:rsid w:val="0090719C"/>
    <w:rPr>
      <w:rFonts w:asciiTheme="majorHAnsi" w:eastAsiaTheme="majorEastAsia" w:hAnsiTheme="majorHAnsi" w:cstheme="majorBidi"/>
      <w:i/>
      <w:iCs/>
      <w:color w:val="004E71" w:themeColor="accent1" w:themeShade="7F"/>
      <w:lang w:val="en-GB"/>
    </w:rPr>
  </w:style>
  <w:style w:type="character" w:customStyle="1" w:styleId="Heading8Char">
    <w:name w:val="Heading 8 Char"/>
    <w:basedOn w:val="DefaultParagraphFont"/>
    <w:link w:val="Heading8"/>
    <w:uiPriority w:val="9"/>
    <w:semiHidden/>
    <w:rsid w:val="0090719C"/>
    <w:rPr>
      <w:rFonts w:asciiTheme="majorHAnsi" w:eastAsiaTheme="majorEastAsia" w:hAnsiTheme="majorHAnsi" w:cstheme="majorBidi"/>
      <w:color w:val="194563" w:themeColor="text1" w:themeTint="D8"/>
      <w:sz w:val="21"/>
      <w:szCs w:val="21"/>
      <w:lang w:val="en-GB"/>
    </w:rPr>
  </w:style>
  <w:style w:type="character" w:customStyle="1" w:styleId="Heading9Char">
    <w:name w:val="Heading 9 Char"/>
    <w:basedOn w:val="DefaultParagraphFont"/>
    <w:link w:val="Heading9"/>
    <w:uiPriority w:val="9"/>
    <w:semiHidden/>
    <w:rsid w:val="00E0544D"/>
    <w:rPr>
      <w:rFonts w:asciiTheme="majorHAnsi" w:eastAsiaTheme="majorEastAsia" w:hAnsiTheme="majorHAnsi" w:cstheme="majorBidi"/>
      <w:i/>
      <w:iCs/>
      <w:color w:val="194563" w:themeColor="text1" w:themeTint="D8"/>
      <w:sz w:val="21"/>
      <w:szCs w:val="21"/>
      <w:lang w:val="en-GB"/>
    </w:rPr>
  </w:style>
  <w:style w:type="character" w:styleId="HTMLAcronym">
    <w:name w:val="HTML Acronym"/>
    <w:basedOn w:val="DefaultParagraphFont"/>
    <w:uiPriority w:val="99"/>
    <w:semiHidden/>
    <w:unhideWhenUsed/>
    <w:rsid w:val="0090719C"/>
    <w:rPr>
      <w:lang w:val="en-GB"/>
    </w:rPr>
  </w:style>
  <w:style w:type="paragraph" w:styleId="HTMLAddress">
    <w:name w:val="HTML Address"/>
    <w:basedOn w:val="Normal"/>
    <w:link w:val="HTMLAddressChar"/>
    <w:uiPriority w:val="99"/>
    <w:semiHidden/>
    <w:unhideWhenUsed/>
    <w:rsid w:val="0090719C"/>
    <w:rPr>
      <w:i/>
      <w:iCs/>
    </w:rPr>
  </w:style>
  <w:style w:type="character" w:customStyle="1" w:styleId="HTMLAddressChar">
    <w:name w:val="HTML Address Char"/>
    <w:basedOn w:val="DefaultParagraphFont"/>
    <w:link w:val="HTMLAddress"/>
    <w:uiPriority w:val="99"/>
    <w:semiHidden/>
    <w:rsid w:val="0090719C"/>
    <w:rPr>
      <w:rFonts w:ascii="Arial" w:eastAsia="Arial" w:hAnsi="Arial" w:cs="Arial"/>
      <w:i/>
      <w:iCs/>
      <w:lang w:val="en-GB"/>
    </w:rPr>
  </w:style>
  <w:style w:type="character" w:styleId="HTMLCite">
    <w:name w:val="HTML Cite"/>
    <w:basedOn w:val="DefaultParagraphFont"/>
    <w:uiPriority w:val="99"/>
    <w:semiHidden/>
    <w:unhideWhenUsed/>
    <w:rsid w:val="0090719C"/>
    <w:rPr>
      <w:i/>
      <w:iCs/>
      <w:lang w:val="en-GB"/>
    </w:rPr>
  </w:style>
  <w:style w:type="character" w:styleId="HTMLCode">
    <w:name w:val="HTML Code"/>
    <w:basedOn w:val="DefaultParagraphFont"/>
    <w:uiPriority w:val="99"/>
    <w:semiHidden/>
    <w:unhideWhenUsed/>
    <w:rsid w:val="0090719C"/>
    <w:rPr>
      <w:rFonts w:ascii="Consolas" w:hAnsi="Consolas"/>
      <w:sz w:val="20"/>
      <w:szCs w:val="20"/>
      <w:lang w:val="en-GB"/>
    </w:rPr>
  </w:style>
  <w:style w:type="character" w:styleId="HTMLDefinition">
    <w:name w:val="HTML Definition"/>
    <w:basedOn w:val="DefaultParagraphFont"/>
    <w:uiPriority w:val="99"/>
    <w:semiHidden/>
    <w:unhideWhenUsed/>
    <w:rsid w:val="0090719C"/>
    <w:rPr>
      <w:i/>
      <w:iCs/>
      <w:lang w:val="en-GB"/>
    </w:rPr>
  </w:style>
  <w:style w:type="character" w:styleId="HTMLKeyboard">
    <w:name w:val="HTML Keyboard"/>
    <w:basedOn w:val="DefaultParagraphFont"/>
    <w:uiPriority w:val="99"/>
    <w:semiHidden/>
    <w:unhideWhenUsed/>
    <w:rsid w:val="0090719C"/>
    <w:rPr>
      <w:rFonts w:ascii="Consolas" w:hAnsi="Consolas"/>
      <w:sz w:val="20"/>
      <w:szCs w:val="20"/>
      <w:lang w:val="en-GB"/>
    </w:rPr>
  </w:style>
  <w:style w:type="paragraph" w:styleId="HTMLPreformatted">
    <w:name w:val="HTML Preformatted"/>
    <w:basedOn w:val="Normal"/>
    <w:link w:val="HTMLPreformattedChar"/>
    <w:uiPriority w:val="99"/>
    <w:semiHidden/>
    <w:unhideWhenUsed/>
    <w:rsid w:val="0090719C"/>
    <w:rPr>
      <w:rFonts w:ascii="Consolas" w:hAnsi="Consolas"/>
    </w:rPr>
  </w:style>
  <w:style w:type="character" w:customStyle="1" w:styleId="HTMLPreformattedChar">
    <w:name w:val="HTML Preformatted Char"/>
    <w:basedOn w:val="DefaultParagraphFont"/>
    <w:link w:val="HTMLPreformatted"/>
    <w:uiPriority w:val="99"/>
    <w:semiHidden/>
    <w:rsid w:val="0090719C"/>
    <w:rPr>
      <w:rFonts w:ascii="Consolas" w:eastAsia="Arial" w:hAnsi="Consolas" w:cs="Arial"/>
      <w:sz w:val="20"/>
      <w:szCs w:val="20"/>
      <w:lang w:val="en-GB"/>
    </w:rPr>
  </w:style>
  <w:style w:type="character" w:styleId="HTMLSample">
    <w:name w:val="HTML Sample"/>
    <w:basedOn w:val="DefaultParagraphFont"/>
    <w:uiPriority w:val="99"/>
    <w:semiHidden/>
    <w:unhideWhenUsed/>
    <w:rsid w:val="0090719C"/>
    <w:rPr>
      <w:rFonts w:ascii="Consolas" w:hAnsi="Consolas"/>
      <w:sz w:val="24"/>
      <w:szCs w:val="24"/>
      <w:lang w:val="en-GB"/>
    </w:rPr>
  </w:style>
  <w:style w:type="character" w:styleId="HTMLTypewriter">
    <w:name w:val="HTML Typewriter"/>
    <w:basedOn w:val="DefaultParagraphFont"/>
    <w:uiPriority w:val="99"/>
    <w:semiHidden/>
    <w:unhideWhenUsed/>
    <w:rsid w:val="0090719C"/>
    <w:rPr>
      <w:rFonts w:ascii="Consolas" w:hAnsi="Consolas"/>
      <w:sz w:val="20"/>
      <w:szCs w:val="20"/>
      <w:lang w:val="en-GB"/>
    </w:rPr>
  </w:style>
  <w:style w:type="character" w:styleId="HTMLVariable">
    <w:name w:val="HTML Variable"/>
    <w:basedOn w:val="DefaultParagraphFont"/>
    <w:uiPriority w:val="99"/>
    <w:semiHidden/>
    <w:unhideWhenUsed/>
    <w:rsid w:val="0090719C"/>
    <w:rPr>
      <w:i/>
      <w:iCs/>
      <w:lang w:val="en-GB"/>
    </w:rPr>
  </w:style>
  <w:style w:type="paragraph" w:styleId="Index1">
    <w:name w:val="index 1"/>
    <w:basedOn w:val="Normal"/>
    <w:next w:val="Normal"/>
    <w:autoRedefine/>
    <w:uiPriority w:val="99"/>
    <w:semiHidden/>
    <w:unhideWhenUsed/>
    <w:rsid w:val="0090719C"/>
    <w:pPr>
      <w:ind w:left="220" w:hanging="220"/>
    </w:pPr>
  </w:style>
  <w:style w:type="paragraph" w:styleId="Index2">
    <w:name w:val="index 2"/>
    <w:basedOn w:val="Normal"/>
    <w:next w:val="Normal"/>
    <w:autoRedefine/>
    <w:uiPriority w:val="99"/>
    <w:semiHidden/>
    <w:unhideWhenUsed/>
    <w:rsid w:val="0090719C"/>
    <w:pPr>
      <w:ind w:left="440" w:hanging="220"/>
    </w:pPr>
  </w:style>
  <w:style w:type="paragraph" w:styleId="Index3">
    <w:name w:val="index 3"/>
    <w:basedOn w:val="Normal"/>
    <w:next w:val="Normal"/>
    <w:autoRedefine/>
    <w:uiPriority w:val="99"/>
    <w:semiHidden/>
    <w:unhideWhenUsed/>
    <w:rsid w:val="0090719C"/>
    <w:pPr>
      <w:ind w:left="660" w:hanging="220"/>
    </w:pPr>
  </w:style>
  <w:style w:type="paragraph" w:styleId="Index4">
    <w:name w:val="index 4"/>
    <w:basedOn w:val="Normal"/>
    <w:next w:val="Normal"/>
    <w:autoRedefine/>
    <w:uiPriority w:val="99"/>
    <w:semiHidden/>
    <w:unhideWhenUsed/>
    <w:rsid w:val="0090719C"/>
    <w:pPr>
      <w:ind w:left="880" w:hanging="220"/>
    </w:pPr>
  </w:style>
  <w:style w:type="paragraph" w:styleId="Index5">
    <w:name w:val="index 5"/>
    <w:basedOn w:val="Normal"/>
    <w:next w:val="Normal"/>
    <w:autoRedefine/>
    <w:uiPriority w:val="99"/>
    <w:semiHidden/>
    <w:unhideWhenUsed/>
    <w:rsid w:val="0090719C"/>
    <w:pPr>
      <w:ind w:left="1100" w:hanging="220"/>
    </w:pPr>
  </w:style>
  <w:style w:type="paragraph" w:styleId="Index6">
    <w:name w:val="index 6"/>
    <w:basedOn w:val="Normal"/>
    <w:next w:val="Normal"/>
    <w:autoRedefine/>
    <w:uiPriority w:val="99"/>
    <w:semiHidden/>
    <w:unhideWhenUsed/>
    <w:rsid w:val="0090719C"/>
    <w:pPr>
      <w:ind w:left="1320" w:hanging="220"/>
    </w:pPr>
  </w:style>
  <w:style w:type="paragraph" w:styleId="Index7">
    <w:name w:val="index 7"/>
    <w:basedOn w:val="Normal"/>
    <w:next w:val="Normal"/>
    <w:autoRedefine/>
    <w:uiPriority w:val="99"/>
    <w:semiHidden/>
    <w:unhideWhenUsed/>
    <w:rsid w:val="0090719C"/>
    <w:pPr>
      <w:ind w:left="1540" w:hanging="220"/>
    </w:pPr>
  </w:style>
  <w:style w:type="paragraph" w:styleId="Index8">
    <w:name w:val="index 8"/>
    <w:basedOn w:val="Normal"/>
    <w:next w:val="Normal"/>
    <w:autoRedefine/>
    <w:uiPriority w:val="99"/>
    <w:semiHidden/>
    <w:unhideWhenUsed/>
    <w:rsid w:val="0090719C"/>
    <w:pPr>
      <w:ind w:left="1760" w:hanging="220"/>
    </w:pPr>
  </w:style>
  <w:style w:type="paragraph" w:styleId="Index9">
    <w:name w:val="index 9"/>
    <w:basedOn w:val="Normal"/>
    <w:next w:val="Normal"/>
    <w:autoRedefine/>
    <w:uiPriority w:val="99"/>
    <w:semiHidden/>
    <w:unhideWhenUsed/>
    <w:rsid w:val="0090719C"/>
    <w:pPr>
      <w:ind w:left="1980" w:hanging="220"/>
    </w:pPr>
  </w:style>
  <w:style w:type="paragraph" w:styleId="IndexHeading">
    <w:name w:val="index heading"/>
    <w:basedOn w:val="Normal"/>
    <w:next w:val="Index1"/>
    <w:uiPriority w:val="99"/>
    <w:semiHidden/>
    <w:unhideWhenUsed/>
    <w:rsid w:val="0090719C"/>
    <w:rPr>
      <w:rFonts w:asciiTheme="majorHAnsi" w:eastAsiaTheme="majorEastAsia" w:hAnsiTheme="majorHAnsi" w:cstheme="majorBidi"/>
      <w:b/>
      <w:bCs/>
    </w:rPr>
  </w:style>
  <w:style w:type="character" w:styleId="IntenseEmphasis">
    <w:name w:val="Intense Emphasis"/>
    <w:basedOn w:val="DefaultParagraphFont"/>
    <w:uiPriority w:val="21"/>
    <w:semiHidden/>
    <w:qFormat/>
    <w:rsid w:val="0090719C"/>
    <w:rPr>
      <w:i/>
      <w:iCs/>
      <w:color w:val="009FE3" w:themeColor="accent1"/>
      <w:lang w:val="en-GB"/>
    </w:rPr>
  </w:style>
  <w:style w:type="paragraph" w:styleId="IntenseQuote">
    <w:name w:val="Intense Quote"/>
    <w:basedOn w:val="Normal"/>
    <w:next w:val="Normal"/>
    <w:link w:val="IntenseQuoteChar"/>
    <w:uiPriority w:val="30"/>
    <w:semiHidden/>
    <w:qFormat/>
    <w:rsid w:val="0090719C"/>
    <w:pPr>
      <w:pBdr>
        <w:top w:val="single" w:sz="4" w:space="10" w:color="009FE3" w:themeColor="accent1"/>
        <w:bottom w:val="single" w:sz="4" w:space="10" w:color="009FE3" w:themeColor="accent1"/>
      </w:pBdr>
      <w:spacing w:before="360"/>
      <w:ind w:left="864" w:right="864"/>
      <w:jc w:val="center"/>
    </w:pPr>
    <w:rPr>
      <w:i/>
      <w:iCs/>
      <w:color w:val="009FE3" w:themeColor="accent1"/>
    </w:rPr>
  </w:style>
  <w:style w:type="character" w:customStyle="1" w:styleId="IntenseQuoteChar">
    <w:name w:val="Intense Quote Char"/>
    <w:basedOn w:val="DefaultParagraphFont"/>
    <w:link w:val="IntenseQuote"/>
    <w:uiPriority w:val="30"/>
    <w:semiHidden/>
    <w:rsid w:val="00A6495F"/>
    <w:rPr>
      <w:rFonts w:ascii="Arial" w:eastAsia="Arial" w:hAnsi="Arial" w:cs="Arial"/>
      <w:i/>
      <w:iCs/>
      <w:color w:val="009FE3" w:themeColor="accent1"/>
      <w:lang w:val="en-GB"/>
    </w:rPr>
  </w:style>
  <w:style w:type="character" w:styleId="IntenseReference">
    <w:name w:val="Intense Reference"/>
    <w:basedOn w:val="DefaultParagraphFont"/>
    <w:uiPriority w:val="32"/>
    <w:semiHidden/>
    <w:qFormat/>
    <w:rsid w:val="0090719C"/>
    <w:rPr>
      <w:b/>
      <w:bCs/>
      <w:smallCaps/>
      <w:color w:val="009FE3" w:themeColor="accent1"/>
      <w:spacing w:val="5"/>
      <w:lang w:val="en-GB"/>
    </w:rPr>
  </w:style>
  <w:style w:type="table" w:styleId="LightGrid">
    <w:name w:val="Light Grid"/>
    <w:basedOn w:val="TableNormal"/>
    <w:uiPriority w:val="62"/>
    <w:semiHidden/>
    <w:unhideWhenUsed/>
    <w:rsid w:val="0090719C"/>
    <w:tblPr>
      <w:tblStyleRowBandSize w:val="1"/>
      <w:tblStyleColBandSize w:val="1"/>
      <w:tblBorders>
        <w:top w:val="single" w:sz="8" w:space="0" w:color="0B1F2C" w:themeColor="text1"/>
        <w:left w:val="single" w:sz="8" w:space="0" w:color="0B1F2C" w:themeColor="text1"/>
        <w:bottom w:val="single" w:sz="8" w:space="0" w:color="0B1F2C" w:themeColor="text1"/>
        <w:right w:val="single" w:sz="8" w:space="0" w:color="0B1F2C" w:themeColor="text1"/>
        <w:insideH w:val="single" w:sz="8" w:space="0" w:color="0B1F2C" w:themeColor="text1"/>
        <w:insideV w:val="single" w:sz="8" w:space="0" w:color="0B1F2C"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B1F2C" w:themeColor="text1"/>
          <w:left w:val="single" w:sz="8" w:space="0" w:color="0B1F2C" w:themeColor="text1"/>
          <w:bottom w:val="single" w:sz="18" w:space="0" w:color="0B1F2C" w:themeColor="text1"/>
          <w:right w:val="single" w:sz="8" w:space="0" w:color="0B1F2C" w:themeColor="text1"/>
          <w:insideH w:val="nil"/>
          <w:insideV w:val="single" w:sz="8" w:space="0" w:color="0B1F2C"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B1F2C" w:themeColor="text1"/>
          <w:left w:val="single" w:sz="8" w:space="0" w:color="0B1F2C" w:themeColor="text1"/>
          <w:bottom w:val="single" w:sz="8" w:space="0" w:color="0B1F2C" w:themeColor="text1"/>
          <w:right w:val="single" w:sz="8" w:space="0" w:color="0B1F2C" w:themeColor="text1"/>
          <w:insideH w:val="nil"/>
          <w:insideV w:val="single" w:sz="8" w:space="0" w:color="0B1F2C"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B1F2C" w:themeColor="text1"/>
          <w:left w:val="single" w:sz="8" w:space="0" w:color="0B1F2C" w:themeColor="text1"/>
          <w:bottom w:val="single" w:sz="8" w:space="0" w:color="0B1F2C" w:themeColor="text1"/>
          <w:right w:val="single" w:sz="8" w:space="0" w:color="0B1F2C" w:themeColor="text1"/>
        </w:tcBorders>
      </w:tcPr>
    </w:tblStylePr>
    <w:tblStylePr w:type="band1Vert">
      <w:tblPr/>
      <w:tcPr>
        <w:tcBorders>
          <w:top w:val="single" w:sz="8" w:space="0" w:color="0B1F2C" w:themeColor="text1"/>
          <w:left w:val="single" w:sz="8" w:space="0" w:color="0B1F2C" w:themeColor="text1"/>
          <w:bottom w:val="single" w:sz="8" w:space="0" w:color="0B1F2C" w:themeColor="text1"/>
          <w:right w:val="single" w:sz="8" w:space="0" w:color="0B1F2C" w:themeColor="text1"/>
        </w:tcBorders>
        <w:shd w:val="clear" w:color="auto" w:fill="A4CDE8" w:themeFill="text1" w:themeFillTint="3F"/>
      </w:tcPr>
    </w:tblStylePr>
    <w:tblStylePr w:type="band1Horz">
      <w:tblPr/>
      <w:tcPr>
        <w:tcBorders>
          <w:top w:val="single" w:sz="8" w:space="0" w:color="0B1F2C" w:themeColor="text1"/>
          <w:left w:val="single" w:sz="8" w:space="0" w:color="0B1F2C" w:themeColor="text1"/>
          <w:bottom w:val="single" w:sz="8" w:space="0" w:color="0B1F2C" w:themeColor="text1"/>
          <w:right w:val="single" w:sz="8" w:space="0" w:color="0B1F2C" w:themeColor="text1"/>
          <w:insideV w:val="single" w:sz="8" w:space="0" w:color="0B1F2C" w:themeColor="text1"/>
        </w:tcBorders>
        <w:shd w:val="clear" w:color="auto" w:fill="A4CDE8" w:themeFill="text1" w:themeFillTint="3F"/>
      </w:tcPr>
    </w:tblStylePr>
    <w:tblStylePr w:type="band2Horz">
      <w:tblPr/>
      <w:tcPr>
        <w:tcBorders>
          <w:top w:val="single" w:sz="8" w:space="0" w:color="0B1F2C" w:themeColor="text1"/>
          <w:left w:val="single" w:sz="8" w:space="0" w:color="0B1F2C" w:themeColor="text1"/>
          <w:bottom w:val="single" w:sz="8" w:space="0" w:color="0B1F2C" w:themeColor="text1"/>
          <w:right w:val="single" w:sz="8" w:space="0" w:color="0B1F2C" w:themeColor="text1"/>
          <w:insideV w:val="single" w:sz="8" w:space="0" w:color="0B1F2C" w:themeColor="text1"/>
        </w:tcBorders>
      </w:tcPr>
    </w:tblStylePr>
  </w:style>
  <w:style w:type="table" w:styleId="LightGrid-Accent1">
    <w:name w:val="Light Grid Accent 1"/>
    <w:basedOn w:val="TableNormal"/>
    <w:uiPriority w:val="62"/>
    <w:semiHidden/>
    <w:unhideWhenUsed/>
    <w:rsid w:val="0090719C"/>
    <w:tblPr>
      <w:tblStyleRowBandSize w:val="1"/>
      <w:tblStyleColBandSize w:val="1"/>
      <w:tblBorders>
        <w:top w:val="single" w:sz="8" w:space="0" w:color="009FE3" w:themeColor="accent1"/>
        <w:left w:val="single" w:sz="8" w:space="0" w:color="009FE3" w:themeColor="accent1"/>
        <w:bottom w:val="single" w:sz="8" w:space="0" w:color="009FE3" w:themeColor="accent1"/>
        <w:right w:val="single" w:sz="8" w:space="0" w:color="009FE3" w:themeColor="accent1"/>
        <w:insideH w:val="single" w:sz="8" w:space="0" w:color="009FE3" w:themeColor="accent1"/>
        <w:insideV w:val="single" w:sz="8" w:space="0" w:color="009FE3"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9FE3" w:themeColor="accent1"/>
          <w:left w:val="single" w:sz="8" w:space="0" w:color="009FE3" w:themeColor="accent1"/>
          <w:bottom w:val="single" w:sz="18" w:space="0" w:color="009FE3" w:themeColor="accent1"/>
          <w:right w:val="single" w:sz="8" w:space="0" w:color="009FE3" w:themeColor="accent1"/>
          <w:insideH w:val="nil"/>
          <w:insideV w:val="single" w:sz="8" w:space="0" w:color="009FE3"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9FE3" w:themeColor="accent1"/>
          <w:left w:val="single" w:sz="8" w:space="0" w:color="009FE3" w:themeColor="accent1"/>
          <w:bottom w:val="single" w:sz="8" w:space="0" w:color="009FE3" w:themeColor="accent1"/>
          <w:right w:val="single" w:sz="8" w:space="0" w:color="009FE3" w:themeColor="accent1"/>
          <w:insideH w:val="nil"/>
          <w:insideV w:val="single" w:sz="8" w:space="0" w:color="009FE3"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9FE3" w:themeColor="accent1"/>
          <w:left w:val="single" w:sz="8" w:space="0" w:color="009FE3" w:themeColor="accent1"/>
          <w:bottom w:val="single" w:sz="8" w:space="0" w:color="009FE3" w:themeColor="accent1"/>
          <w:right w:val="single" w:sz="8" w:space="0" w:color="009FE3" w:themeColor="accent1"/>
        </w:tcBorders>
      </w:tcPr>
    </w:tblStylePr>
    <w:tblStylePr w:type="band1Vert">
      <w:tblPr/>
      <w:tcPr>
        <w:tcBorders>
          <w:top w:val="single" w:sz="8" w:space="0" w:color="009FE3" w:themeColor="accent1"/>
          <w:left w:val="single" w:sz="8" w:space="0" w:color="009FE3" w:themeColor="accent1"/>
          <w:bottom w:val="single" w:sz="8" w:space="0" w:color="009FE3" w:themeColor="accent1"/>
          <w:right w:val="single" w:sz="8" w:space="0" w:color="009FE3" w:themeColor="accent1"/>
        </w:tcBorders>
        <w:shd w:val="clear" w:color="auto" w:fill="B9E9FF" w:themeFill="accent1" w:themeFillTint="3F"/>
      </w:tcPr>
    </w:tblStylePr>
    <w:tblStylePr w:type="band1Horz">
      <w:tblPr/>
      <w:tcPr>
        <w:tcBorders>
          <w:top w:val="single" w:sz="8" w:space="0" w:color="009FE3" w:themeColor="accent1"/>
          <w:left w:val="single" w:sz="8" w:space="0" w:color="009FE3" w:themeColor="accent1"/>
          <w:bottom w:val="single" w:sz="8" w:space="0" w:color="009FE3" w:themeColor="accent1"/>
          <w:right w:val="single" w:sz="8" w:space="0" w:color="009FE3" w:themeColor="accent1"/>
          <w:insideV w:val="single" w:sz="8" w:space="0" w:color="009FE3" w:themeColor="accent1"/>
        </w:tcBorders>
        <w:shd w:val="clear" w:color="auto" w:fill="B9E9FF" w:themeFill="accent1" w:themeFillTint="3F"/>
      </w:tcPr>
    </w:tblStylePr>
    <w:tblStylePr w:type="band2Horz">
      <w:tblPr/>
      <w:tcPr>
        <w:tcBorders>
          <w:top w:val="single" w:sz="8" w:space="0" w:color="009FE3" w:themeColor="accent1"/>
          <w:left w:val="single" w:sz="8" w:space="0" w:color="009FE3" w:themeColor="accent1"/>
          <w:bottom w:val="single" w:sz="8" w:space="0" w:color="009FE3" w:themeColor="accent1"/>
          <w:right w:val="single" w:sz="8" w:space="0" w:color="009FE3" w:themeColor="accent1"/>
          <w:insideV w:val="single" w:sz="8" w:space="0" w:color="009FE3" w:themeColor="accent1"/>
        </w:tcBorders>
      </w:tcPr>
    </w:tblStylePr>
  </w:style>
  <w:style w:type="table" w:styleId="LightGrid-Accent2">
    <w:name w:val="Light Grid Accent 2"/>
    <w:basedOn w:val="TableNormal"/>
    <w:uiPriority w:val="62"/>
    <w:semiHidden/>
    <w:unhideWhenUsed/>
    <w:rsid w:val="0090719C"/>
    <w:tblPr>
      <w:tblStyleRowBandSize w:val="1"/>
      <w:tblStyleColBandSize w:val="1"/>
      <w:tblBorders>
        <w:top w:val="single" w:sz="8" w:space="0" w:color="800080" w:themeColor="accent2"/>
        <w:left w:val="single" w:sz="8" w:space="0" w:color="800080" w:themeColor="accent2"/>
        <w:bottom w:val="single" w:sz="8" w:space="0" w:color="800080" w:themeColor="accent2"/>
        <w:right w:val="single" w:sz="8" w:space="0" w:color="800080" w:themeColor="accent2"/>
        <w:insideH w:val="single" w:sz="8" w:space="0" w:color="800080" w:themeColor="accent2"/>
        <w:insideV w:val="single" w:sz="8" w:space="0" w:color="80008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0080" w:themeColor="accent2"/>
          <w:left w:val="single" w:sz="8" w:space="0" w:color="800080" w:themeColor="accent2"/>
          <w:bottom w:val="single" w:sz="18" w:space="0" w:color="800080" w:themeColor="accent2"/>
          <w:right w:val="single" w:sz="8" w:space="0" w:color="800080" w:themeColor="accent2"/>
          <w:insideH w:val="nil"/>
          <w:insideV w:val="single" w:sz="8" w:space="0" w:color="80008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0080" w:themeColor="accent2"/>
          <w:left w:val="single" w:sz="8" w:space="0" w:color="800080" w:themeColor="accent2"/>
          <w:bottom w:val="single" w:sz="8" w:space="0" w:color="800080" w:themeColor="accent2"/>
          <w:right w:val="single" w:sz="8" w:space="0" w:color="800080" w:themeColor="accent2"/>
          <w:insideH w:val="nil"/>
          <w:insideV w:val="single" w:sz="8" w:space="0" w:color="80008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0080" w:themeColor="accent2"/>
          <w:left w:val="single" w:sz="8" w:space="0" w:color="800080" w:themeColor="accent2"/>
          <w:bottom w:val="single" w:sz="8" w:space="0" w:color="800080" w:themeColor="accent2"/>
          <w:right w:val="single" w:sz="8" w:space="0" w:color="800080" w:themeColor="accent2"/>
        </w:tcBorders>
      </w:tcPr>
    </w:tblStylePr>
    <w:tblStylePr w:type="band1Vert">
      <w:tblPr/>
      <w:tcPr>
        <w:tcBorders>
          <w:top w:val="single" w:sz="8" w:space="0" w:color="800080" w:themeColor="accent2"/>
          <w:left w:val="single" w:sz="8" w:space="0" w:color="800080" w:themeColor="accent2"/>
          <w:bottom w:val="single" w:sz="8" w:space="0" w:color="800080" w:themeColor="accent2"/>
          <w:right w:val="single" w:sz="8" w:space="0" w:color="800080" w:themeColor="accent2"/>
        </w:tcBorders>
        <w:shd w:val="clear" w:color="auto" w:fill="FFA0FF" w:themeFill="accent2" w:themeFillTint="3F"/>
      </w:tcPr>
    </w:tblStylePr>
    <w:tblStylePr w:type="band1Horz">
      <w:tblPr/>
      <w:tcPr>
        <w:tcBorders>
          <w:top w:val="single" w:sz="8" w:space="0" w:color="800080" w:themeColor="accent2"/>
          <w:left w:val="single" w:sz="8" w:space="0" w:color="800080" w:themeColor="accent2"/>
          <w:bottom w:val="single" w:sz="8" w:space="0" w:color="800080" w:themeColor="accent2"/>
          <w:right w:val="single" w:sz="8" w:space="0" w:color="800080" w:themeColor="accent2"/>
          <w:insideV w:val="single" w:sz="8" w:space="0" w:color="800080" w:themeColor="accent2"/>
        </w:tcBorders>
        <w:shd w:val="clear" w:color="auto" w:fill="FFA0FF" w:themeFill="accent2" w:themeFillTint="3F"/>
      </w:tcPr>
    </w:tblStylePr>
    <w:tblStylePr w:type="band2Horz">
      <w:tblPr/>
      <w:tcPr>
        <w:tcBorders>
          <w:top w:val="single" w:sz="8" w:space="0" w:color="800080" w:themeColor="accent2"/>
          <w:left w:val="single" w:sz="8" w:space="0" w:color="800080" w:themeColor="accent2"/>
          <w:bottom w:val="single" w:sz="8" w:space="0" w:color="800080" w:themeColor="accent2"/>
          <w:right w:val="single" w:sz="8" w:space="0" w:color="800080" w:themeColor="accent2"/>
          <w:insideV w:val="single" w:sz="8" w:space="0" w:color="800080" w:themeColor="accent2"/>
        </w:tcBorders>
      </w:tcPr>
    </w:tblStylePr>
  </w:style>
  <w:style w:type="table" w:styleId="LightGrid-Accent3">
    <w:name w:val="Light Grid Accent 3"/>
    <w:basedOn w:val="TableNormal"/>
    <w:uiPriority w:val="62"/>
    <w:semiHidden/>
    <w:unhideWhenUsed/>
    <w:rsid w:val="0090719C"/>
    <w:tblPr>
      <w:tblStyleRowBandSize w:val="1"/>
      <w:tblStyleColBandSize w:val="1"/>
      <w:tblBorders>
        <w:top w:val="single" w:sz="8" w:space="0" w:color="26C0BC" w:themeColor="accent3"/>
        <w:left w:val="single" w:sz="8" w:space="0" w:color="26C0BC" w:themeColor="accent3"/>
        <w:bottom w:val="single" w:sz="8" w:space="0" w:color="26C0BC" w:themeColor="accent3"/>
        <w:right w:val="single" w:sz="8" w:space="0" w:color="26C0BC" w:themeColor="accent3"/>
        <w:insideH w:val="single" w:sz="8" w:space="0" w:color="26C0BC" w:themeColor="accent3"/>
        <w:insideV w:val="single" w:sz="8" w:space="0" w:color="26C0BC"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6C0BC" w:themeColor="accent3"/>
          <w:left w:val="single" w:sz="8" w:space="0" w:color="26C0BC" w:themeColor="accent3"/>
          <w:bottom w:val="single" w:sz="18" w:space="0" w:color="26C0BC" w:themeColor="accent3"/>
          <w:right w:val="single" w:sz="8" w:space="0" w:color="26C0BC" w:themeColor="accent3"/>
          <w:insideH w:val="nil"/>
          <w:insideV w:val="single" w:sz="8" w:space="0" w:color="26C0BC"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6C0BC" w:themeColor="accent3"/>
          <w:left w:val="single" w:sz="8" w:space="0" w:color="26C0BC" w:themeColor="accent3"/>
          <w:bottom w:val="single" w:sz="8" w:space="0" w:color="26C0BC" w:themeColor="accent3"/>
          <w:right w:val="single" w:sz="8" w:space="0" w:color="26C0BC" w:themeColor="accent3"/>
          <w:insideH w:val="nil"/>
          <w:insideV w:val="single" w:sz="8" w:space="0" w:color="26C0BC"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6C0BC" w:themeColor="accent3"/>
          <w:left w:val="single" w:sz="8" w:space="0" w:color="26C0BC" w:themeColor="accent3"/>
          <w:bottom w:val="single" w:sz="8" w:space="0" w:color="26C0BC" w:themeColor="accent3"/>
          <w:right w:val="single" w:sz="8" w:space="0" w:color="26C0BC" w:themeColor="accent3"/>
        </w:tcBorders>
      </w:tcPr>
    </w:tblStylePr>
    <w:tblStylePr w:type="band1Vert">
      <w:tblPr/>
      <w:tcPr>
        <w:tcBorders>
          <w:top w:val="single" w:sz="8" w:space="0" w:color="26C0BC" w:themeColor="accent3"/>
          <w:left w:val="single" w:sz="8" w:space="0" w:color="26C0BC" w:themeColor="accent3"/>
          <w:bottom w:val="single" w:sz="8" w:space="0" w:color="26C0BC" w:themeColor="accent3"/>
          <w:right w:val="single" w:sz="8" w:space="0" w:color="26C0BC" w:themeColor="accent3"/>
        </w:tcBorders>
        <w:shd w:val="clear" w:color="auto" w:fill="C5F3F2" w:themeFill="accent3" w:themeFillTint="3F"/>
      </w:tcPr>
    </w:tblStylePr>
    <w:tblStylePr w:type="band1Horz">
      <w:tblPr/>
      <w:tcPr>
        <w:tcBorders>
          <w:top w:val="single" w:sz="8" w:space="0" w:color="26C0BC" w:themeColor="accent3"/>
          <w:left w:val="single" w:sz="8" w:space="0" w:color="26C0BC" w:themeColor="accent3"/>
          <w:bottom w:val="single" w:sz="8" w:space="0" w:color="26C0BC" w:themeColor="accent3"/>
          <w:right w:val="single" w:sz="8" w:space="0" w:color="26C0BC" w:themeColor="accent3"/>
          <w:insideV w:val="single" w:sz="8" w:space="0" w:color="26C0BC" w:themeColor="accent3"/>
        </w:tcBorders>
        <w:shd w:val="clear" w:color="auto" w:fill="C5F3F2" w:themeFill="accent3" w:themeFillTint="3F"/>
      </w:tcPr>
    </w:tblStylePr>
    <w:tblStylePr w:type="band2Horz">
      <w:tblPr/>
      <w:tcPr>
        <w:tcBorders>
          <w:top w:val="single" w:sz="8" w:space="0" w:color="26C0BC" w:themeColor="accent3"/>
          <w:left w:val="single" w:sz="8" w:space="0" w:color="26C0BC" w:themeColor="accent3"/>
          <w:bottom w:val="single" w:sz="8" w:space="0" w:color="26C0BC" w:themeColor="accent3"/>
          <w:right w:val="single" w:sz="8" w:space="0" w:color="26C0BC" w:themeColor="accent3"/>
          <w:insideV w:val="single" w:sz="8" w:space="0" w:color="26C0BC" w:themeColor="accent3"/>
        </w:tcBorders>
      </w:tcPr>
    </w:tblStylePr>
  </w:style>
  <w:style w:type="table" w:styleId="LightGrid-Accent4">
    <w:name w:val="Light Grid Accent 4"/>
    <w:basedOn w:val="TableNormal"/>
    <w:uiPriority w:val="62"/>
    <w:semiHidden/>
    <w:unhideWhenUsed/>
    <w:rsid w:val="0090719C"/>
    <w:tblPr>
      <w:tblStyleRowBandSize w:val="1"/>
      <w:tblStyleColBandSize w:val="1"/>
      <w:tblBorders>
        <w:top w:val="single" w:sz="8" w:space="0" w:color="C5446E" w:themeColor="accent4"/>
        <w:left w:val="single" w:sz="8" w:space="0" w:color="C5446E" w:themeColor="accent4"/>
        <w:bottom w:val="single" w:sz="8" w:space="0" w:color="C5446E" w:themeColor="accent4"/>
        <w:right w:val="single" w:sz="8" w:space="0" w:color="C5446E" w:themeColor="accent4"/>
        <w:insideH w:val="single" w:sz="8" w:space="0" w:color="C5446E" w:themeColor="accent4"/>
        <w:insideV w:val="single" w:sz="8" w:space="0" w:color="C5446E"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5446E" w:themeColor="accent4"/>
          <w:left w:val="single" w:sz="8" w:space="0" w:color="C5446E" w:themeColor="accent4"/>
          <w:bottom w:val="single" w:sz="18" w:space="0" w:color="C5446E" w:themeColor="accent4"/>
          <w:right w:val="single" w:sz="8" w:space="0" w:color="C5446E" w:themeColor="accent4"/>
          <w:insideH w:val="nil"/>
          <w:insideV w:val="single" w:sz="8" w:space="0" w:color="C5446E"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5446E" w:themeColor="accent4"/>
          <w:left w:val="single" w:sz="8" w:space="0" w:color="C5446E" w:themeColor="accent4"/>
          <w:bottom w:val="single" w:sz="8" w:space="0" w:color="C5446E" w:themeColor="accent4"/>
          <w:right w:val="single" w:sz="8" w:space="0" w:color="C5446E" w:themeColor="accent4"/>
          <w:insideH w:val="nil"/>
          <w:insideV w:val="single" w:sz="8" w:space="0" w:color="C5446E"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5446E" w:themeColor="accent4"/>
          <w:left w:val="single" w:sz="8" w:space="0" w:color="C5446E" w:themeColor="accent4"/>
          <w:bottom w:val="single" w:sz="8" w:space="0" w:color="C5446E" w:themeColor="accent4"/>
          <w:right w:val="single" w:sz="8" w:space="0" w:color="C5446E" w:themeColor="accent4"/>
        </w:tcBorders>
      </w:tcPr>
    </w:tblStylePr>
    <w:tblStylePr w:type="band1Vert">
      <w:tblPr/>
      <w:tcPr>
        <w:tcBorders>
          <w:top w:val="single" w:sz="8" w:space="0" w:color="C5446E" w:themeColor="accent4"/>
          <w:left w:val="single" w:sz="8" w:space="0" w:color="C5446E" w:themeColor="accent4"/>
          <w:bottom w:val="single" w:sz="8" w:space="0" w:color="C5446E" w:themeColor="accent4"/>
          <w:right w:val="single" w:sz="8" w:space="0" w:color="C5446E" w:themeColor="accent4"/>
        </w:tcBorders>
        <w:shd w:val="clear" w:color="auto" w:fill="F0D0DB" w:themeFill="accent4" w:themeFillTint="3F"/>
      </w:tcPr>
    </w:tblStylePr>
    <w:tblStylePr w:type="band1Horz">
      <w:tblPr/>
      <w:tcPr>
        <w:tcBorders>
          <w:top w:val="single" w:sz="8" w:space="0" w:color="C5446E" w:themeColor="accent4"/>
          <w:left w:val="single" w:sz="8" w:space="0" w:color="C5446E" w:themeColor="accent4"/>
          <w:bottom w:val="single" w:sz="8" w:space="0" w:color="C5446E" w:themeColor="accent4"/>
          <w:right w:val="single" w:sz="8" w:space="0" w:color="C5446E" w:themeColor="accent4"/>
          <w:insideV w:val="single" w:sz="8" w:space="0" w:color="C5446E" w:themeColor="accent4"/>
        </w:tcBorders>
        <w:shd w:val="clear" w:color="auto" w:fill="F0D0DB" w:themeFill="accent4" w:themeFillTint="3F"/>
      </w:tcPr>
    </w:tblStylePr>
    <w:tblStylePr w:type="band2Horz">
      <w:tblPr/>
      <w:tcPr>
        <w:tcBorders>
          <w:top w:val="single" w:sz="8" w:space="0" w:color="C5446E" w:themeColor="accent4"/>
          <w:left w:val="single" w:sz="8" w:space="0" w:color="C5446E" w:themeColor="accent4"/>
          <w:bottom w:val="single" w:sz="8" w:space="0" w:color="C5446E" w:themeColor="accent4"/>
          <w:right w:val="single" w:sz="8" w:space="0" w:color="C5446E" w:themeColor="accent4"/>
          <w:insideV w:val="single" w:sz="8" w:space="0" w:color="C5446E" w:themeColor="accent4"/>
        </w:tcBorders>
      </w:tcPr>
    </w:tblStylePr>
  </w:style>
  <w:style w:type="table" w:styleId="LightGrid-Accent5">
    <w:name w:val="Light Grid Accent 5"/>
    <w:basedOn w:val="TableNormal"/>
    <w:uiPriority w:val="62"/>
    <w:semiHidden/>
    <w:unhideWhenUsed/>
    <w:rsid w:val="0090719C"/>
    <w:tblPr>
      <w:tblStyleRowBandSize w:val="1"/>
      <w:tblStyleColBandSize w:val="1"/>
      <w:tblBorders>
        <w:top w:val="single" w:sz="8" w:space="0" w:color="0B1F2C" w:themeColor="accent5"/>
        <w:left w:val="single" w:sz="8" w:space="0" w:color="0B1F2C" w:themeColor="accent5"/>
        <w:bottom w:val="single" w:sz="8" w:space="0" w:color="0B1F2C" w:themeColor="accent5"/>
        <w:right w:val="single" w:sz="8" w:space="0" w:color="0B1F2C" w:themeColor="accent5"/>
        <w:insideH w:val="single" w:sz="8" w:space="0" w:color="0B1F2C" w:themeColor="accent5"/>
        <w:insideV w:val="single" w:sz="8" w:space="0" w:color="0B1F2C"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B1F2C" w:themeColor="accent5"/>
          <w:left w:val="single" w:sz="8" w:space="0" w:color="0B1F2C" w:themeColor="accent5"/>
          <w:bottom w:val="single" w:sz="18" w:space="0" w:color="0B1F2C" w:themeColor="accent5"/>
          <w:right w:val="single" w:sz="8" w:space="0" w:color="0B1F2C" w:themeColor="accent5"/>
          <w:insideH w:val="nil"/>
          <w:insideV w:val="single" w:sz="8" w:space="0" w:color="0B1F2C"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B1F2C" w:themeColor="accent5"/>
          <w:left w:val="single" w:sz="8" w:space="0" w:color="0B1F2C" w:themeColor="accent5"/>
          <w:bottom w:val="single" w:sz="8" w:space="0" w:color="0B1F2C" w:themeColor="accent5"/>
          <w:right w:val="single" w:sz="8" w:space="0" w:color="0B1F2C" w:themeColor="accent5"/>
          <w:insideH w:val="nil"/>
          <w:insideV w:val="single" w:sz="8" w:space="0" w:color="0B1F2C"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B1F2C" w:themeColor="accent5"/>
          <w:left w:val="single" w:sz="8" w:space="0" w:color="0B1F2C" w:themeColor="accent5"/>
          <w:bottom w:val="single" w:sz="8" w:space="0" w:color="0B1F2C" w:themeColor="accent5"/>
          <w:right w:val="single" w:sz="8" w:space="0" w:color="0B1F2C" w:themeColor="accent5"/>
        </w:tcBorders>
      </w:tcPr>
    </w:tblStylePr>
    <w:tblStylePr w:type="band1Vert">
      <w:tblPr/>
      <w:tcPr>
        <w:tcBorders>
          <w:top w:val="single" w:sz="8" w:space="0" w:color="0B1F2C" w:themeColor="accent5"/>
          <w:left w:val="single" w:sz="8" w:space="0" w:color="0B1F2C" w:themeColor="accent5"/>
          <w:bottom w:val="single" w:sz="8" w:space="0" w:color="0B1F2C" w:themeColor="accent5"/>
          <w:right w:val="single" w:sz="8" w:space="0" w:color="0B1F2C" w:themeColor="accent5"/>
        </w:tcBorders>
        <w:shd w:val="clear" w:color="auto" w:fill="A4CDE8" w:themeFill="accent5" w:themeFillTint="3F"/>
      </w:tcPr>
    </w:tblStylePr>
    <w:tblStylePr w:type="band1Horz">
      <w:tblPr/>
      <w:tcPr>
        <w:tcBorders>
          <w:top w:val="single" w:sz="8" w:space="0" w:color="0B1F2C" w:themeColor="accent5"/>
          <w:left w:val="single" w:sz="8" w:space="0" w:color="0B1F2C" w:themeColor="accent5"/>
          <w:bottom w:val="single" w:sz="8" w:space="0" w:color="0B1F2C" w:themeColor="accent5"/>
          <w:right w:val="single" w:sz="8" w:space="0" w:color="0B1F2C" w:themeColor="accent5"/>
          <w:insideV w:val="single" w:sz="8" w:space="0" w:color="0B1F2C" w:themeColor="accent5"/>
        </w:tcBorders>
        <w:shd w:val="clear" w:color="auto" w:fill="A4CDE8" w:themeFill="accent5" w:themeFillTint="3F"/>
      </w:tcPr>
    </w:tblStylePr>
    <w:tblStylePr w:type="band2Horz">
      <w:tblPr/>
      <w:tcPr>
        <w:tcBorders>
          <w:top w:val="single" w:sz="8" w:space="0" w:color="0B1F2C" w:themeColor="accent5"/>
          <w:left w:val="single" w:sz="8" w:space="0" w:color="0B1F2C" w:themeColor="accent5"/>
          <w:bottom w:val="single" w:sz="8" w:space="0" w:color="0B1F2C" w:themeColor="accent5"/>
          <w:right w:val="single" w:sz="8" w:space="0" w:color="0B1F2C" w:themeColor="accent5"/>
          <w:insideV w:val="single" w:sz="8" w:space="0" w:color="0B1F2C" w:themeColor="accent5"/>
        </w:tcBorders>
      </w:tcPr>
    </w:tblStylePr>
  </w:style>
  <w:style w:type="table" w:styleId="LightGrid-Accent6">
    <w:name w:val="Light Grid Accent 6"/>
    <w:basedOn w:val="TableNormal"/>
    <w:uiPriority w:val="62"/>
    <w:semiHidden/>
    <w:unhideWhenUsed/>
    <w:rsid w:val="0090719C"/>
    <w:tblPr>
      <w:tblStyleRowBandSize w:val="1"/>
      <w:tblStyleColBandSize w:val="1"/>
      <w:tblBorders>
        <w:top w:val="single" w:sz="8" w:space="0" w:color="909090" w:themeColor="accent6"/>
        <w:left w:val="single" w:sz="8" w:space="0" w:color="909090" w:themeColor="accent6"/>
        <w:bottom w:val="single" w:sz="8" w:space="0" w:color="909090" w:themeColor="accent6"/>
        <w:right w:val="single" w:sz="8" w:space="0" w:color="909090" w:themeColor="accent6"/>
        <w:insideH w:val="single" w:sz="8" w:space="0" w:color="909090" w:themeColor="accent6"/>
        <w:insideV w:val="single" w:sz="8" w:space="0" w:color="909090"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09090" w:themeColor="accent6"/>
          <w:left w:val="single" w:sz="8" w:space="0" w:color="909090" w:themeColor="accent6"/>
          <w:bottom w:val="single" w:sz="18" w:space="0" w:color="909090" w:themeColor="accent6"/>
          <w:right w:val="single" w:sz="8" w:space="0" w:color="909090" w:themeColor="accent6"/>
          <w:insideH w:val="nil"/>
          <w:insideV w:val="single" w:sz="8" w:space="0" w:color="909090"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09090" w:themeColor="accent6"/>
          <w:left w:val="single" w:sz="8" w:space="0" w:color="909090" w:themeColor="accent6"/>
          <w:bottom w:val="single" w:sz="8" w:space="0" w:color="909090" w:themeColor="accent6"/>
          <w:right w:val="single" w:sz="8" w:space="0" w:color="909090" w:themeColor="accent6"/>
          <w:insideH w:val="nil"/>
          <w:insideV w:val="single" w:sz="8" w:space="0" w:color="909090"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09090" w:themeColor="accent6"/>
          <w:left w:val="single" w:sz="8" w:space="0" w:color="909090" w:themeColor="accent6"/>
          <w:bottom w:val="single" w:sz="8" w:space="0" w:color="909090" w:themeColor="accent6"/>
          <w:right w:val="single" w:sz="8" w:space="0" w:color="909090" w:themeColor="accent6"/>
        </w:tcBorders>
      </w:tcPr>
    </w:tblStylePr>
    <w:tblStylePr w:type="band1Vert">
      <w:tblPr/>
      <w:tcPr>
        <w:tcBorders>
          <w:top w:val="single" w:sz="8" w:space="0" w:color="909090" w:themeColor="accent6"/>
          <w:left w:val="single" w:sz="8" w:space="0" w:color="909090" w:themeColor="accent6"/>
          <w:bottom w:val="single" w:sz="8" w:space="0" w:color="909090" w:themeColor="accent6"/>
          <w:right w:val="single" w:sz="8" w:space="0" w:color="909090" w:themeColor="accent6"/>
        </w:tcBorders>
        <w:shd w:val="clear" w:color="auto" w:fill="E3E3E3" w:themeFill="accent6" w:themeFillTint="3F"/>
      </w:tcPr>
    </w:tblStylePr>
    <w:tblStylePr w:type="band1Horz">
      <w:tblPr/>
      <w:tcPr>
        <w:tcBorders>
          <w:top w:val="single" w:sz="8" w:space="0" w:color="909090" w:themeColor="accent6"/>
          <w:left w:val="single" w:sz="8" w:space="0" w:color="909090" w:themeColor="accent6"/>
          <w:bottom w:val="single" w:sz="8" w:space="0" w:color="909090" w:themeColor="accent6"/>
          <w:right w:val="single" w:sz="8" w:space="0" w:color="909090" w:themeColor="accent6"/>
          <w:insideV w:val="single" w:sz="8" w:space="0" w:color="909090" w:themeColor="accent6"/>
        </w:tcBorders>
        <w:shd w:val="clear" w:color="auto" w:fill="E3E3E3" w:themeFill="accent6" w:themeFillTint="3F"/>
      </w:tcPr>
    </w:tblStylePr>
    <w:tblStylePr w:type="band2Horz">
      <w:tblPr/>
      <w:tcPr>
        <w:tcBorders>
          <w:top w:val="single" w:sz="8" w:space="0" w:color="909090" w:themeColor="accent6"/>
          <w:left w:val="single" w:sz="8" w:space="0" w:color="909090" w:themeColor="accent6"/>
          <w:bottom w:val="single" w:sz="8" w:space="0" w:color="909090" w:themeColor="accent6"/>
          <w:right w:val="single" w:sz="8" w:space="0" w:color="909090" w:themeColor="accent6"/>
          <w:insideV w:val="single" w:sz="8" w:space="0" w:color="909090" w:themeColor="accent6"/>
        </w:tcBorders>
      </w:tcPr>
    </w:tblStylePr>
  </w:style>
  <w:style w:type="table" w:styleId="LightList">
    <w:name w:val="Light List"/>
    <w:basedOn w:val="TableNormal"/>
    <w:uiPriority w:val="61"/>
    <w:semiHidden/>
    <w:unhideWhenUsed/>
    <w:rsid w:val="0090719C"/>
    <w:tblPr>
      <w:tblStyleRowBandSize w:val="1"/>
      <w:tblStyleColBandSize w:val="1"/>
      <w:tblBorders>
        <w:top w:val="single" w:sz="8" w:space="0" w:color="0B1F2C" w:themeColor="text1"/>
        <w:left w:val="single" w:sz="8" w:space="0" w:color="0B1F2C" w:themeColor="text1"/>
        <w:bottom w:val="single" w:sz="8" w:space="0" w:color="0B1F2C" w:themeColor="text1"/>
        <w:right w:val="single" w:sz="8" w:space="0" w:color="0B1F2C" w:themeColor="text1"/>
      </w:tblBorders>
    </w:tblPr>
    <w:tblStylePr w:type="firstRow">
      <w:pPr>
        <w:spacing w:before="0" w:after="0" w:line="240" w:lineRule="auto"/>
      </w:pPr>
      <w:rPr>
        <w:b/>
        <w:bCs/>
        <w:color w:val="FFFFFF" w:themeColor="background1"/>
      </w:rPr>
      <w:tblPr/>
      <w:tcPr>
        <w:shd w:val="clear" w:color="auto" w:fill="0B1F2C" w:themeFill="text1"/>
      </w:tcPr>
    </w:tblStylePr>
    <w:tblStylePr w:type="lastRow">
      <w:pPr>
        <w:spacing w:before="0" w:after="0" w:line="240" w:lineRule="auto"/>
      </w:pPr>
      <w:rPr>
        <w:b/>
        <w:bCs/>
      </w:rPr>
      <w:tblPr/>
      <w:tcPr>
        <w:tcBorders>
          <w:top w:val="double" w:sz="6" w:space="0" w:color="0B1F2C" w:themeColor="text1"/>
          <w:left w:val="single" w:sz="8" w:space="0" w:color="0B1F2C" w:themeColor="text1"/>
          <w:bottom w:val="single" w:sz="8" w:space="0" w:color="0B1F2C" w:themeColor="text1"/>
          <w:right w:val="single" w:sz="8" w:space="0" w:color="0B1F2C" w:themeColor="text1"/>
        </w:tcBorders>
      </w:tcPr>
    </w:tblStylePr>
    <w:tblStylePr w:type="firstCol">
      <w:rPr>
        <w:b/>
        <w:bCs/>
      </w:rPr>
    </w:tblStylePr>
    <w:tblStylePr w:type="lastCol">
      <w:rPr>
        <w:b/>
        <w:bCs/>
      </w:rPr>
    </w:tblStylePr>
    <w:tblStylePr w:type="band1Vert">
      <w:tblPr/>
      <w:tcPr>
        <w:tcBorders>
          <w:top w:val="single" w:sz="8" w:space="0" w:color="0B1F2C" w:themeColor="text1"/>
          <w:left w:val="single" w:sz="8" w:space="0" w:color="0B1F2C" w:themeColor="text1"/>
          <w:bottom w:val="single" w:sz="8" w:space="0" w:color="0B1F2C" w:themeColor="text1"/>
          <w:right w:val="single" w:sz="8" w:space="0" w:color="0B1F2C" w:themeColor="text1"/>
        </w:tcBorders>
      </w:tcPr>
    </w:tblStylePr>
    <w:tblStylePr w:type="band1Horz">
      <w:tblPr/>
      <w:tcPr>
        <w:tcBorders>
          <w:top w:val="single" w:sz="8" w:space="0" w:color="0B1F2C" w:themeColor="text1"/>
          <w:left w:val="single" w:sz="8" w:space="0" w:color="0B1F2C" w:themeColor="text1"/>
          <w:bottom w:val="single" w:sz="8" w:space="0" w:color="0B1F2C" w:themeColor="text1"/>
          <w:right w:val="single" w:sz="8" w:space="0" w:color="0B1F2C" w:themeColor="text1"/>
        </w:tcBorders>
      </w:tcPr>
    </w:tblStylePr>
  </w:style>
  <w:style w:type="table" w:styleId="LightList-Accent1">
    <w:name w:val="Light List Accent 1"/>
    <w:basedOn w:val="TableNormal"/>
    <w:uiPriority w:val="61"/>
    <w:semiHidden/>
    <w:unhideWhenUsed/>
    <w:rsid w:val="0090719C"/>
    <w:tblPr>
      <w:tblStyleRowBandSize w:val="1"/>
      <w:tblStyleColBandSize w:val="1"/>
      <w:tblBorders>
        <w:top w:val="single" w:sz="8" w:space="0" w:color="009FE3" w:themeColor="accent1"/>
        <w:left w:val="single" w:sz="8" w:space="0" w:color="009FE3" w:themeColor="accent1"/>
        <w:bottom w:val="single" w:sz="8" w:space="0" w:color="009FE3" w:themeColor="accent1"/>
        <w:right w:val="single" w:sz="8" w:space="0" w:color="009FE3" w:themeColor="accent1"/>
      </w:tblBorders>
    </w:tblPr>
    <w:tblStylePr w:type="firstRow">
      <w:pPr>
        <w:spacing w:before="0" w:after="0" w:line="240" w:lineRule="auto"/>
      </w:pPr>
      <w:rPr>
        <w:b/>
        <w:bCs/>
        <w:color w:val="FFFFFF" w:themeColor="background1"/>
      </w:rPr>
      <w:tblPr/>
      <w:tcPr>
        <w:shd w:val="clear" w:color="auto" w:fill="009FE3" w:themeFill="accent1"/>
      </w:tcPr>
    </w:tblStylePr>
    <w:tblStylePr w:type="lastRow">
      <w:pPr>
        <w:spacing w:before="0" w:after="0" w:line="240" w:lineRule="auto"/>
      </w:pPr>
      <w:rPr>
        <w:b/>
        <w:bCs/>
      </w:rPr>
      <w:tblPr/>
      <w:tcPr>
        <w:tcBorders>
          <w:top w:val="double" w:sz="6" w:space="0" w:color="009FE3" w:themeColor="accent1"/>
          <w:left w:val="single" w:sz="8" w:space="0" w:color="009FE3" w:themeColor="accent1"/>
          <w:bottom w:val="single" w:sz="8" w:space="0" w:color="009FE3" w:themeColor="accent1"/>
          <w:right w:val="single" w:sz="8" w:space="0" w:color="009FE3" w:themeColor="accent1"/>
        </w:tcBorders>
      </w:tcPr>
    </w:tblStylePr>
    <w:tblStylePr w:type="firstCol">
      <w:rPr>
        <w:b/>
        <w:bCs/>
      </w:rPr>
    </w:tblStylePr>
    <w:tblStylePr w:type="lastCol">
      <w:rPr>
        <w:b/>
        <w:bCs/>
      </w:rPr>
    </w:tblStylePr>
    <w:tblStylePr w:type="band1Vert">
      <w:tblPr/>
      <w:tcPr>
        <w:tcBorders>
          <w:top w:val="single" w:sz="8" w:space="0" w:color="009FE3" w:themeColor="accent1"/>
          <w:left w:val="single" w:sz="8" w:space="0" w:color="009FE3" w:themeColor="accent1"/>
          <w:bottom w:val="single" w:sz="8" w:space="0" w:color="009FE3" w:themeColor="accent1"/>
          <w:right w:val="single" w:sz="8" w:space="0" w:color="009FE3" w:themeColor="accent1"/>
        </w:tcBorders>
      </w:tcPr>
    </w:tblStylePr>
    <w:tblStylePr w:type="band1Horz">
      <w:tblPr/>
      <w:tcPr>
        <w:tcBorders>
          <w:top w:val="single" w:sz="8" w:space="0" w:color="009FE3" w:themeColor="accent1"/>
          <w:left w:val="single" w:sz="8" w:space="0" w:color="009FE3" w:themeColor="accent1"/>
          <w:bottom w:val="single" w:sz="8" w:space="0" w:color="009FE3" w:themeColor="accent1"/>
          <w:right w:val="single" w:sz="8" w:space="0" w:color="009FE3" w:themeColor="accent1"/>
        </w:tcBorders>
      </w:tcPr>
    </w:tblStylePr>
  </w:style>
  <w:style w:type="table" w:styleId="LightList-Accent2">
    <w:name w:val="Light List Accent 2"/>
    <w:basedOn w:val="TableNormal"/>
    <w:uiPriority w:val="61"/>
    <w:semiHidden/>
    <w:unhideWhenUsed/>
    <w:rsid w:val="0090719C"/>
    <w:tblPr>
      <w:tblStyleRowBandSize w:val="1"/>
      <w:tblStyleColBandSize w:val="1"/>
      <w:tblBorders>
        <w:top w:val="single" w:sz="8" w:space="0" w:color="800080" w:themeColor="accent2"/>
        <w:left w:val="single" w:sz="8" w:space="0" w:color="800080" w:themeColor="accent2"/>
        <w:bottom w:val="single" w:sz="8" w:space="0" w:color="800080" w:themeColor="accent2"/>
        <w:right w:val="single" w:sz="8" w:space="0" w:color="800080" w:themeColor="accent2"/>
      </w:tblBorders>
    </w:tblPr>
    <w:tblStylePr w:type="firstRow">
      <w:pPr>
        <w:spacing w:before="0" w:after="0" w:line="240" w:lineRule="auto"/>
      </w:pPr>
      <w:rPr>
        <w:b/>
        <w:bCs/>
        <w:color w:val="FFFFFF" w:themeColor="background1"/>
      </w:rPr>
      <w:tblPr/>
      <w:tcPr>
        <w:shd w:val="clear" w:color="auto" w:fill="800080" w:themeFill="accent2"/>
      </w:tcPr>
    </w:tblStylePr>
    <w:tblStylePr w:type="lastRow">
      <w:pPr>
        <w:spacing w:before="0" w:after="0" w:line="240" w:lineRule="auto"/>
      </w:pPr>
      <w:rPr>
        <w:b/>
        <w:bCs/>
      </w:rPr>
      <w:tblPr/>
      <w:tcPr>
        <w:tcBorders>
          <w:top w:val="double" w:sz="6" w:space="0" w:color="800080" w:themeColor="accent2"/>
          <w:left w:val="single" w:sz="8" w:space="0" w:color="800080" w:themeColor="accent2"/>
          <w:bottom w:val="single" w:sz="8" w:space="0" w:color="800080" w:themeColor="accent2"/>
          <w:right w:val="single" w:sz="8" w:space="0" w:color="800080" w:themeColor="accent2"/>
        </w:tcBorders>
      </w:tcPr>
    </w:tblStylePr>
    <w:tblStylePr w:type="firstCol">
      <w:rPr>
        <w:b/>
        <w:bCs/>
      </w:rPr>
    </w:tblStylePr>
    <w:tblStylePr w:type="lastCol">
      <w:rPr>
        <w:b/>
        <w:bCs/>
      </w:rPr>
    </w:tblStylePr>
    <w:tblStylePr w:type="band1Vert">
      <w:tblPr/>
      <w:tcPr>
        <w:tcBorders>
          <w:top w:val="single" w:sz="8" w:space="0" w:color="800080" w:themeColor="accent2"/>
          <w:left w:val="single" w:sz="8" w:space="0" w:color="800080" w:themeColor="accent2"/>
          <w:bottom w:val="single" w:sz="8" w:space="0" w:color="800080" w:themeColor="accent2"/>
          <w:right w:val="single" w:sz="8" w:space="0" w:color="800080" w:themeColor="accent2"/>
        </w:tcBorders>
      </w:tcPr>
    </w:tblStylePr>
    <w:tblStylePr w:type="band1Horz">
      <w:tblPr/>
      <w:tcPr>
        <w:tcBorders>
          <w:top w:val="single" w:sz="8" w:space="0" w:color="800080" w:themeColor="accent2"/>
          <w:left w:val="single" w:sz="8" w:space="0" w:color="800080" w:themeColor="accent2"/>
          <w:bottom w:val="single" w:sz="8" w:space="0" w:color="800080" w:themeColor="accent2"/>
          <w:right w:val="single" w:sz="8" w:space="0" w:color="800080" w:themeColor="accent2"/>
        </w:tcBorders>
      </w:tcPr>
    </w:tblStylePr>
  </w:style>
  <w:style w:type="table" w:styleId="LightList-Accent3">
    <w:name w:val="Light List Accent 3"/>
    <w:basedOn w:val="TableNormal"/>
    <w:uiPriority w:val="61"/>
    <w:semiHidden/>
    <w:unhideWhenUsed/>
    <w:rsid w:val="0090719C"/>
    <w:tblPr>
      <w:tblStyleRowBandSize w:val="1"/>
      <w:tblStyleColBandSize w:val="1"/>
      <w:tblBorders>
        <w:top w:val="single" w:sz="8" w:space="0" w:color="26C0BC" w:themeColor="accent3"/>
        <w:left w:val="single" w:sz="8" w:space="0" w:color="26C0BC" w:themeColor="accent3"/>
        <w:bottom w:val="single" w:sz="8" w:space="0" w:color="26C0BC" w:themeColor="accent3"/>
        <w:right w:val="single" w:sz="8" w:space="0" w:color="26C0BC" w:themeColor="accent3"/>
      </w:tblBorders>
    </w:tblPr>
    <w:tblStylePr w:type="firstRow">
      <w:pPr>
        <w:spacing w:before="0" w:after="0" w:line="240" w:lineRule="auto"/>
      </w:pPr>
      <w:rPr>
        <w:b/>
        <w:bCs/>
        <w:color w:val="FFFFFF" w:themeColor="background1"/>
      </w:rPr>
      <w:tblPr/>
      <w:tcPr>
        <w:shd w:val="clear" w:color="auto" w:fill="26C0BC" w:themeFill="accent3"/>
      </w:tcPr>
    </w:tblStylePr>
    <w:tblStylePr w:type="lastRow">
      <w:pPr>
        <w:spacing w:before="0" w:after="0" w:line="240" w:lineRule="auto"/>
      </w:pPr>
      <w:rPr>
        <w:b/>
        <w:bCs/>
      </w:rPr>
      <w:tblPr/>
      <w:tcPr>
        <w:tcBorders>
          <w:top w:val="double" w:sz="6" w:space="0" w:color="26C0BC" w:themeColor="accent3"/>
          <w:left w:val="single" w:sz="8" w:space="0" w:color="26C0BC" w:themeColor="accent3"/>
          <w:bottom w:val="single" w:sz="8" w:space="0" w:color="26C0BC" w:themeColor="accent3"/>
          <w:right w:val="single" w:sz="8" w:space="0" w:color="26C0BC" w:themeColor="accent3"/>
        </w:tcBorders>
      </w:tcPr>
    </w:tblStylePr>
    <w:tblStylePr w:type="firstCol">
      <w:rPr>
        <w:b/>
        <w:bCs/>
      </w:rPr>
    </w:tblStylePr>
    <w:tblStylePr w:type="lastCol">
      <w:rPr>
        <w:b/>
        <w:bCs/>
      </w:rPr>
    </w:tblStylePr>
    <w:tblStylePr w:type="band1Vert">
      <w:tblPr/>
      <w:tcPr>
        <w:tcBorders>
          <w:top w:val="single" w:sz="8" w:space="0" w:color="26C0BC" w:themeColor="accent3"/>
          <w:left w:val="single" w:sz="8" w:space="0" w:color="26C0BC" w:themeColor="accent3"/>
          <w:bottom w:val="single" w:sz="8" w:space="0" w:color="26C0BC" w:themeColor="accent3"/>
          <w:right w:val="single" w:sz="8" w:space="0" w:color="26C0BC" w:themeColor="accent3"/>
        </w:tcBorders>
      </w:tcPr>
    </w:tblStylePr>
    <w:tblStylePr w:type="band1Horz">
      <w:tblPr/>
      <w:tcPr>
        <w:tcBorders>
          <w:top w:val="single" w:sz="8" w:space="0" w:color="26C0BC" w:themeColor="accent3"/>
          <w:left w:val="single" w:sz="8" w:space="0" w:color="26C0BC" w:themeColor="accent3"/>
          <w:bottom w:val="single" w:sz="8" w:space="0" w:color="26C0BC" w:themeColor="accent3"/>
          <w:right w:val="single" w:sz="8" w:space="0" w:color="26C0BC" w:themeColor="accent3"/>
        </w:tcBorders>
      </w:tcPr>
    </w:tblStylePr>
  </w:style>
  <w:style w:type="table" w:styleId="LightList-Accent4">
    <w:name w:val="Light List Accent 4"/>
    <w:basedOn w:val="TableNormal"/>
    <w:uiPriority w:val="61"/>
    <w:semiHidden/>
    <w:unhideWhenUsed/>
    <w:rsid w:val="0090719C"/>
    <w:tblPr>
      <w:tblStyleRowBandSize w:val="1"/>
      <w:tblStyleColBandSize w:val="1"/>
      <w:tblBorders>
        <w:top w:val="single" w:sz="8" w:space="0" w:color="C5446E" w:themeColor="accent4"/>
        <w:left w:val="single" w:sz="8" w:space="0" w:color="C5446E" w:themeColor="accent4"/>
        <w:bottom w:val="single" w:sz="8" w:space="0" w:color="C5446E" w:themeColor="accent4"/>
        <w:right w:val="single" w:sz="8" w:space="0" w:color="C5446E" w:themeColor="accent4"/>
      </w:tblBorders>
    </w:tblPr>
    <w:tblStylePr w:type="firstRow">
      <w:pPr>
        <w:spacing w:before="0" w:after="0" w:line="240" w:lineRule="auto"/>
      </w:pPr>
      <w:rPr>
        <w:b/>
        <w:bCs/>
        <w:color w:val="FFFFFF" w:themeColor="background1"/>
      </w:rPr>
      <w:tblPr/>
      <w:tcPr>
        <w:shd w:val="clear" w:color="auto" w:fill="C5446E" w:themeFill="accent4"/>
      </w:tcPr>
    </w:tblStylePr>
    <w:tblStylePr w:type="lastRow">
      <w:pPr>
        <w:spacing w:before="0" w:after="0" w:line="240" w:lineRule="auto"/>
      </w:pPr>
      <w:rPr>
        <w:b/>
        <w:bCs/>
      </w:rPr>
      <w:tblPr/>
      <w:tcPr>
        <w:tcBorders>
          <w:top w:val="double" w:sz="6" w:space="0" w:color="C5446E" w:themeColor="accent4"/>
          <w:left w:val="single" w:sz="8" w:space="0" w:color="C5446E" w:themeColor="accent4"/>
          <w:bottom w:val="single" w:sz="8" w:space="0" w:color="C5446E" w:themeColor="accent4"/>
          <w:right w:val="single" w:sz="8" w:space="0" w:color="C5446E" w:themeColor="accent4"/>
        </w:tcBorders>
      </w:tcPr>
    </w:tblStylePr>
    <w:tblStylePr w:type="firstCol">
      <w:rPr>
        <w:b/>
        <w:bCs/>
      </w:rPr>
    </w:tblStylePr>
    <w:tblStylePr w:type="lastCol">
      <w:rPr>
        <w:b/>
        <w:bCs/>
      </w:rPr>
    </w:tblStylePr>
    <w:tblStylePr w:type="band1Vert">
      <w:tblPr/>
      <w:tcPr>
        <w:tcBorders>
          <w:top w:val="single" w:sz="8" w:space="0" w:color="C5446E" w:themeColor="accent4"/>
          <w:left w:val="single" w:sz="8" w:space="0" w:color="C5446E" w:themeColor="accent4"/>
          <w:bottom w:val="single" w:sz="8" w:space="0" w:color="C5446E" w:themeColor="accent4"/>
          <w:right w:val="single" w:sz="8" w:space="0" w:color="C5446E" w:themeColor="accent4"/>
        </w:tcBorders>
      </w:tcPr>
    </w:tblStylePr>
    <w:tblStylePr w:type="band1Horz">
      <w:tblPr/>
      <w:tcPr>
        <w:tcBorders>
          <w:top w:val="single" w:sz="8" w:space="0" w:color="C5446E" w:themeColor="accent4"/>
          <w:left w:val="single" w:sz="8" w:space="0" w:color="C5446E" w:themeColor="accent4"/>
          <w:bottom w:val="single" w:sz="8" w:space="0" w:color="C5446E" w:themeColor="accent4"/>
          <w:right w:val="single" w:sz="8" w:space="0" w:color="C5446E" w:themeColor="accent4"/>
        </w:tcBorders>
      </w:tcPr>
    </w:tblStylePr>
  </w:style>
  <w:style w:type="table" w:styleId="LightList-Accent5">
    <w:name w:val="Light List Accent 5"/>
    <w:basedOn w:val="TableNormal"/>
    <w:uiPriority w:val="61"/>
    <w:semiHidden/>
    <w:unhideWhenUsed/>
    <w:rsid w:val="0090719C"/>
    <w:tblPr>
      <w:tblStyleRowBandSize w:val="1"/>
      <w:tblStyleColBandSize w:val="1"/>
      <w:tblBorders>
        <w:top w:val="single" w:sz="8" w:space="0" w:color="0B1F2C" w:themeColor="accent5"/>
        <w:left w:val="single" w:sz="8" w:space="0" w:color="0B1F2C" w:themeColor="accent5"/>
        <w:bottom w:val="single" w:sz="8" w:space="0" w:color="0B1F2C" w:themeColor="accent5"/>
        <w:right w:val="single" w:sz="8" w:space="0" w:color="0B1F2C" w:themeColor="accent5"/>
      </w:tblBorders>
    </w:tblPr>
    <w:tblStylePr w:type="firstRow">
      <w:pPr>
        <w:spacing w:before="0" w:after="0" w:line="240" w:lineRule="auto"/>
      </w:pPr>
      <w:rPr>
        <w:b/>
        <w:bCs/>
        <w:color w:val="FFFFFF" w:themeColor="background1"/>
      </w:rPr>
      <w:tblPr/>
      <w:tcPr>
        <w:shd w:val="clear" w:color="auto" w:fill="0B1F2C" w:themeFill="accent5"/>
      </w:tcPr>
    </w:tblStylePr>
    <w:tblStylePr w:type="lastRow">
      <w:pPr>
        <w:spacing w:before="0" w:after="0" w:line="240" w:lineRule="auto"/>
      </w:pPr>
      <w:rPr>
        <w:b/>
        <w:bCs/>
      </w:rPr>
      <w:tblPr/>
      <w:tcPr>
        <w:tcBorders>
          <w:top w:val="double" w:sz="6" w:space="0" w:color="0B1F2C" w:themeColor="accent5"/>
          <w:left w:val="single" w:sz="8" w:space="0" w:color="0B1F2C" w:themeColor="accent5"/>
          <w:bottom w:val="single" w:sz="8" w:space="0" w:color="0B1F2C" w:themeColor="accent5"/>
          <w:right w:val="single" w:sz="8" w:space="0" w:color="0B1F2C" w:themeColor="accent5"/>
        </w:tcBorders>
      </w:tcPr>
    </w:tblStylePr>
    <w:tblStylePr w:type="firstCol">
      <w:rPr>
        <w:b/>
        <w:bCs/>
      </w:rPr>
    </w:tblStylePr>
    <w:tblStylePr w:type="lastCol">
      <w:rPr>
        <w:b/>
        <w:bCs/>
      </w:rPr>
    </w:tblStylePr>
    <w:tblStylePr w:type="band1Vert">
      <w:tblPr/>
      <w:tcPr>
        <w:tcBorders>
          <w:top w:val="single" w:sz="8" w:space="0" w:color="0B1F2C" w:themeColor="accent5"/>
          <w:left w:val="single" w:sz="8" w:space="0" w:color="0B1F2C" w:themeColor="accent5"/>
          <w:bottom w:val="single" w:sz="8" w:space="0" w:color="0B1F2C" w:themeColor="accent5"/>
          <w:right w:val="single" w:sz="8" w:space="0" w:color="0B1F2C" w:themeColor="accent5"/>
        </w:tcBorders>
      </w:tcPr>
    </w:tblStylePr>
    <w:tblStylePr w:type="band1Horz">
      <w:tblPr/>
      <w:tcPr>
        <w:tcBorders>
          <w:top w:val="single" w:sz="8" w:space="0" w:color="0B1F2C" w:themeColor="accent5"/>
          <w:left w:val="single" w:sz="8" w:space="0" w:color="0B1F2C" w:themeColor="accent5"/>
          <w:bottom w:val="single" w:sz="8" w:space="0" w:color="0B1F2C" w:themeColor="accent5"/>
          <w:right w:val="single" w:sz="8" w:space="0" w:color="0B1F2C" w:themeColor="accent5"/>
        </w:tcBorders>
      </w:tcPr>
    </w:tblStylePr>
  </w:style>
  <w:style w:type="table" w:styleId="LightList-Accent6">
    <w:name w:val="Light List Accent 6"/>
    <w:basedOn w:val="TableNormal"/>
    <w:uiPriority w:val="61"/>
    <w:semiHidden/>
    <w:unhideWhenUsed/>
    <w:rsid w:val="0090719C"/>
    <w:tblPr>
      <w:tblStyleRowBandSize w:val="1"/>
      <w:tblStyleColBandSize w:val="1"/>
      <w:tblBorders>
        <w:top w:val="single" w:sz="8" w:space="0" w:color="909090" w:themeColor="accent6"/>
        <w:left w:val="single" w:sz="8" w:space="0" w:color="909090" w:themeColor="accent6"/>
        <w:bottom w:val="single" w:sz="8" w:space="0" w:color="909090" w:themeColor="accent6"/>
        <w:right w:val="single" w:sz="8" w:space="0" w:color="909090" w:themeColor="accent6"/>
      </w:tblBorders>
    </w:tblPr>
    <w:tblStylePr w:type="firstRow">
      <w:pPr>
        <w:spacing w:before="0" w:after="0" w:line="240" w:lineRule="auto"/>
      </w:pPr>
      <w:rPr>
        <w:b/>
        <w:bCs/>
        <w:color w:val="FFFFFF" w:themeColor="background1"/>
      </w:rPr>
      <w:tblPr/>
      <w:tcPr>
        <w:shd w:val="clear" w:color="auto" w:fill="909090" w:themeFill="accent6"/>
      </w:tcPr>
    </w:tblStylePr>
    <w:tblStylePr w:type="lastRow">
      <w:pPr>
        <w:spacing w:before="0" w:after="0" w:line="240" w:lineRule="auto"/>
      </w:pPr>
      <w:rPr>
        <w:b/>
        <w:bCs/>
      </w:rPr>
      <w:tblPr/>
      <w:tcPr>
        <w:tcBorders>
          <w:top w:val="double" w:sz="6" w:space="0" w:color="909090" w:themeColor="accent6"/>
          <w:left w:val="single" w:sz="8" w:space="0" w:color="909090" w:themeColor="accent6"/>
          <w:bottom w:val="single" w:sz="8" w:space="0" w:color="909090" w:themeColor="accent6"/>
          <w:right w:val="single" w:sz="8" w:space="0" w:color="909090" w:themeColor="accent6"/>
        </w:tcBorders>
      </w:tcPr>
    </w:tblStylePr>
    <w:tblStylePr w:type="firstCol">
      <w:rPr>
        <w:b/>
        <w:bCs/>
      </w:rPr>
    </w:tblStylePr>
    <w:tblStylePr w:type="lastCol">
      <w:rPr>
        <w:b/>
        <w:bCs/>
      </w:rPr>
    </w:tblStylePr>
    <w:tblStylePr w:type="band1Vert">
      <w:tblPr/>
      <w:tcPr>
        <w:tcBorders>
          <w:top w:val="single" w:sz="8" w:space="0" w:color="909090" w:themeColor="accent6"/>
          <w:left w:val="single" w:sz="8" w:space="0" w:color="909090" w:themeColor="accent6"/>
          <w:bottom w:val="single" w:sz="8" w:space="0" w:color="909090" w:themeColor="accent6"/>
          <w:right w:val="single" w:sz="8" w:space="0" w:color="909090" w:themeColor="accent6"/>
        </w:tcBorders>
      </w:tcPr>
    </w:tblStylePr>
    <w:tblStylePr w:type="band1Horz">
      <w:tblPr/>
      <w:tcPr>
        <w:tcBorders>
          <w:top w:val="single" w:sz="8" w:space="0" w:color="909090" w:themeColor="accent6"/>
          <w:left w:val="single" w:sz="8" w:space="0" w:color="909090" w:themeColor="accent6"/>
          <w:bottom w:val="single" w:sz="8" w:space="0" w:color="909090" w:themeColor="accent6"/>
          <w:right w:val="single" w:sz="8" w:space="0" w:color="909090" w:themeColor="accent6"/>
        </w:tcBorders>
      </w:tcPr>
    </w:tblStylePr>
  </w:style>
  <w:style w:type="table" w:styleId="LightShading">
    <w:name w:val="Light Shading"/>
    <w:basedOn w:val="TableNormal"/>
    <w:uiPriority w:val="60"/>
    <w:semiHidden/>
    <w:unhideWhenUsed/>
    <w:rsid w:val="0090719C"/>
    <w:rPr>
      <w:color w:val="081720" w:themeColor="text1" w:themeShade="BF"/>
    </w:rPr>
    <w:tblPr>
      <w:tblStyleRowBandSize w:val="1"/>
      <w:tblStyleColBandSize w:val="1"/>
      <w:tblBorders>
        <w:top w:val="single" w:sz="8" w:space="0" w:color="0B1F2C" w:themeColor="text1"/>
        <w:bottom w:val="single" w:sz="8" w:space="0" w:color="0B1F2C" w:themeColor="text1"/>
      </w:tblBorders>
    </w:tblPr>
    <w:tblStylePr w:type="firstRow">
      <w:pPr>
        <w:spacing w:before="0" w:after="0" w:line="240" w:lineRule="auto"/>
      </w:pPr>
      <w:rPr>
        <w:b/>
        <w:bCs/>
      </w:rPr>
      <w:tblPr/>
      <w:tcPr>
        <w:tcBorders>
          <w:top w:val="single" w:sz="8" w:space="0" w:color="0B1F2C" w:themeColor="text1"/>
          <w:left w:val="nil"/>
          <w:bottom w:val="single" w:sz="8" w:space="0" w:color="0B1F2C" w:themeColor="text1"/>
          <w:right w:val="nil"/>
          <w:insideH w:val="nil"/>
          <w:insideV w:val="nil"/>
        </w:tcBorders>
      </w:tcPr>
    </w:tblStylePr>
    <w:tblStylePr w:type="lastRow">
      <w:pPr>
        <w:spacing w:before="0" w:after="0" w:line="240" w:lineRule="auto"/>
      </w:pPr>
      <w:rPr>
        <w:b/>
        <w:bCs/>
      </w:rPr>
      <w:tblPr/>
      <w:tcPr>
        <w:tcBorders>
          <w:top w:val="single" w:sz="8" w:space="0" w:color="0B1F2C" w:themeColor="text1"/>
          <w:left w:val="nil"/>
          <w:bottom w:val="single" w:sz="8" w:space="0" w:color="0B1F2C"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4CDE8" w:themeFill="text1" w:themeFillTint="3F"/>
      </w:tcPr>
    </w:tblStylePr>
    <w:tblStylePr w:type="band1Horz">
      <w:tblPr/>
      <w:tcPr>
        <w:tcBorders>
          <w:left w:val="nil"/>
          <w:right w:val="nil"/>
          <w:insideH w:val="nil"/>
          <w:insideV w:val="nil"/>
        </w:tcBorders>
        <w:shd w:val="clear" w:color="auto" w:fill="A4CDE8" w:themeFill="text1" w:themeFillTint="3F"/>
      </w:tcPr>
    </w:tblStylePr>
  </w:style>
  <w:style w:type="table" w:styleId="LightShading-Accent1">
    <w:name w:val="Light Shading Accent 1"/>
    <w:basedOn w:val="TableNormal"/>
    <w:uiPriority w:val="60"/>
    <w:semiHidden/>
    <w:unhideWhenUsed/>
    <w:rsid w:val="0090719C"/>
    <w:rPr>
      <w:color w:val="0076AA" w:themeColor="accent1" w:themeShade="BF"/>
    </w:rPr>
    <w:tblPr>
      <w:tblStyleRowBandSize w:val="1"/>
      <w:tblStyleColBandSize w:val="1"/>
      <w:tblBorders>
        <w:top w:val="single" w:sz="8" w:space="0" w:color="009FE3" w:themeColor="accent1"/>
        <w:bottom w:val="single" w:sz="8" w:space="0" w:color="009FE3" w:themeColor="accent1"/>
      </w:tblBorders>
    </w:tblPr>
    <w:tblStylePr w:type="firstRow">
      <w:pPr>
        <w:spacing w:before="0" w:after="0" w:line="240" w:lineRule="auto"/>
      </w:pPr>
      <w:rPr>
        <w:b/>
        <w:bCs/>
      </w:rPr>
      <w:tblPr/>
      <w:tcPr>
        <w:tcBorders>
          <w:top w:val="single" w:sz="8" w:space="0" w:color="009FE3" w:themeColor="accent1"/>
          <w:left w:val="nil"/>
          <w:bottom w:val="single" w:sz="8" w:space="0" w:color="009FE3" w:themeColor="accent1"/>
          <w:right w:val="nil"/>
          <w:insideH w:val="nil"/>
          <w:insideV w:val="nil"/>
        </w:tcBorders>
      </w:tcPr>
    </w:tblStylePr>
    <w:tblStylePr w:type="lastRow">
      <w:pPr>
        <w:spacing w:before="0" w:after="0" w:line="240" w:lineRule="auto"/>
      </w:pPr>
      <w:rPr>
        <w:b/>
        <w:bCs/>
      </w:rPr>
      <w:tblPr/>
      <w:tcPr>
        <w:tcBorders>
          <w:top w:val="single" w:sz="8" w:space="0" w:color="009FE3" w:themeColor="accent1"/>
          <w:left w:val="nil"/>
          <w:bottom w:val="single" w:sz="8" w:space="0" w:color="009FE3"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9E9FF" w:themeFill="accent1" w:themeFillTint="3F"/>
      </w:tcPr>
    </w:tblStylePr>
    <w:tblStylePr w:type="band1Horz">
      <w:tblPr/>
      <w:tcPr>
        <w:tcBorders>
          <w:left w:val="nil"/>
          <w:right w:val="nil"/>
          <w:insideH w:val="nil"/>
          <w:insideV w:val="nil"/>
        </w:tcBorders>
        <w:shd w:val="clear" w:color="auto" w:fill="B9E9FF" w:themeFill="accent1" w:themeFillTint="3F"/>
      </w:tcPr>
    </w:tblStylePr>
  </w:style>
  <w:style w:type="table" w:styleId="LightShading-Accent2">
    <w:name w:val="Light Shading Accent 2"/>
    <w:basedOn w:val="TableNormal"/>
    <w:uiPriority w:val="60"/>
    <w:semiHidden/>
    <w:unhideWhenUsed/>
    <w:rsid w:val="0090719C"/>
    <w:rPr>
      <w:color w:val="5F005F" w:themeColor="accent2" w:themeShade="BF"/>
    </w:rPr>
    <w:tblPr>
      <w:tblStyleRowBandSize w:val="1"/>
      <w:tblStyleColBandSize w:val="1"/>
      <w:tblBorders>
        <w:top w:val="single" w:sz="8" w:space="0" w:color="800080" w:themeColor="accent2"/>
        <w:bottom w:val="single" w:sz="8" w:space="0" w:color="800080" w:themeColor="accent2"/>
      </w:tblBorders>
    </w:tblPr>
    <w:tblStylePr w:type="firstRow">
      <w:pPr>
        <w:spacing w:before="0" w:after="0" w:line="240" w:lineRule="auto"/>
      </w:pPr>
      <w:rPr>
        <w:b/>
        <w:bCs/>
      </w:rPr>
      <w:tblPr/>
      <w:tcPr>
        <w:tcBorders>
          <w:top w:val="single" w:sz="8" w:space="0" w:color="800080" w:themeColor="accent2"/>
          <w:left w:val="nil"/>
          <w:bottom w:val="single" w:sz="8" w:space="0" w:color="800080" w:themeColor="accent2"/>
          <w:right w:val="nil"/>
          <w:insideH w:val="nil"/>
          <w:insideV w:val="nil"/>
        </w:tcBorders>
      </w:tcPr>
    </w:tblStylePr>
    <w:tblStylePr w:type="lastRow">
      <w:pPr>
        <w:spacing w:before="0" w:after="0" w:line="240" w:lineRule="auto"/>
      </w:pPr>
      <w:rPr>
        <w:b/>
        <w:bCs/>
      </w:rPr>
      <w:tblPr/>
      <w:tcPr>
        <w:tcBorders>
          <w:top w:val="single" w:sz="8" w:space="0" w:color="800080" w:themeColor="accent2"/>
          <w:left w:val="nil"/>
          <w:bottom w:val="single" w:sz="8" w:space="0" w:color="800080"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A0FF" w:themeFill="accent2" w:themeFillTint="3F"/>
      </w:tcPr>
    </w:tblStylePr>
    <w:tblStylePr w:type="band1Horz">
      <w:tblPr/>
      <w:tcPr>
        <w:tcBorders>
          <w:left w:val="nil"/>
          <w:right w:val="nil"/>
          <w:insideH w:val="nil"/>
          <w:insideV w:val="nil"/>
        </w:tcBorders>
        <w:shd w:val="clear" w:color="auto" w:fill="FFA0FF" w:themeFill="accent2" w:themeFillTint="3F"/>
      </w:tcPr>
    </w:tblStylePr>
  </w:style>
  <w:style w:type="table" w:styleId="LightShading-Accent3">
    <w:name w:val="Light Shading Accent 3"/>
    <w:basedOn w:val="TableNormal"/>
    <w:uiPriority w:val="60"/>
    <w:semiHidden/>
    <w:unhideWhenUsed/>
    <w:rsid w:val="0090719C"/>
    <w:rPr>
      <w:color w:val="1C8F8C" w:themeColor="accent3" w:themeShade="BF"/>
    </w:rPr>
    <w:tblPr>
      <w:tblStyleRowBandSize w:val="1"/>
      <w:tblStyleColBandSize w:val="1"/>
      <w:tblBorders>
        <w:top w:val="single" w:sz="8" w:space="0" w:color="26C0BC" w:themeColor="accent3"/>
        <w:bottom w:val="single" w:sz="8" w:space="0" w:color="26C0BC" w:themeColor="accent3"/>
      </w:tblBorders>
    </w:tblPr>
    <w:tblStylePr w:type="firstRow">
      <w:pPr>
        <w:spacing w:before="0" w:after="0" w:line="240" w:lineRule="auto"/>
      </w:pPr>
      <w:rPr>
        <w:b/>
        <w:bCs/>
      </w:rPr>
      <w:tblPr/>
      <w:tcPr>
        <w:tcBorders>
          <w:top w:val="single" w:sz="8" w:space="0" w:color="26C0BC" w:themeColor="accent3"/>
          <w:left w:val="nil"/>
          <w:bottom w:val="single" w:sz="8" w:space="0" w:color="26C0BC" w:themeColor="accent3"/>
          <w:right w:val="nil"/>
          <w:insideH w:val="nil"/>
          <w:insideV w:val="nil"/>
        </w:tcBorders>
      </w:tcPr>
    </w:tblStylePr>
    <w:tblStylePr w:type="lastRow">
      <w:pPr>
        <w:spacing w:before="0" w:after="0" w:line="240" w:lineRule="auto"/>
      </w:pPr>
      <w:rPr>
        <w:b/>
        <w:bCs/>
      </w:rPr>
      <w:tblPr/>
      <w:tcPr>
        <w:tcBorders>
          <w:top w:val="single" w:sz="8" w:space="0" w:color="26C0BC" w:themeColor="accent3"/>
          <w:left w:val="nil"/>
          <w:bottom w:val="single" w:sz="8" w:space="0" w:color="26C0BC"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5F3F2" w:themeFill="accent3" w:themeFillTint="3F"/>
      </w:tcPr>
    </w:tblStylePr>
    <w:tblStylePr w:type="band1Horz">
      <w:tblPr/>
      <w:tcPr>
        <w:tcBorders>
          <w:left w:val="nil"/>
          <w:right w:val="nil"/>
          <w:insideH w:val="nil"/>
          <w:insideV w:val="nil"/>
        </w:tcBorders>
        <w:shd w:val="clear" w:color="auto" w:fill="C5F3F2" w:themeFill="accent3" w:themeFillTint="3F"/>
      </w:tcPr>
    </w:tblStylePr>
  </w:style>
  <w:style w:type="table" w:styleId="LightShading-Accent4">
    <w:name w:val="Light Shading Accent 4"/>
    <w:basedOn w:val="TableNormal"/>
    <w:uiPriority w:val="60"/>
    <w:semiHidden/>
    <w:unhideWhenUsed/>
    <w:rsid w:val="0090719C"/>
    <w:rPr>
      <w:color w:val="972F50" w:themeColor="accent4" w:themeShade="BF"/>
    </w:rPr>
    <w:tblPr>
      <w:tblStyleRowBandSize w:val="1"/>
      <w:tblStyleColBandSize w:val="1"/>
      <w:tblBorders>
        <w:top w:val="single" w:sz="8" w:space="0" w:color="C5446E" w:themeColor="accent4"/>
        <w:bottom w:val="single" w:sz="8" w:space="0" w:color="C5446E" w:themeColor="accent4"/>
      </w:tblBorders>
    </w:tblPr>
    <w:tblStylePr w:type="firstRow">
      <w:pPr>
        <w:spacing w:before="0" w:after="0" w:line="240" w:lineRule="auto"/>
      </w:pPr>
      <w:rPr>
        <w:b/>
        <w:bCs/>
      </w:rPr>
      <w:tblPr/>
      <w:tcPr>
        <w:tcBorders>
          <w:top w:val="single" w:sz="8" w:space="0" w:color="C5446E" w:themeColor="accent4"/>
          <w:left w:val="nil"/>
          <w:bottom w:val="single" w:sz="8" w:space="0" w:color="C5446E" w:themeColor="accent4"/>
          <w:right w:val="nil"/>
          <w:insideH w:val="nil"/>
          <w:insideV w:val="nil"/>
        </w:tcBorders>
      </w:tcPr>
    </w:tblStylePr>
    <w:tblStylePr w:type="lastRow">
      <w:pPr>
        <w:spacing w:before="0" w:after="0" w:line="240" w:lineRule="auto"/>
      </w:pPr>
      <w:rPr>
        <w:b/>
        <w:bCs/>
      </w:rPr>
      <w:tblPr/>
      <w:tcPr>
        <w:tcBorders>
          <w:top w:val="single" w:sz="8" w:space="0" w:color="C5446E" w:themeColor="accent4"/>
          <w:left w:val="nil"/>
          <w:bottom w:val="single" w:sz="8" w:space="0" w:color="C5446E"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0D0DB" w:themeFill="accent4" w:themeFillTint="3F"/>
      </w:tcPr>
    </w:tblStylePr>
    <w:tblStylePr w:type="band1Horz">
      <w:tblPr/>
      <w:tcPr>
        <w:tcBorders>
          <w:left w:val="nil"/>
          <w:right w:val="nil"/>
          <w:insideH w:val="nil"/>
          <w:insideV w:val="nil"/>
        </w:tcBorders>
        <w:shd w:val="clear" w:color="auto" w:fill="F0D0DB" w:themeFill="accent4" w:themeFillTint="3F"/>
      </w:tcPr>
    </w:tblStylePr>
  </w:style>
  <w:style w:type="table" w:styleId="LightShading-Accent5">
    <w:name w:val="Light Shading Accent 5"/>
    <w:basedOn w:val="TableNormal"/>
    <w:uiPriority w:val="60"/>
    <w:semiHidden/>
    <w:unhideWhenUsed/>
    <w:rsid w:val="0090719C"/>
    <w:rPr>
      <w:color w:val="081720" w:themeColor="accent5" w:themeShade="BF"/>
    </w:rPr>
    <w:tblPr>
      <w:tblStyleRowBandSize w:val="1"/>
      <w:tblStyleColBandSize w:val="1"/>
      <w:tblBorders>
        <w:top w:val="single" w:sz="8" w:space="0" w:color="0B1F2C" w:themeColor="accent5"/>
        <w:bottom w:val="single" w:sz="8" w:space="0" w:color="0B1F2C" w:themeColor="accent5"/>
      </w:tblBorders>
    </w:tblPr>
    <w:tblStylePr w:type="firstRow">
      <w:pPr>
        <w:spacing w:before="0" w:after="0" w:line="240" w:lineRule="auto"/>
      </w:pPr>
      <w:rPr>
        <w:b/>
        <w:bCs/>
      </w:rPr>
      <w:tblPr/>
      <w:tcPr>
        <w:tcBorders>
          <w:top w:val="single" w:sz="8" w:space="0" w:color="0B1F2C" w:themeColor="accent5"/>
          <w:left w:val="nil"/>
          <w:bottom w:val="single" w:sz="8" w:space="0" w:color="0B1F2C" w:themeColor="accent5"/>
          <w:right w:val="nil"/>
          <w:insideH w:val="nil"/>
          <w:insideV w:val="nil"/>
        </w:tcBorders>
      </w:tcPr>
    </w:tblStylePr>
    <w:tblStylePr w:type="lastRow">
      <w:pPr>
        <w:spacing w:before="0" w:after="0" w:line="240" w:lineRule="auto"/>
      </w:pPr>
      <w:rPr>
        <w:b/>
        <w:bCs/>
      </w:rPr>
      <w:tblPr/>
      <w:tcPr>
        <w:tcBorders>
          <w:top w:val="single" w:sz="8" w:space="0" w:color="0B1F2C" w:themeColor="accent5"/>
          <w:left w:val="nil"/>
          <w:bottom w:val="single" w:sz="8" w:space="0" w:color="0B1F2C"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4CDE8" w:themeFill="accent5" w:themeFillTint="3F"/>
      </w:tcPr>
    </w:tblStylePr>
    <w:tblStylePr w:type="band1Horz">
      <w:tblPr/>
      <w:tcPr>
        <w:tcBorders>
          <w:left w:val="nil"/>
          <w:right w:val="nil"/>
          <w:insideH w:val="nil"/>
          <w:insideV w:val="nil"/>
        </w:tcBorders>
        <w:shd w:val="clear" w:color="auto" w:fill="A4CDE8" w:themeFill="accent5" w:themeFillTint="3F"/>
      </w:tcPr>
    </w:tblStylePr>
  </w:style>
  <w:style w:type="table" w:styleId="LightShading-Accent6">
    <w:name w:val="Light Shading Accent 6"/>
    <w:basedOn w:val="TableNormal"/>
    <w:uiPriority w:val="60"/>
    <w:semiHidden/>
    <w:unhideWhenUsed/>
    <w:rsid w:val="0090719C"/>
    <w:rPr>
      <w:color w:val="6B6B6B" w:themeColor="accent6" w:themeShade="BF"/>
    </w:rPr>
    <w:tblPr>
      <w:tblStyleRowBandSize w:val="1"/>
      <w:tblStyleColBandSize w:val="1"/>
      <w:tblBorders>
        <w:top w:val="single" w:sz="8" w:space="0" w:color="909090" w:themeColor="accent6"/>
        <w:bottom w:val="single" w:sz="8" w:space="0" w:color="909090" w:themeColor="accent6"/>
      </w:tblBorders>
    </w:tblPr>
    <w:tblStylePr w:type="firstRow">
      <w:pPr>
        <w:spacing w:before="0" w:after="0" w:line="240" w:lineRule="auto"/>
      </w:pPr>
      <w:rPr>
        <w:b/>
        <w:bCs/>
      </w:rPr>
      <w:tblPr/>
      <w:tcPr>
        <w:tcBorders>
          <w:top w:val="single" w:sz="8" w:space="0" w:color="909090" w:themeColor="accent6"/>
          <w:left w:val="nil"/>
          <w:bottom w:val="single" w:sz="8" w:space="0" w:color="909090" w:themeColor="accent6"/>
          <w:right w:val="nil"/>
          <w:insideH w:val="nil"/>
          <w:insideV w:val="nil"/>
        </w:tcBorders>
      </w:tcPr>
    </w:tblStylePr>
    <w:tblStylePr w:type="lastRow">
      <w:pPr>
        <w:spacing w:before="0" w:after="0" w:line="240" w:lineRule="auto"/>
      </w:pPr>
      <w:rPr>
        <w:b/>
        <w:bCs/>
      </w:rPr>
      <w:tblPr/>
      <w:tcPr>
        <w:tcBorders>
          <w:top w:val="single" w:sz="8" w:space="0" w:color="909090" w:themeColor="accent6"/>
          <w:left w:val="nil"/>
          <w:bottom w:val="single" w:sz="8" w:space="0" w:color="909090"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3E3E3" w:themeFill="accent6" w:themeFillTint="3F"/>
      </w:tcPr>
    </w:tblStylePr>
    <w:tblStylePr w:type="band1Horz">
      <w:tblPr/>
      <w:tcPr>
        <w:tcBorders>
          <w:left w:val="nil"/>
          <w:right w:val="nil"/>
          <w:insideH w:val="nil"/>
          <w:insideV w:val="nil"/>
        </w:tcBorders>
        <w:shd w:val="clear" w:color="auto" w:fill="E3E3E3" w:themeFill="accent6" w:themeFillTint="3F"/>
      </w:tcPr>
    </w:tblStylePr>
  </w:style>
  <w:style w:type="character" w:styleId="LineNumber">
    <w:name w:val="line number"/>
    <w:basedOn w:val="DefaultParagraphFont"/>
    <w:uiPriority w:val="99"/>
    <w:semiHidden/>
    <w:unhideWhenUsed/>
    <w:rsid w:val="0090719C"/>
    <w:rPr>
      <w:lang w:val="en-GB"/>
    </w:rPr>
  </w:style>
  <w:style w:type="paragraph" w:styleId="List">
    <w:name w:val="List"/>
    <w:basedOn w:val="Normal"/>
    <w:uiPriority w:val="99"/>
    <w:semiHidden/>
    <w:unhideWhenUsed/>
    <w:rsid w:val="0090719C"/>
    <w:pPr>
      <w:ind w:left="283" w:hanging="283"/>
      <w:contextualSpacing/>
    </w:pPr>
  </w:style>
  <w:style w:type="paragraph" w:styleId="List2">
    <w:name w:val="List 2"/>
    <w:basedOn w:val="Normal"/>
    <w:uiPriority w:val="99"/>
    <w:semiHidden/>
    <w:unhideWhenUsed/>
    <w:rsid w:val="0090719C"/>
    <w:pPr>
      <w:ind w:left="566" w:hanging="283"/>
      <w:contextualSpacing/>
    </w:pPr>
  </w:style>
  <w:style w:type="paragraph" w:styleId="List3">
    <w:name w:val="List 3"/>
    <w:basedOn w:val="Normal"/>
    <w:uiPriority w:val="99"/>
    <w:semiHidden/>
    <w:unhideWhenUsed/>
    <w:rsid w:val="0090719C"/>
    <w:pPr>
      <w:ind w:left="849" w:hanging="283"/>
      <w:contextualSpacing/>
    </w:pPr>
  </w:style>
  <w:style w:type="paragraph" w:styleId="List4">
    <w:name w:val="List 4"/>
    <w:basedOn w:val="Normal"/>
    <w:uiPriority w:val="99"/>
    <w:semiHidden/>
    <w:unhideWhenUsed/>
    <w:rsid w:val="0090719C"/>
    <w:pPr>
      <w:ind w:left="1132" w:hanging="283"/>
      <w:contextualSpacing/>
    </w:pPr>
  </w:style>
  <w:style w:type="paragraph" w:styleId="List5">
    <w:name w:val="List 5"/>
    <w:basedOn w:val="Normal"/>
    <w:uiPriority w:val="99"/>
    <w:semiHidden/>
    <w:unhideWhenUsed/>
    <w:rsid w:val="0090719C"/>
    <w:pPr>
      <w:ind w:left="1415" w:hanging="283"/>
      <w:contextualSpacing/>
    </w:pPr>
  </w:style>
  <w:style w:type="paragraph" w:styleId="ListBullet">
    <w:name w:val="List Bullet"/>
    <w:basedOn w:val="ListParagraph"/>
    <w:uiPriority w:val="99"/>
    <w:rsid w:val="00E2705A"/>
    <w:pPr>
      <w:numPr>
        <w:ilvl w:val="2"/>
        <w:numId w:val="2"/>
      </w:numPr>
      <w:tabs>
        <w:tab w:val="left" w:pos="963"/>
      </w:tabs>
      <w:spacing w:before="0" w:after="60"/>
      <w:ind w:left="454" w:hanging="454"/>
    </w:pPr>
  </w:style>
  <w:style w:type="paragraph" w:styleId="ListBullet2">
    <w:name w:val="List Bullet 2"/>
    <w:basedOn w:val="BodyText"/>
    <w:uiPriority w:val="19"/>
    <w:rsid w:val="00E2705A"/>
    <w:pPr>
      <w:numPr>
        <w:numId w:val="16"/>
      </w:numPr>
      <w:spacing w:before="60" w:after="60"/>
      <w:ind w:left="908" w:hanging="454"/>
    </w:pPr>
    <w:rPr>
      <w:spacing w:val="-2"/>
    </w:rPr>
  </w:style>
  <w:style w:type="paragraph" w:styleId="ListBullet3">
    <w:name w:val="List Bullet 3"/>
    <w:basedOn w:val="ListBullet"/>
    <w:uiPriority w:val="19"/>
    <w:rsid w:val="00E2705A"/>
    <w:pPr>
      <w:ind w:left="908"/>
    </w:pPr>
  </w:style>
  <w:style w:type="paragraph" w:styleId="ListBullet4">
    <w:name w:val="List Bullet 4"/>
    <w:basedOn w:val="BodyText"/>
    <w:uiPriority w:val="19"/>
    <w:rsid w:val="00E2705A"/>
    <w:pPr>
      <w:numPr>
        <w:numId w:val="26"/>
      </w:numPr>
      <w:spacing w:after="180"/>
      <w:ind w:left="1361" w:hanging="454"/>
    </w:pPr>
  </w:style>
  <w:style w:type="paragraph" w:styleId="ListBullet5">
    <w:name w:val="List Bullet 5"/>
    <w:basedOn w:val="Normal"/>
    <w:uiPriority w:val="99"/>
    <w:semiHidden/>
    <w:unhideWhenUsed/>
    <w:rsid w:val="0090719C"/>
    <w:pPr>
      <w:numPr>
        <w:numId w:val="10"/>
      </w:numPr>
      <w:contextualSpacing/>
    </w:pPr>
  </w:style>
  <w:style w:type="paragraph" w:styleId="ListContinue">
    <w:name w:val="List Continue"/>
    <w:basedOn w:val="Normal"/>
    <w:uiPriority w:val="99"/>
    <w:semiHidden/>
    <w:unhideWhenUsed/>
    <w:rsid w:val="0090719C"/>
    <w:pPr>
      <w:spacing w:after="120"/>
      <w:ind w:left="283"/>
      <w:contextualSpacing/>
    </w:pPr>
  </w:style>
  <w:style w:type="paragraph" w:styleId="ListContinue2">
    <w:name w:val="List Continue 2"/>
    <w:basedOn w:val="Normal"/>
    <w:uiPriority w:val="99"/>
    <w:semiHidden/>
    <w:unhideWhenUsed/>
    <w:rsid w:val="0090719C"/>
    <w:pPr>
      <w:spacing w:after="120"/>
      <w:ind w:left="566"/>
      <w:contextualSpacing/>
    </w:pPr>
  </w:style>
  <w:style w:type="paragraph" w:styleId="ListContinue3">
    <w:name w:val="List Continue 3"/>
    <w:basedOn w:val="Normal"/>
    <w:uiPriority w:val="99"/>
    <w:semiHidden/>
    <w:unhideWhenUsed/>
    <w:rsid w:val="0090719C"/>
    <w:pPr>
      <w:spacing w:after="120"/>
      <w:ind w:left="849"/>
      <w:contextualSpacing/>
    </w:pPr>
  </w:style>
  <w:style w:type="paragraph" w:styleId="ListContinue4">
    <w:name w:val="List Continue 4"/>
    <w:basedOn w:val="Normal"/>
    <w:uiPriority w:val="99"/>
    <w:semiHidden/>
    <w:unhideWhenUsed/>
    <w:rsid w:val="0090719C"/>
    <w:pPr>
      <w:spacing w:after="120"/>
      <w:ind w:left="1132"/>
      <w:contextualSpacing/>
    </w:pPr>
  </w:style>
  <w:style w:type="paragraph" w:styleId="ListContinue5">
    <w:name w:val="List Continue 5"/>
    <w:basedOn w:val="Normal"/>
    <w:uiPriority w:val="99"/>
    <w:semiHidden/>
    <w:unhideWhenUsed/>
    <w:rsid w:val="0090719C"/>
    <w:pPr>
      <w:spacing w:after="120"/>
      <w:ind w:left="1415"/>
      <w:contextualSpacing/>
    </w:pPr>
  </w:style>
  <w:style w:type="paragraph" w:styleId="ListNumber">
    <w:name w:val="List Number"/>
    <w:basedOn w:val="Normal"/>
    <w:uiPriority w:val="19"/>
    <w:rsid w:val="00E2705A"/>
    <w:pPr>
      <w:numPr>
        <w:numId w:val="30"/>
      </w:numPr>
      <w:spacing w:before="120" w:after="120"/>
    </w:pPr>
  </w:style>
  <w:style w:type="paragraph" w:styleId="ListNumber2">
    <w:name w:val="List Number 2"/>
    <w:basedOn w:val="Normal"/>
    <w:uiPriority w:val="99"/>
    <w:semiHidden/>
    <w:unhideWhenUsed/>
    <w:rsid w:val="0090719C"/>
    <w:pPr>
      <w:numPr>
        <w:numId w:val="12"/>
      </w:numPr>
      <w:contextualSpacing/>
    </w:pPr>
  </w:style>
  <w:style w:type="paragraph" w:styleId="ListNumber3">
    <w:name w:val="List Number 3"/>
    <w:basedOn w:val="Normal"/>
    <w:uiPriority w:val="99"/>
    <w:semiHidden/>
    <w:unhideWhenUsed/>
    <w:rsid w:val="0090719C"/>
    <w:pPr>
      <w:numPr>
        <w:numId w:val="13"/>
      </w:numPr>
      <w:contextualSpacing/>
    </w:pPr>
  </w:style>
  <w:style w:type="paragraph" w:styleId="ListNumber4">
    <w:name w:val="List Number 4"/>
    <w:basedOn w:val="Normal"/>
    <w:uiPriority w:val="99"/>
    <w:semiHidden/>
    <w:unhideWhenUsed/>
    <w:rsid w:val="0090719C"/>
    <w:pPr>
      <w:numPr>
        <w:numId w:val="14"/>
      </w:numPr>
      <w:contextualSpacing/>
    </w:pPr>
  </w:style>
  <w:style w:type="paragraph" w:styleId="ListNumber5">
    <w:name w:val="List Number 5"/>
    <w:basedOn w:val="Normal"/>
    <w:uiPriority w:val="99"/>
    <w:semiHidden/>
    <w:unhideWhenUsed/>
    <w:rsid w:val="0090719C"/>
    <w:pPr>
      <w:numPr>
        <w:numId w:val="15"/>
      </w:numPr>
      <w:contextualSpacing/>
    </w:pPr>
  </w:style>
  <w:style w:type="table" w:styleId="ListTable1Light">
    <w:name w:val="List Table 1 Light"/>
    <w:basedOn w:val="TableNormal"/>
    <w:uiPriority w:val="46"/>
    <w:rsid w:val="0090719C"/>
    <w:tblPr>
      <w:tblStyleRowBandSize w:val="1"/>
      <w:tblStyleColBandSize w:val="1"/>
    </w:tblPr>
    <w:tblStylePr w:type="firstRow">
      <w:rPr>
        <w:b/>
        <w:bCs/>
      </w:rPr>
      <w:tblPr/>
      <w:tcPr>
        <w:tcBorders>
          <w:bottom w:val="single" w:sz="4" w:space="0" w:color="2F85BD" w:themeColor="text1" w:themeTint="99"/>
        </w:tcBorders>
      </w:tcPr>
    </w:tblStylePr>
    <w:tblStylePr w:type="lastRow">
      <w:rPr>
        <w:b/>
        <w:bCs/>
      </w:rPr>
      <w:tblPr/>
      <w:tcPr>
        <w:tcBorders>
          <w:top w:val="single" w:sz="4" w:space="0" w:color="2F85BD" w:themeColor="text1" w:themeTint="99"/>
        </w:tcBorders>
      </w:tcPr>
    </w:tblStylePr>
    <w:tblStylePr w:type="firstCol">
      <w:rPr>
        <w:b/>
        <w:bCs/>
      </w:rPr>
    </w:tblStylePr>
    <w:tblStylePr w:type="lastCol">
      <w:rPr>
        <w:b/>
        <w:bCs/>
      </w:rPr>
    </w:tblStylePr>
    <w:tblStylePr w:type="band1Vert">
      <w:tblPr/>
      <w:tcPr>
        <w:shd w:val="clear" w:color="auto" w:fill="B6D7EC" w:themeFill="text1" w:themeFillTint="33"/>
      </w:tcPr>
    </w:tblStylePr>
    <w:tblStylePr w:type="band1Horz">
      <w:tblPr/>
      <w:tcPr>
        <w:shd w:val="clear" w:color="auto" w:fill="B6D7EC" w:themeFill="text1" w:themeFillTint="33"/>
      </w:tcPr>
    </w:tblStylePr>
  </w:style>
  <w:style w:type="table" w:styleId="ListTable1Light-Accent1">
    <w:name w:val="List Table 1 Light Accent 1"/>
    <w:basedOn w:val="TableNormal"/>
    <w:uiPriority w:val="46"/>
    <w:rsid w:val="0090719C"/>
    <w:tblPr>
      <w:tblStyleRowBandSize w:val="1"/>
      <w:tblStyleColBandSize w:val="1"/>
    </w:tblPr>
    <w:tblStylePr w:type="firstRow">
      <w:rPr>
        <w:b/>
        <w:bCs/>
      </w:rPr>
      <w:tblPr/>
      <w:tcPr>
        <w:tcBorders>
          <w:bottom w:val="single" w:sz="4" w:space="0" w:color="55CBFF" w:themeColor="accent1" w:themeTint="99"/>
        </w:tcBorders>
      </w:tcPr>
    </w:tblStylePr>
    <w:tblStylePr w:type="lastRow">
      <w:rPr>
        <w:b/>
        <w:bCs/>
      </w:rPr>
      <w:tblPr/>
      <w:tcPr>
        <w:tcBorders>
          <w:top w:val="single" w:sz="4" w:space="0" w:color="55CBFF" w:themeColor="accent1" w:themeTint="99"/>
        </w:tcBorders>
      </w:tcPr>
    </w:tblStylePr>
    <w:tblStylePr w:type="firstCol">
      <w:rPr>
        <w:b/>
        <w:bCs/>
      </w:rPr>
    </w:tblStylePr>
    <w:tblStylePr w:type="lastCol">
      <w:rPr>
        <w:b/>
        <w:bCs/>
      </w:rPr>
    </w:tblStylePr>
    <w:tblStylePr w:type="band1Vert">
      <w:tblPr/>
      <w:tcPr>
        <w:shd w:val="clear" w:color="auto" w:fill="C6EDFF" w:themeFill="accent1" w:themeFillTint="33"/>
      </w:tcPr>
    </w:tblStylePr>
    <w:tblStylePr w:type="band1Horz">
      <w:tblPr/>
      <w:tcPr>
        <w:shd w:val="clear" w:color="auto" w:fill="C6EDFF" w:themeFill="accent1" w:themeFillTint="33"/>
      </w:tcPr>
    </w:tblStylePr>
  </w:style>
  <w:style w:type="table" w:styleId="ListTable1Light-Accent2">
    <w:name w:val="List Table 1 Light Accent 2"/>
    <w:basedOn w:val="TableNormal"/>
    <w:uiPriority w:val="46"/>
    <w:rsid w:val="0090719C"/>
    <w:tblPr>
      <w:tblStyleRowBandSize w:val="1"/>
      <w:tblStyleColBandSize w:val="1"/>
    </w:tblPr>
    <w:tblStylePr w:type="firstRow">
      <w:rPr>
        <w:b/>
        <w:bCs/>
      </w:rPr>
      <w:tblPr/>
      <w:tcPr>
        <w:tcBorders>
          <w:bottom w:val="single" w:sz="4" w:space="0" w:color="FF19FF" w:themeColor="accent2" w:themeTint="99"/>
        </w:tcBorders>
      </w:tcPr>
    </w:tblStylePr>
    <w:tblStylePr w:type="lastRow">
      <w:rPr>
        <w:b/>
        <w:bCs/>
      </w:rPr>
      <w:tblPr/>
      <w:tcPr>
        <w:tcBorders>
          <w:top w:val="single" w:sz="4" w:space="0" w:color="FF19FF" w:themeColor="accent2" w:themeTint="99"/>
        </w:tcBorders>
      </w:tcPr>
    </w:tblStylePr>
    <w:tblStylePr w:type="firstCol">
      <w:rPr>
        <w:b/>
        <w:bCs/>
      </w:rPr>
    </w:tblStylePr>
    <w:tblStylePr w:type="lastCol">
      <w:rPr>
        <w:b/>
        <w:bCs/>
      </w:rPr>
    </w:tblStylePr>
    <w:tblStylePr w:type="band1Vert">
      <w:tblPr/>
      <w:tcPr>
        <w:shd w:val="clear" w:color="auto" w:fill="FFB2FF" w:themeFill="accent2" w:themeFillTint="33"/>
      </w:tcPr>
    </w:tblStylePr>
    <w:tblStylePr w:type="band1Horz">
      <w:tblPr/>
      <w:tcPr>
        <w:shd w:val="clear" w:color="auto" w:fill="FFB2FF" w:themeFill="accent2" w:themeFillTint="33"/>
      </w:tcPr>
    </w:tblStylePr>
  </w:style>
  <w:style w:type="table" w:styleId="ListTable1Light-Accent3">
    <w:name w:val="List Table 1 Light Accent 3"/>
    <w:basedOn w:val="TableNormal"/>
    <w:uiPriority w:val="46"/>
    <w:rsid w:val="0090719C"/>
    <w:tblPr>
      <w:tblStyleRowBandSize w:val="1"/>
      <w:tblStyleColBandSize w:val="1"/>
    </w:tblPr>
    <w:tblStylePr w:type="firstRow">
      <w:rPr>
        <w:b/>
        <w:bCs/>
      </w:rPr>
      <w:tblPr/>
      <w:tcPr>
        <w:tcBorders>
          <w:bottom w:val="single" w:sz="4" w:space="0" w:color="72E3E0" w:themeColor="accent3" w:themeTint="99"/>
        </w:tcBorders>
      </w:tcPr>
    </w:tblStylePr>
    <w:tblStylePr w:type="lastRow">
      <w:rPr>
        <w:b/>
        <w:bCs/>
      </w:rPr>
      <w:tblPr/>
      <w:tcPr>
        <w:tcBorders>
          <w:top w:val="single" w:sz="4" w:space="0" w:color="72E3E0" w:themeColor="accent3" w:themeTint="99"/>
        </w:tcBorders>
      </w:tcPr>
    </w:tblStylePr>
    <w:tblStylePr w:type="firstCol">
      <w:rPr>
        <w:b/>
        <w:bCs/>
      </w:rPr>
    </w:tblStylePr>
    <w:tblStylePr w:type="lastCol">
      <w:rPr>
        <w:b/>
        <w:bCs/>
      </w:rPr>
    </w:tblStylePr>
    <w:tblStylePr w:type="band1Vert">
      <w:tblPr/>
      <w:tcPr>
        <w:shd w:val="clear" w:color="auto" w:fill="D0F5F4" w:themeFill="accent3" w:themeFillTint="33"/>
      </w:tcPr>
    </w:tblStylePr>
    <w:tblStylePr w:type="band1Horz">
      <w:tblPr/>
      <w:tcPr>
        <w:shd w:val="clear" w:color="auto" w:fill="D0F5F4" w:themeFill="accent3" w:themeFillTint="33"/>
      </w:tcPr>
    </w:tblStylePr>
  </w:style>
  <w:style w:type="table" w:styleId="ListTable1Light-Accent4">
    <w:name w:val="List Table 1 Light Accent 4"/>
    <w:basedOn w:val="TableNormal"/>
    <w:uiPriority w:val="46"/>
    <w:rsid w:val="0090719C"/>
    <w:tblPr>
      <w:tblStyleRowBandSize w:val="1"/>
      <w:tblStyleColBandSize w:val="1"/>
    </w:tblPr>
    <w:tblStylePr w:type="firstRow">
      <w:rPr>
        <w:b/>
        <w:bCs/>
      </w:rPr>
      <w:tblPr/>
      <w:tcPr>
        <w:tcBorders>
          <w:bottom w:val="single" w:sz="4" w:space="0" w:color="DC8EA7" w:themeColor="accent4" w:themeTint="99"/>
        </w:tcBorders>
      </w:tcPr>
    </w:tblStylePr>
    <w:tblStylePr w:type="lastRow">
      <w:rPr>
        <w:b/>
        <w:bCs/>
      </w:rPr>
      <w:tblPr/>
      <w:tcPr>
        <w:tcBorders>
          <w:top w:val="single" w:sz="4" w:space="0" w:color="DC8EA7" w:themeColor="accent4" w:themeTint="99"/>
        </w:tcBorders>
      </w:tcPr>
    </w:tblStylePr>
    <w:tblStylePr w:type="firstCol">
      <w:rPr>
        <w:b/>
        <w:bCs/>
      </w:rPr>
    </w:tblStylePr>
    <w:tblStylePr w:type="lastCol">
      <w:rPr>
        <w:b/>
        <w:bCs/>
      </w:rPr>
    </w:tblStylePr>
    <w:tblStylePr w:type="band1Vert">
      <w:tblPr/>
      <w:tcPr>
        <w:shd w:val="clear" w:color="auto" w:fill="F3D9E1" w:themeFill="accent4" w:themeFillTint="33"/>
      </w:tcPr>
    </w:tblStylePr>
    <w:tblStylePr w:type="band1Horz">
      <w:tblPr/>
      <w:tcPr>
        <w:shd w:val="clear" w:color="auto" w:fill="F3D9E1" w:themeFill="accent4" w:themeFillTint="33"/>
      </w:tcPr>
    </w:tblStylePr>
  </w:style>
  <w:style w:type="table" w:styleId="ListTable1Light-Accent5">
    <w:name w:val="List Table 1 Light Accent 5"/>
    <w:basedOn w:val="TableNormal"/>
    <w:uiPriority w:val="46"/>
    <w:rsid w:val="0090719C"/>
    <w:tblPr>
      <w:tblStyleRowBandSize w:val="1"/>
      <w:tblStyleColBandSize w:val="1"/>
    </w:tblPr>
    <w:tblStylePr w:type="firstRow">
      <w:rPr>
        <w:b/>
        <w:bCs/>
      </w:rPr>
      <w:tblPr/>
      <w:tcPr>
        <w:tcBorders>
          <w:bottom w:val="single" w:sz="4" w:space="0" w:color="2F85BD" w:themeColor="accent5" w:themeTint="99"/>
        </w:tcBorders>
      </w:tcPr>
    </w:tblStylePr>
    <w:tblStylePr w:type="lastRow">
      <w:rPr>
        <w:b/>
        <w:bCs/>
      </w:rPr>
      <w:tblPr/>
      <w:tcPr>
        <w:tcBorders>
          <w:top w:val="single" w:sz="4" w:space="0" w:color="2F85BD" w:themeColor="accent5" w:themeTint="99"/>
        </w:tcBorders>
      </w:tcPr>
    </w:tblStylePr>
    <w:tblStylePr w:type="firstCol">
      <w:rPr>
        <w:b/>
        <w:bCs/>
      </w:rPr>
    </w:tblStylePr>
    <w:tblStylePr w:type="lastCol">
      <w:rPr>
        <w:b/>
        <w:bCs/>
      </w:rPr>
    </w:tblStylePr>
    <w:tblStylePr w:type="band1Vert">
      <w:tblPr/>
      <w:tcPr>
        <w:shd w:val="clear" w:color="auto" w:fill="B6D7EC" w:themeFill="accent5" w:themeFillTint="33"/>
      </w:tcPr>
    </w:tblStylePr>
    <w:tblStylePr w:type="band1Horz">
      <w:tblPr/>
      <w:tcPr>
        <w:shd w:val="clear" w:color="auto" w:fill="B6D7EC" w:themeFill="accent5" w:themeFillTint="33"/>
      </w:tcPr>
    </w:tblStylePr>
  </w:style>
  <w:style w:type="table" w:styleId="ListTable1Light-Accent6">
    <w:name w:val="List Table 1 Light Accent 6"/>
    <w:basedOn w:val="TableNormal"/>
    <w:uiPriority w:val="46"/>
    <w:rsid w:val="0090719C"/>
    <w:tblPr>
      <w:tblStyleRowBandSize w:val="1"/>
      <w:tblStyleColBandSize w:val="1"/>
    </w:tblPr>
    <w:tblStylePr w:type="firstRow">
      <w:rPr>
        <w:b/>
        <w:bCs/>
      </w:rPr>
      <w:tblPr/>
      <w:tcPr>
        <w:tcBorders>
          <w:bottom w:val="single" w:sz="4" w:space="0" w:color="BCBCBC" w:themeColor="accent6" w:themeTint="99"/>
        </w:tcBorders>
      </w:tcPr>
    </w:tblStylePr>
    <w:tblStylePr w:type="lastRow">
      <w:rPr>
        <w:b/>
        <w:bCs/>
      </w:rPr>
      <w:tblPr/>
      <w:tcPr>
        <w:tcBorders>
          <w:top w:val="single" w:sz="4" w:space="0" w:color="BCBCBC" w:themeColor="accent6" w:themeTint="99"/>
        </w:tcBorders>
      </w:tcPr>
    </w:tblStylePr>
    <w:tblStylePr w:type="firstCol">
      <w:rPr>
        <w:b/>
        <w:bCs/>
      </w:rPr>
    </w:tblStylePr>
    <w:tblStylePr w:type="lastCol">
      <w:rPr>
        <w:b/>
        <w:bCs/>
      </w:rPr>
    </w:tblStylePr>
    <w:tblStylePr w:type="band1Vert">
      <w:tblPr/>
      <w:tcPr>
        <w:shd w:val="clear" w:color="auto" w:fill="E8E8E8" w:themeFill="accent6" w:themeFillTint="33"/>
      </w:tcPr>
    </w:tblStylePr>
    <w:tblStylePr w:type="band1Horz">
      <w:tblPr/>
      <w:tcPr>
        <w:shd w:val="clear" w:color="auto" w:fill="E8E8E8" w:themeFill="accent6" w:themeFillTint="33"/>
      </w:tcPr>
    </w:tblStylePr>
  </w:style>
  <w:style w:type="table" w:styleId="ListTable2">
    <w:name w:val="List Table 2"/>
    <w:basedOn w:val="TableNormal"/>
    <w:uiPriority w:val="47"/>
    <w:rsid w:val="0090719C"/>
    <w:tblPr>
      <w:tblStyleRowBandSize w:val="1"/>
      <w:tblStyleColBandSize w:val="1"/>
      <w:tblBorders>
        <w:top w:val="single" w:sz="4" w:space="0" w:color="2F85BD" w:themeColor="text1" w:themeTint="99"/>
        <w:bottom w:val="single" w:sz="4" w:space="0" w:color="2F85BD" w:themeColor="text1" w:themeTint="99"/>
        <w:insideH w:val="single" w:sz="4" w:space="0" w:color="2F85BD"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B6D7EC" w:themeFill="text1" w:themeFillTint="33"/>
      </w:tcPr>
    </w:tblStylePr>
    <w:tblStylePr w:type="band1Horz">
      <w:tblPr/>
      <w:tcPr>
        <w:shd w:val="clear" w:color="auto" w:fill="B6D7EC" w:themeFill="text1" w:themeFillTint="33"/>
      </w:tcPr>
    </w:tblStylePr>
  </w:style>
  <w:style w:type="table" w:styleId="ListTable2-Accent1">
    <w:name w:val="List Table 2 Accent 1"/>
    <w:basedOn w:val="TableNormal"/>
    <w:uiPriority w:val="47"/>
    <w:rsid w:val="0090719C"/>
    <w:tblPr>
      <w:tblStyleRowBandSize w:val="1"/>
      <w:tblStyleColBandSize w:val="1"/>
      <w:tblBorders>
        <w:top w:val="single" w:sz="4" w:space="0" w:color="55CBFF" w:themeColor="accent1" w:themeTint="99"/>
        <w:bottom w:val="single" w:sz="4" w:space="0" w:color="55CBFF" w:themeColor="accent1" w:themeTint="99"/>
        <w:insideH w:val="single" w:sz="4" w:space="0" w:color="55CBFF"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6EDFF" w:themeFill="accent1" w:themeFillTint="33"/>
      </w:tcPr>
    </w:tblStylePr>
    <w:tblStylePr w:type="band1Horz">
      <w:tblPr/>
      <w:tcPr>
        <w:shd w:val="clear" w:color="auto" w:fill="C6EDFF" w:themeFill="accent1" w:themeFillTint="33"/>
      </w:tcPr>
    </w:tblStylePr>
  </w:style>
  <w:style w:type="table" w:styleId="ListTable2-Accent2">
    <w:name w:val="List Table 2 Accent 2"/>
    <w:basedOn w:val="TableNormal"/>
    <w:uiPriority w:val="47"/>
    <w:rsid w:val="0090719C"/>
    <w:tblPr>
      <w:tblStyleRowBandSize w:val="1"/>
      <w:tblStyleColBandSize w:val="1"/>
      <w:tblBorders>
        <w:top w:val="single" w:sz="4" w:space="0" w:color="FF19FF" w:themeColor="accent2" w:themeTint="99"/>
        <w:bottom w:val="single" w:sz="4" w:space="0" w:color="FF19FF" w:themeColor="accent2" w:themeTint="99"/>
        <w:insideH w:val="single" w:sz="4" w:space="0" w:color="FF19FF"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FB2FF" w:themeFill="accent2" w:themeFillTint="33"/>
      </w:tcPr>
    </w:tblStylePr>
    <w:tblStylePr w:type="band1Horz">
      <w:tblPr/>
      <w:tcPr>
        <w:shd w:val="clear" w:color="auto" w:fill="FFB2FF" w:themeFill="accent2" w:themeFillTint="33"/>
      </w:tcPr>
    </w:tblStylePr>
  </w:style>
  <w:style w:type="table" w:styleId="ListTable2-Accent3">
    <w:name w:val="List Table 2 Accent 3"/>
    <w:basedOn w:val="TableNormal"/>
    <w:uiPriority w:val="47"/>
    <w:rsid w:val="0090719C"/>
    <w:tblPr>
      <w:tblStyleRowBandSize w:val="1"/>
      <w:tblStyleColBandSize w:val="1"/>
      <w:tblBorders>
        <w:top w:val="single" w:sz="4" w:space="0" w:color="72E3E0" w:themeColor="accent3" w:themeTint="99"/>
        <w:bottom w:val="single" w:sz="4" w:space="0" w:color="72E3E0" w:themeColor="accent3" w:themeTint="99"/>
        <w:insideH w:val="single" w:sz="4" w:space="0" w:color="72E3E0"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0F5F4" w:themeFill="accent3" w:themeFillTint="33"/>
      </w:tcPr>
    </w:tblStylePr>
    <w:tblStylePr w:type="band1Horz">
      <w:tblPr/>
      <w:tcPr>
        <w:shd w:val="clear" w:color="auto" w:fill="D0F5F4" w:themeFill="accent3" w:themeFillTint="33"/>
      </w:tcPr>
    </w:tblStylePr>
  </w:style>
  <w:style w:type="table" w:styleId="ListTable2-Accent4">
    <w:name w:val="List Table 2 Accent 4"/>
    <w:basedOn w:val="TableNormal"/>
    <w:uiPriority w:val="47"/>
    <w:rsid w:val="0090719C"/>
    <w:tblPr>
      <w:tblStyleRowBandSize w:val="1"/>
      <w:tblStyleColBandSize w:val="1"/>
      <w:tblBorders>
        <w:top w:val="single" w:sz="4" w:space="0" w:color="DC8EA7" w:themeColor="accent4" w:themeTint="99"/>
        <w:bottom w:val="single" w:sz="4" w:space="0" w:color="DC8EA7" w:themeColor="accent4" w:themeTint="99"/>
        <w:insideH w:val="single" w:sz="4" w:space="0" w:color="DC8EA7"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3D9E1" w:themeFill="accent4" w:themeFillTint="33"/>
      </w:tcPr>
    </w:tblStylePr>
    <w:tblStylePr w:type="band1Horz">
      <w:tblPr/>
      <w:tcPr>
        <w:shd w:val="clear" w:color="auto" w:fill="F3D9E1" w:themeFill="accent4" w:themeFillTint="33"/>
      </w:tcPr>
    </w:tblStylePr>
  </w:style>
  <w:style w:type="table" w:styleId="ListTable2-Accent5">
    <w:name w:val="List Table 2 Accent 5"/>
    <w:basedOn w:val="TableNormal"/>
    <w:uiPriority w:val="47"/>
    <w:rsid w:val="0090719C"/>
    <w:tblPr>
      <w:tblStyleRowBandSize w:val="1"/>
      <w:tblStyleColBandSize w:val="1"/>
      <w:tblBorders>
        <w:top w:val="single" w:sz="4" w:space="0" w:color="2F85BD" w:themeColor="accent5" w:themeTint="99"/>
        <w:bottom w:val="single" w:sz="4" w:space="0" w:color="2F85BD" w:themeColor="accent5" w:themeTint="99"/>
        <w:insideH w:val="single" w:sz="4" w:space="0" w:color="2F85BD"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B6D7EC" w:themeFill="accent5" w:themeFillTint="33"/>
      </w:tcPr>
    </w:tblStylePr>
    <w:tblStylePr w:type="band1Horz">
      <w:tblPr/>
      <w:tcPr>
        <w:shd w:val="clear" w:color="auto" w:fill="B6D7EC" w:themeFill="accent5" w:themeFillTint="33"/>
      </w:tcPr>
    </w:tblStylePr>
  </w:style>
  <w:style w:type="table" w:styleId="ListTable2-Accent6">
    <w:name w:val="List Table 2 Accent 6"/>
    <w:basedOn w:val="TableNormal"/>
    <w:uiPriority w:val="47"/>
    <w:rsid w:val="0090719C"/>
    <w:tblPr>
      <w:tblStyleRowBandSize w:val="1"/>
      <w:tblStyleColBandSize w:val="1"/>
      <w:tblBorders>
        <w:top w:val="single" w:sz="4" w:space="0" w:color="BCBCBC" w:themeColor="accent6" w:themeTint="99"/>
        <w:bottom w:val="single" w:sz="4" w:space="0" w:color="BCBCBC" w:themeColor="accent6" w:themeTint="99"/>
        <w:insideH w:val="single" w:sz="4" w:space="0" w:color="BCBCBC"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8E8E8" w:themeFill="accent6" w:themeFillTint="33"/>
      </w:tcPr>
    </w:tblStylePr>
    <w:tblStylePr w:type="band1Horz">
      <w:tblPr/>
      <w:tcPr>
        <w:shd w:val="clear" w:color="auto" w:fill="E8E8E8" w:themeFill="accent6" w:themeFillTint="33"/>
      </w:tcPr>
    </w:tblStylePr>
  </w:style>
  <w:style w:type="table" w:styleId="ListTable3">
    <w:name w:val="List Table 3"/>
    <w:basedOn w:val="TableNormal"/>
    <w:uiPriority w:val="48"/>
    <w:rsid w:val="0090719C"/>
    <w:tblPr>
      <w:tblStyleRowBandSize w:val="1"/>
      <w:tblStyleColBandSize w:val="1"/>
      <w:tblBorders>
        <w:top w:val="single" w:sz="4" w:space="0" w:color="0B1F2C" w:themeColor="text1"/>
        <w:left w:val="single" w:sz="4" w:space="0" w:color="0B1F2C" w:themeColor="text1"/>
        <w:bottom w:val="single" w:sz="4" w:space="0" w:color="0B1F2C" w:themeColor="text1"/>
        <w:right w:val="single" w:sz="4" w:space="0" w:color="0B1F2C" w:themeColor="text1"/>
      </w:tblBorders>
    </w:tblPr>
    <w:tblStylePr w:type="firstRow">
      <w:rPr>
        <w:b/>
        <w:bCs/>
        <w:color w:val="FFFFFF" w:themeColor="background1"/>
      </w:rPr>
      <w:tblPr/>
      <w:tcPr>
        <w:shd w:val="clear" w:color="auto" w:fill="0B1F2C" w:themeFill="text1"/>
      </w:tcPr>
    </w:tblStylePr>
    <w:tblStylePr w:type="lastRow">
      <w:rPr>
        <w:b/>
        <w:bCs/>
      </w:rPr>
      <w:tblPr/>
      <w:tcPr>
        <w:tcBorders>
          <w:top w:val="double" w:sz="4" w:space="0" w:color="0B1F2C"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B1F2C" w:themeColor="text1"/>
          <w:right w:val="single" w:sz="4" w:space="0" w:color="0B1F2C" w:themeColor="text1"/>
        </w:tcBorders>
      </w:tcPr>
    </w:tblStylePr>
    <w:tblStylePr w:type="band1Horz">
      <w:tblPr/>
      <w:tcPr>
        <w:tcBorders>
          <w:top w:val="single" w:sz="4" w:space="0" w:color="0B1F2C" w:themeColor="text1"/>
          <w:bottom w:val="single" w:sz="4" w:space="0" w:color="0B1F2C"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B1F2C" w:themeColor="text1"/>
          <w:left w:val="nil"/>
        </w:tcBorders>
      </w:tcPr>
    </w:tblStylePr>
    <w:tblStylePr w:type="swCell">
      <w:tblPr/>
      <w:tcPr>
        <w:tcBorders>
          <w:top w:val="double" w:sz="4" w:space="0" w:color="0B1F2C" w:themeColor="text1"/>
          <w:right w:val="nil"/>
        </w:tcBorders>
      </w:tcPr>
    </w:tblStylePr>
  </w:style>
  <w:style w:type="table" w:styleId="ListTable3-Accent1">
    <w:name w:val="List Table 3 Accent 1"/>
    <w:basedOn w:val="TableNormal"/>
    <w:uiPriority w:val="48"/>
    <w:rsid w:val="0090719C"/>
    <w:tblPr>
      <w:tblStyleRowBandSize w:val="1"/>
      <w:tblStyleColBandSize w:val="1"/>
      <w:tblBorders>
        <w:top w:val="single" w:sz="4" w:space="0" w:color="009FE3" w:themeColor="accent1"/>
        <w:left w:val="single" w:sz="4" w:space="0" w:color="009FE3" w:themeColor="accent1"/>
        <w:bottom w:val="single" w:sz="4" w:space="0" w:color="009FE3" w:themeColor="accent1"/>
        <w:right w:val="single" w:sz="4" w:space="0" w:color="009FE3" w:themeColor="accent1"/>
      </w:tblBorders>
    </w:tblPr>
    <w:tblStylePr w:type="firstRow">
      <w:rPr>
        <w:b/>
        <w:bCs/>
        <w:color w:val="FFFFFF" w:themeColor="background1"/>
      </w:rPr>
      <w:tblPr/>
      <w:tcPr>
        <w:shd w:val="clear" w:color="auto" w:fill="009FE3" w:themeFill="accent1"/>
      </w:tcPr>
    </w:tblStylePr>
    <w:tblStylePr w:type="lastRow">
      <w:rPr>
        <w:b/>
        <w:bCs/>
      </w:rPr>
      <w:tblPr/>
      <w:tcPr>
        <w:tcBorders>
          <w:top w:val="double" w:sz="4" w:space="0" w:color="009FE3"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9FE3" w:themeColor="accent1"/>
          <w:right w:val="single" w:sz="4" w:space="0" w:color="009FE3" w:themeColor="accent1"/>
        </w:tcBorders>
      </w:tcPr>
    </w:tblStylePr>
    <w:tblStylePr w:type="band1Horz">
      <w:tblPr/>
      <w:tcPr>
        <w:tcBorders>
          <w:top w:val="single" w:sz="4" w:space="0" w:color="009FE3" w:themeColor="accent1"/>
          <w:bottom w:val="single" w:sz="4" w:space="0" w:color="009FE3"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9FE3" w:themeColor="accent1"/>
          <w:left w:val="nil"/>
        </w:tcBorders>
      </w:tcPr>
    </w:tblStylePr>
    <w:tblStylePr w:type="swCell">
      <w:tblPr/>
      <w:tcPr>
        <w:tcBorders>
          <w:top w:val="double" w:sz="4" w:space="0" w:color="009FE3" w:themeColor="accent1"/>
          <w:right w:val="nil"/>
        </w:tcBorders>
      </w:tcPr>
    </w:tblStylePr>
  </w:style>
  <w:style w:type="table" w:styleId="ListTable3-Accent2">
    <w:name w:val="List Table 3 Accent 2"/>
    <w:basedOn w:val="TableNormal"/>
    <w:uiPriority w:val="48"/>
    <w:rsid w:val="0090719C"/>
    <w:tblPr>
      <w:tblStyleRowBandSize w:val="1"/>
      <w:tblStyleColBandSize w:val="1"/>
      <w:tblBorders>
        <w:top w:val="single" w:sz="4" w:space="0" w:color="800080" w:themeColor="accent2"/>
        <w:left w:val="single" w:sz="4" w:space="0" w:color="800080" w:themeColor="accent2"/>
        <w:bottom w:val="single" w:sz="4" w:space="0" w:color="800080" w:themeColor="accent2"/>
        <w:right w:val="single" w:sz="4" w:space="0" w:color="800080" w:themeColor="accent2"/>
      </w:tblBorders>
    </w:tblPr>
    <w:tblStylePr w:type="firstRow">
      <w:rPr>
        <w:b/>
        <w:bCs/>
        <w:color w:val="FFFFFF" w:themeColor="background1"/>
      </w:rPr>
      <w:tblPr/>
      <w:tcPr>
        <w:shd w:val="clear" w:color="auto" w:fill="800080" w:themeFill="accent2"/>
      </w:tcPr>
    </w:tblStylePr>
    <w:tblStylePr w:type="lastRow">
      <w:rPr>
        <w:b/>
        <w:bCs/>
      </w:rPr>
      <w:tblPr/>
      <w:tcPr>
        <w:tcBorders>
          <w:top w:val="double" w:sz="4" w:space="0" w:color="800080"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00080" w:themeColor="accent2"/>
          <w:right w:val="single" w:sz="4" w:space="0" w:color="800080" w:themeColor="accent2"/>
        </w:tcBorders>
      </w:tcPr>
    </w:tblStylePr>
    <w:tblStylePr w:type="band1Horz">
      <w:tblPr/>
      <w:tcPr>
        <w:tcBorders>
          <w:top w:val="single" w:sz="4" w:space="0" w:color="800080" w:themeColor="accent2"/>
          <w:bottom w:val="single" w:sz="4" w:space="0" w:color="800080"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00080" w:themeColor="accent2"/>
          <w:left w:val="nil"/>
        </w:tcBorders>
      </w:tcPr>
    </w:tblStylePr>
    <w:tblStylePr w:type="swCell">
      <w:tblPr/>
      <w:tcPr>
        <w:tcBorders>
          <w:top w:val="double" w:sz="4" w:space="0" w:color="800080" w:themeColor="accent2"/>
          <w:right w:val="nil"/>
        </w:tcBorders>
      </w:tcPr>
    </w:tblStylePr>
  </w:style>
  <w:style w:type="table" w:styleId="ListTable3-Accent3">
    <w:name w:val="List Table 3 Accent 3"/>
    <w:basedOn w:val="TableNormal"/>
    <w:uiPriority w:val="48"/>
    <w:rsid w:val="0090719C"/>
    <w:tblPr>
      <w:tblStyleRowBandSize w:val="1"/>
      <w:tblStyleColBandSize w:val="1"/>
      <w:tblBorders>
        <w:top w:val="single" w:sz="4" w:space="0" w:color="26C0BC" w:themeColor="accent3"/>
        <w:left w:val="single" w:sz="4" w:space="0" w:color="26C0BC" w:themeColor="accent3"/>
        <w:bottom w:val="single" w:sz="4" w:space="0" w:color="26C0BC" w:themeColor="accent3"/>
        <w:right w:val="single" w:sz="4" w:space="0" w:color="26C0BC" w:themeColor="accent3"/>
      </w:tblBorders>
    </w:tblPr>
    <w:tblStylePr w:type="firstRow">
      <w:rPr>
        <w:b/>
        <w:bCs/>
        <w:color w:val="FFFFFF" w:themeColor="background1"/>
      </w:rPr>
      <w:tblPr/>
      <w:tcPr>
        <w:shd w:val="clear" w:color="auto" w:fill="26C0BC" w:themeFill="accent3"/>
      </w:tcPr>
    </w:tblStylePr>
    <w:tblStylePr w:type="lastRow">
      <w:rPr>
        <w:b/>
        <w:bCs/>
      </w:rPr>
      <w:tblPr/>
      <w:tcPr>
        <w:tcBorders>
          <w:top w:val="double" w:sz="4" w:space="0" w:color="26C0BC"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26C0BC" w:themeColor="accent3"/>
          <w:right w:val="single" w:sz="4" w:space="0" w:color="26C0BC" w:themeColor="accent3"/>
        </w:tcBorders>
      </w:tcPr>
    </w:tblStylePr>
    <w:tblStylePr w:type="band1Horz">
      <w:tblPr/>
      <w:tcPr>
        <w:tcBorders>
          <w:top w:val="single" w:sz="4" w:space="0" w:color="26C0BC" w:themeColor="accent3"/>
          <w:bottom w:val="single" w:sz="4" w:space="0" w:color="26C0BC"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26C0BC" w:themeColor="accent3"/>
          <w:left w:val="nil"/>
        </w:tcBorders>
      </w:tcPr>
    </w:tblStylePr>
    <w:tblStylePr w:type="swCell">
      <w:tblPr/>
      <w:tcPr>
        <w:tcBorders>
          <w:top w:val="double" w:sz="4" w:space="0" w:color="26C0BC" w:themeColor="accent3"/>
          <w:right w:val="nil"/>
        </w:tcBorders>
      </w:tcPr>
    </w:tblStylePr>
  </w:style>
  <w:style w:type="table" w:styleId="ListTable3-Accent4">
    <w:name w:val="List Table 3 Accent 4"/>
    <w:basedOn w:val="TableNormal"/>
    <w:uiPriority w:val="48"/>
    <w:rsid w:val="0090719C"/>
    <w:tblPr>
      <w:tblStyleRowBandSize w:val="1"/>
      <w:tblStyleColBandSize w:val="1"/>
      <w:tblBorders>
        <w:top w:val="single" w:sz="4" w:space="0" w:color="C5446E" w:themeColor="accent4"/>
        <w:left w:val="single" w:sz="4" w:space="0" w:color="C5446E" w:themeColor="accent4"/>
        <w:bottom w:val="single" w:sz="4" w:space="0" w:color="C5446E" w:themeColor="accent4"/>
        <w:right w:val="single" w:sz="4" w:space="0" w:color="C5446E" w:themeColor="accent4"/>
      </w:tblBorders>
    </w:tblPr>
    <w:tblStylePr w:type="firstRow">
      <w:rPr>
        <w:b/>
        <w:bCs/>
        <w:color w:val="FFFFFF" w:themeColor="background1"/>
      </w:rPr>
      <w:tblPr/>
      <w:tcPr>
        <w:shd w:val="clear" w:color="auto" w:fill="C5446E" w:themeFill="accent4"/>
      </w:tcPr>
    </w:tblStylePr>
    <w:tblStylePr w:type="lastRow">
      <w:rPr>
        <w:b/>
        <w:bCs/>
      </w:rPr>
      <w:tblPr/>
      <w:tcPr>
        <w:tcBorders>
          <w:top w:val="double" w:sz="4" w:space="0" w:color="C5446E"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5446E" w:themeColor="accent4"/>
          <w:right w:val="single" w:sz="4" w:space="0" w:color="C5446E" w:themeColor="accent4"/>
        </w:tcBorders>
      </w:tcPr>
    </w:tblStylePr>
    <w:tblStylePr w:type="band1Horz">
      <w:tblPr/>
      <w:tcPr>
        <w:tcBorders>
          <w:top w:val="single" w:sz="4" w:space="0" w:color="C5446E" w:themeColor="accent4"/>
          <w:bottom w:val="single" w:sz="4" w:space="0" w:color="C5446E"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5446E" w:themeColor="accent4"/>
          <w:left w:val="nil"/>
        </w:tcBorders>
      </w:tcPr>
    </w:tblStylePr>
    <w:tblStylePr w:type="swCell">
      <w:tblPr/>
      <w:tcPr>
        <w:tcBorders>
          <w:top w:val="double" w:sz="4" w:space="0" w:color="C5446E" w:themeColor="accent4"/>
          <w:right w:val="nil"/>
        </w:tcBorders>
      </w:tcPr>
    </w:tblStylePr>
  </w:style>
  <w:style w:type="table" w:styleId="ListTable3-Accent5">
    <w:name w:val="List Table 3 Accent 5"/>
    <w:basedOn w:val="TableNormal"/>
    <w:uiPriority w:val="48"/>
    <w:rsid w:val="0090719C"/>
    <w:tblPr>
      <w:tblStyleRowBandSize w:val="1"/>
      <w:tblStyleColBandSize w:val="1"/>
      <w:tblBorders>
        <w:top w:val="single" w:sz="4" w:space="0" w:color="0B1F2C" w:themeColor="accent5"/>
        <w:left w:val="single" w:sz="4" w:space="0" w:color="0B1F2C" w:themeColor="accent5"/>
        <w:bottom w:val="single" w:sz="4" w:space="0" w:color="0B1F2C" w:themeColor="accent5"/>
        <w:right w:val="single" w:sz="4" w:space="0" w:color="0B1F2C" w:themeColor="accent5"/>
      </w:tblBorders>
    </w:tblPr>
    <w:tblStylePr w:type="firstRow">
      <w:rPr>
        <w:b/>
        <w:bCs/>
        <w:color w:val="FFFFFF" w:themeColor="background1"/>
      </w:rPr>
      <w:tblPr/>
      <w:tcPr>
        <w:shd w:val="clear" w:color="auto" w:fill="0B1F2C" w:themeFill="accent5"/>
      </w:tcPr>
    </w:tblStylePr>
    <w:tblStylePr w:type="lastRow">
      <w:rPr>
        <w:b/>
        <w:bCs/>
      </w:rPr>
      <w:tblPr/>
      <w:tcPr>
        <w:tcBorders>
          <w:top w:val="double" w:sz="4" w:space="0" w:color="0B1F2C"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B1F2C" w:themeColor="accent5"/>
          <w:right w:val="single" w:sz="4" w:space="0" w:color="0B1F2C" w:themeColor="accent5"/>
        </w:tcBorders>
      </w:tcPr>
    </w:tblStylePr>
    <w:tblStylePr w:type="band1Horz">
      <w:tblPr/>
      <w:tcPr>
        <w:tcBorders>
          <w:top w:val="single" w:sz="4" w:space="0" w:color="0B1F2C" w:themeColor="accent5"/>
          <w:bottom w:val="single" w:sz="4" w:space="0" w:color="0B1F2C"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B1F2C" w:themeColor="accent5"/>
          <w:left w:val="nil"/>
        </w:tcBorders>
      </w:tcPr>
    </w:tblStylePr>
    <w:tblStylePr w:type="swCell">
      <w:tblPr/>
      <w:tcPr>
        <w:tcBorders>
          <w:top w:val="double" w:sz="4" w:space="0" w:color="0B1F2C" w:themeColor="accent5"/>
          <w:right w:val="nil"/>
        </w:tcBorders>
      </w:tcPr>
    </w:tblStylePr>
  </w:style>
  <w:style w:type="table" w:styleId="ListTable3-Accent6">
    <w:name w:val="List Table 3 Accent 6"/>
    <w:basedOn w:val="TableNormal"/>
    <w:uiPriority w:val="48"/>
    <w:rsid w:val="0090719C"/>
    <w:tblPr>
      <w:tblStyleRowBandSize w:val="1"/>
      <w:tblStyleColBandSize w:val="1"/>
      <w:tblBorders>
        <w:top w:val="single" w:sz="4" w:space="0" w:color="909090" w:themeColor="accent6"/>
        <w:left w:val="single" w:sz="4" w:space="0" w:color="909090" w:themeColor="accent6"/>
        <w:bottom w:val="single" w:sz="4" w:space="0" w:color="909090" w:themeColor="accent6"/>
        <w:right w:val="single" w:sz="4" w:space="0" w:color="909090" w:themeColor="accent6"/>
      </w:tblBorders>
    </w:tblPr>
    <w:tblStylePr w:type="firstRow">
      <w:rPr>
        <w:b/>
        <w:bCs/>
        <w:color w:val="FFFFFF" w:themeColor="background1"/>
      </w:rPr>
      <w:tblPr/>
      <w:tcPr>
        <w:shd w:val="clear" w:color="auto" w:fill="909090" w:themeFill="accent6"/>
      </w:tcPr>
    </w:tblStylePr>
    <w:tblStylePr w:type="lastRow">
      <w:rPr>
        <w:b/>
        <w:bCs/>
      </w:rPr>
      <w:tblPr/>
      <w:tcPr>
        <w:tcBorders>
          <w:top w:val="double" w:sz="4" w:space="0" w:color="909090"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09090" w:themeColor="accent6"/>
          <w:right w:val="single" w:sz="4" w:space="0" w:color="909090" w:themeColor="accent6"/>
        </w:tcBorders>
      </w:tcPr>
    </w:tblStylePr>
    <w:tblStylePr w:type="band1Horz">
      <w:tblPr/>
      <w:tcPr>
        <w:tcBorders>
          <w:top w:val="single" w:sz="4" w:space="0" w:color="909090" w:themeColor="accent6"/>
          <w:bottom w:val="single" w:sz="4" w:space="0" w:color="909090"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09090" w:themeColor="accent6"/>
          <w:left w:val="nil"/>
        </w:tcBorders>
      </w:tcPr>
    </w:tblStylePr>
    <w:tblStylePr w:type="swCell">
      <w:tblPr/>
      <w:tcPr>
        <w:tcBorders>
          <w:top w:val="double" w:sz="4" w:space="0" w:color="909090" w:themeColor="accent6"/>
          <w:right w:val="nil"/>
        </w:tcBorders>
      </w:tcPr>
    </w:tblStylePr>
  </w:style>
  <w:style w:type="table" w:styleId="ListTable4">
    <w:name w:val="List Table 4"/>
    <w:basedOn w:val="TableNormal"/>
    <w:uiPriority w:val="49"/>
    <w:rsid w:val="0090719C"/>
    <w:tblPr>
      <w:tblStyleRowBandSize w:val="1"/>
      <w:tblStyleColBandSize w:val="1"/>
      <w:tblBorders>
        <w:top w:val="single" w:sz="4" w:space="0" w:color="2F85BD" w:themeColor="text1" w:themeTint="99"/>
        <w:left w:val="single" w:sz="4" w:space="0" w:color="2F85BD" w:themeColor="text1" w:themeTint="99"/>
        <w:bottom w:val="single" w:sz="4" w:space="0" w:color="2F85BD" w:themeColor="text1" w:themeTint="99"/>
        <w:right w:val="single" w:sz="4" w:space="0" w:color="2F85BD" w:themeColor="text1" w:themeTint="99"/>
        <w:insideH w:val="single" w:sz="4" w:space="0" w:color="2F85BD" w:themeColor="text1" w:themeTint="99"/>
      </w:tblBorders>
    </w:tblPr>
    <w:tblStylePr w:type="firstRow">
      <w:rPr>
        <w:b/>
        <w:bCs/>
        <w:color w:val="FFFFFF" w:themeColor="background1"/>
      </w:rPr>
      <w:tblPr/>
      <w:tcPr>
        <w:tcBorders>
          <w:top w:val="single" w:sz="4" w:space="0" w:color="0B1F2C" w:themeColor="text1"/>
          <w:left w:val="single" w:sz="4" w:space="0" w:color="0B1F2C" w:themeColor="text1"/>
          <w:bottom w:val="single" w:sz="4" w:space="0" w:color="0B1F2C" w:themeColor="text1"/>
          <w:right w:val="single" w:sz="4" w:space="0" w:color="0B1F2C" w:themeColor="text1"/>
          <w:insideH w:val="nil"/>
        </w:tcBorders>
        <w:shd w:val="clear" w:color="auto" w:fill="0B1F2C" w:themeFill="text1"/>
      </w:tcPr>
    </w:tblStylePr>
    <w:tblStylePr w:type="lastRow">
      <w:rPr>
        <w:b/>
        <w:bCs/>
      </w:rPr>
      <w:tblPr/>
      <w:tcPr>
        <w:tcBorders>
          <w:top w:val="double" w:sz="4" w:space="0" w:color="2F85BD" w:themeColor="text1" w:themeTint="99"/>
        </w:tcBorders>
      </w:tcPr>
    </w:tblStylePr>
    <w:tblStylePr w:type="firstCol">
      <w:rPr>
        <w:b/>
        <w:bCs/>
      </w:rPr>
    </w:tblStylePr>
    <w:tblStylePr w:type="lastCol">
      <w:rPr>
        <w:b/>
        <w:bCs/>
      </w:rPr>
    </w:tblStylePr>
    <w:tblStylePr w:type="band1Vert">
      <w:tblPr/>
      <w:tcPr>
        <w:shd w:val="clear" w:color="auto" w:fill="B6D7EC" w:themeFill="text1" w:themeFillTint="33"/>
      </w:tcPr>
    </w:tblStylePr>
    <w:tblStylePr w:type="band1Horz">
      <w:tblPr/>
      <w:tcPr>
        <w:shd w:val="clear" w:color="auto" w:fill="B6D7EC" w:themeFill="text1" w:themeFillTint="33"/>
      </w:tcPr>
    </w:tblStylePr>
  </w:style>
  <w:style w:type="table" w:styleId="ListTable4-Accent1">
    <w:name w:val="List Table 4 Accent 1"/>
    <w:basedOn w:val="TableNormal"/>
    <w:uiPriority w:val="49"/>
    <w:rsid w:val="0090719C"/>
    <w:tblPr>
      <w:tblStyleRowBandSize w:val="1"/>
      <w:tblStyleColBandSize w:val="1"/>
      <w:tblBorders>
        <w:top w:val="single" w:sz="4" w:space="0" w:color="55CBFF" w:themeColor="accent1" w:themeTint="99"/>
        <w:left w:val="single" w:sz="4" w:space="0" w:color="55CBFF" w:themeColor="accent1" w:themeTint="99"/>
        <w:bottom w:val="single" w:sz="4" w:space="0" w:color="55CBFF" w:themeColor="accent1" w:themeTint="99"/>
        <w:right w:val="single" w:sz="4" w:space="0" w:color="55CBFF" w:themeColor="accent1" w:themeTint="99"/>
        <w:insideH w:val="single" w:sz="4" w:space="0" w:color="55CBFF" w:themeColor="accent1" w:themeTint="99"/>
      </w:tblBorders>
    </w:tblPr>
    <w:tblStylePr w:type="firstRow">
      <w:rPr>
        <w:b/>
        <w:bCs/>
        <w:color w:val="FFFFFF" w:themeColor="background1"/>
      </w:rPr>
      <w:tblPr/>
      <w:tcPr>
        <w:tcBorders>
          <w:top w:val="single" w:sz="4" w:space="0" w:color="009FE3" w:themeColor="accent1"/>
          <w:left w:val="single" w:sz="4" w:space="0" w:color="009FE3" w:themeColor="accent1"/>
          <w:bottom w:val="single" w:sz="4" w:space="0" w:color="009FE3" w:themeColor="accent1"/>
          <w:right w:val="single" w:sz="4" w:space="0" w:color="009FE3" w:themeColor="accent1"/>
          <w:insideH w:val="nil"/>
        </w:tcBorders>
        <w:shd w:val="clear" w:color="auto" w:fill="009FE3" w:themeFill="accent1"/>
      </w:tcPr>
    </w:tblStylePr>
    <w:tblStylePr w:type="lastRow">
      <w:rPr>
        <w:b/>
        <w:bCs/>
      </w:rPr>
      <w:tblPr/>
      <w:tcPr>
        <w:tcBorders>
          <w:top w:val="double" w:sz="4" w:space="0" w:color="55CBFF" w:themeColor="accent1" w:themeTint="99"/>
        </w:tcBorders>
      </w:tcPr>
    </w:tblStylePr>
    <w:tblStylePr w:type="firstCol">
      <w:rPr>
        <w:b/>
        <w:bCs/>
      </w:rPr>
    </w:tblStylePr>
    <w:tblStylePr w:type="lastCol">
      <w:rPr>
        <w:b/>
        <w:bCs/>
      </w:rPr>
    </w:tblStylePr>
    <w:tblStylePr w:type="band1Vert">
      <w:tblPr/>
      <w:tcPr>
        <w:shd w:val="clear" w:color="auto" w:fill="C6EDFF" w:themeFill="accent1" w:themeFillTint="33"/>
      </w:tcPr>
    </w:tblStylePr>
    <w:tblStylePr w:type="band1Horz">
      <w:tblPr/>
      <w:tcPr>
        <w:shd w:val="clear" w:color="auto" w:fill="C6EDFF" w:themeFill="accent1" w:themeFillTint="33"/>
      </w:tcPr>
    </w:tblStylePr>
  </w:style>
  <w:style w:type="table" w:styleId="ListTable4-Accent2">
    <w:name w:val="List Table 4 Accent 2"/>
    <w:basedOn w:val="TableNormal"/>
    <w:uiPriority w:val="49"/>
    <w:rsid w:val="0090719C"/>
    <w:tblPr>
      <w:tblStyleRowBandSize w:val="1"/>
      <w:tblStyleColBandSize w:val="1"/>
      <w:tblBorders>
        <w:top w:val="single" w:sz="4" w:space="0" w:color="FF19FF" w:themeColor="accent2" w:themeTint="99"/>
        <w:left w:val="single" w:sz="4" w:space="0" w:color="FF19FF" w:themeColor="accent2" w:themeTint="99"/>
        <w:bottom w:val="single" w:sz="4" w:space="0" w:color="FF19FF" w:themeColor="accent2" w:themeTint="99"/>
        <w:right w:val="single" w:sz="4" w:space="0" w:color="FF19FF" w:themeColor="accent2" w:themeTint="99"/>
        <w:insideH w:val="single" w:sz="4" w:space="0" w:color="FF19FF" w:themeColor="accent2" w:themeTint="99"/>
      </w:tblBorders>
    </w:tblPr>
    <w:tblStylePr w:type="firstRow">
      <w:rPr>
        <w:b/>
        <w:bCs/>
        <w:color w:val="FFFFFF" w:themeColor="background1"/>
      </w:rPr>
      <w:tblPr/>
      <w:tcPr>
        <w:tcBorders>
          <w:top w:val="single" w:sz="4" w:space="0" w:color="800080" w:themeColor="accent2"/>
          <w:left w:val="single" w:sz="4" w:space="0" w:color="800080" w:themeColor="accent2"/>
          <w:bottom w:val="single" w:sz="4" w:space="0" w:color="800080" w:themeColor="accent2"/>
          <w:right w:val="single" w:sz="4" w:space="0" w:color="800080" w:themeColor="accent2"/>
          <w:insideH w:val="nil"/>
        </w:tcBorders>
        <w:shd w:val="clear" w:color="auto" w:fill="800080" w:themeFill="accent2"/>
      </w:tcPr>
    </w:tblStylePr>
    <w:tblStylePr w:type="lastRow">
      <w:rPr>
        <w:b/>
        <w:bCs/>
      </w:rPr>
      <w:tblPr/>
      <w:tcPr>
        <w:tcBorders>
          <w:top w:val="double" w:sz="4" w:space="0" w:color="FF19FF" w:themeColor="accent2" w:themeTint="99"/>
        </w:tcBorders>
      </w:tcPr>
    </w:tblStylePr>
    <w:tblStylePr w:type="firstCol">
      <w:rPr>
        <w:b/>
        <w:bCs/>
      </w:rPr>
    </w:tblStylePr>
    <w:tblStylePr w:type="lastCol">
      <w:rPr>
        <w:b/>
        <w:bCs/>
      </w:rPr>
    </w:tblStylePr>
    <w:tblStylePr w:type="band1Vert">
      <w:tblPr/>
      <w:tcPr>
        <w:shd w:val="clear" w:color="auto" w:fill="FFB2FF" w:themeFill="accent2" w:themeFillTint="33"/>
      </w:tcPr>
    </w:tblStylePr>
    <w:tblStylePr w:type="band1Horz">
      <w:tblPr/>
      <w:tcPr>
        <w:shd w:val="clear" w:color="auto" w:fill="FFB2FF" w:themeFill="accent2" w:themeFillTint="33"/>
      </w:tcPr>
    </w:tblStylePr>
  </w:style>
  <w:style w:type="table" w:styleId="ListTable4-Accent3">
    <w:name w:val="List Table 4 Accent 3"/>
    <w:basedOn w:val="TableNormal"/>
    <w:uiPriority w:val="49"/>
    <w:rsid w:val="0090719C"/>
    <w:tblPr>
      <w:tblStyleRowBandSize w:val="1"/>
      <w:tblStyleColBandSize w:val="1"/>
      <w:tblBorders>
        <w:top w:val="single" w:sz="4" w:space="0" w:color="72E3E0" w:themeColor="accent3" w:themeTint="99"/>
        <w:left w:val="single" w:sz="4" w:space="0" w:color="72E3E0" w:themeColor="accent3" w:themeTint="99"/>
        <w:bottom w:val="single" w:sz="4" w:space="0" w:color="72E3E0" w:themeColor="accent3" w:themeTint="99"/>
        <w:right w:val="single" w:sz="4" w:space="0" w:color="72E3E0" w:themeColor="accent3" w:themeTint="99"/>
        <w:insideH w:val="single" w:sz="4" w:space="0" w:color="72E3E0" w:themeColor="accent3" w:themeTint="99"/>
      </w:tblBorders>
    </w:tblPr>
    <w:tblStylePr w:type="firstRow">
      <w:rPr>
        <w:b/>
        <w:bCs/>
        <w:color w:val="FFFFFF" w:themeColor="background1"/>
      </w:rPr>
      <w:tblPr/>
      <w:tcPr>
        <w:tcBorders>
          <w:top w:val="single" w:sz="4" w:space="0" w:color="26C0BC" w:themeColor="accent3"/>
          <w:left w:val="single" w:sz="4" w:space="0" w:color="26C0BC" w:themeColor="accent3"/>
          <w:bottom w:val="single" w:sz="4" w:space="0" w:color="26C0BC" w:themeColor="accent3"/>
          <w:right w:val="single" w:sz="4" w:space="0" w:color="26C0BC" w:themeColor="accent3"/>
          <w:insideH w:val="nil"/>
        </w:tcBorders>
        <w:shd w:val="clear" w:color="auto" w:fill="26C0BC" w:themeFill="accent3"/>
      </w:tcPr>
    </w:tblStylePr>
    <w:tblStylePr w:type="lastRow">
      <w:rPr>
        <w:b/>
        <w:bCs/>
      </w:rPr>
      <w:tblPr/>
      <w:tcPr>
        <w:tcBorders>
          <w:top w:val="double" w:sz="4" w:space="0" w:color="72E3E0" w:themeColor="accent3" w:themeTint="99"/>
        </w:tcBorders>
      </w:tcPr>
    </w:tblStylePr>
    <w:tblStylePr w:type="firstCol">
      <w:rPr>
        <w:b/>
        <w:bCs/>
      </w:rPr>
    </w:tblStylePr>
    <w:tblStylePr w:type="lastCol">
      <w:rPr>
        <w:b/>
        <w:bCs/>
      </w:rPr>
    </w:tblStylePr>
    <w:tblStylePr w:type="band1Vert">
      <w:tblPr/>
      <w:tcPr>
        <w:shd w:val="clear" w:color="auto" w:fill="D0F5F4" w:themeFill="accent3" w:themeFillTint="33"/>
      </w:tcPr>
    </w:tblStylePr>
    <w:tblStylePr w:type="band1Horz">
      <w:tblPr/>
      <w:tcPr>
        <w:shd w:val="clear" w:color="auto" w:fill="D0F5F4" w:themeFill="accent3" w:themeFillTint="33"/>
      </w:tcPr>
    </w:tblStylePr>
  </w:style>
  <w:style w:type="table" w:styleId="ListTable4-Accent4">
    <w:name w:val="List Table 4 Accent 4"/>
    <w:basedOn w:val="TableNormal"/>
    <w:uiPriority w:val="49"/>
    <w:rsid w:val="0090719C"/>
    <w:tblPr>
      <w:tblStyleRowBandSize w:val="1"/>
      <w:tblStyleColBandSize w:val="1"/>
      <w:tblBorders>
        <w:top w:val="single" w:sz="4" w:space="0" w:color="DC8EA7" w:themeColor="accent4" w:themeTint="99"/>
        <w:left w:val="single" w:sz="4" w:space="0" w:color="DC8EA7" w:themeColor="accent4" w:themeTint="99"/>
        <w:bottom w:val="single" w:sz="4" w:space="0" w:color="DC8EA7" w:themeColor="accent4" w:themeTint="99"/>
        <w:right w:val="single" w:sz="4" w:space="0" w:color="DC8EA7" w:themeColor="accent4" w:themeTint="99"/>
        <w:insideH w:val="single" w:sz="4" w:space="0" w:color="DC8EA7" w:themeColor="accent4" w:themeTint="99"/>
      </w:tblBorders>
    </w:tblPr>
    <w:tblStylePr w:type="firstRow">
      <w:rPr>
        <w:b/>
        <w:bCs/>
        <w:color w:val="FFFFFF" w:themeColor="background1"/>
      </w:rPr>
      <w:tblPr/>
      <w:tcPr>
        <w:tcBorders>
          <w:top w:val="single" w:sz="4" w:space="0" w:color="C5446E" w:themeColor="accent4"/>
          <w:left w:val="single" w:sz="4" w:space="0" w:color="C5446E" w:themeColor="accent4"/>
          <w:bottom w:val="single" w:sz="4" w:space="0" w:color="C5446E" w:themeColor="accent4"/>
          <w:right w:val="single" w:sz="4" w:space="0" w:color="C5446E" w:themeColor="accent4"/>
          <w:insideH w:val="nil"/>
        </w:tcBorders>
        <w:shd w:val="clear" w:color="auto" w:fill="C5446E" w:themeFill="accent4"/>
      </w:tcPr>
    </w:tblStylePr>
    <w:tblStylePr w:type="lastRow">
      <w:rPr>
        <w:b/>
        <w:bCs/>
      </w:rPr>
      <w:tblPr/>
      <w:tcPr>
        <w:tcBorders>
          <w:top w:val="double" w:sz="4" w:space="0" w:color="DC8EA7" w:themeColor="accent4" w:themeTint="99"/>
        </w:tcBorders>
      </w:tcPr>
    </w:tblStylePr>
    <w:tblStylePr w:type="firstCol">
      <w:rPr>
        <w:b/>
        <w:bCs/>
      </w:rPr>
    </w:tblStylePr>
    <w:tblStylePr w:type="lastCol">
      <w:rPr>
        <w:b/>
        <w:bCs/>
      </w:rPr>
    </w:tblStylePr>
    <w:tblStylePr w:type="band1Vert">
      <w:tblPr/>
      <w:tcPr>
        <w:shd w:val="clear" w:color="auto" w:fill="F3D9E1" w:themeFill="accent4" w:themeFillTint="33"/>
      </w:tcPr>
    </w:tblStylePr>
    <w:tblStylePr w:type="band1Horz">
      <w:tblPr/>
      <w:tcPr>
        <w:shd w:val="clear" w:color="auto" w:fill="F3D9E1" w:themeFill="accent4" w:themeFillTint="33"/>
      </w:tcPr>
    </w:tblStylePr>
  </w:style>
  <w:style w:type="table" w:styleId="ListTable4-Accent5">
    <w:name w:val="List Table 4 Accent 5"/>
    <w:basedOn w:val="TableNormal"/>
    <w:uiPriority w:val="49"/>
    <w:rsid w:val="0090719C"/>
    <w:tblPr>
      <w:tblStyleRowBandSize w:val="1"/>
      <w:tblStyleColBandSize w:val="1"/>
      <w:tblBorders>
        <w:top w:val="single" w:sz="4" w:space="0" w:color="2F85BD" w:themeColor="accent5" w:themeTint="99"/>
        <w:left w:val="single" w:sz="4" w:space="0" w:color="2F85BD" w:themeColor="accent5" w:themeTint="99"/>
        <w:bottom w:val="single" w:sz="4" w:space="0" w:color="2F85BD" w:themeColor="accent5" w:themeTint="99"/>
        <w:right w:val="single" w:sz="4" w:space="0" w:color="2F85BD" w:themeColor="accent5" w:themeTint="99"/>
        <w:insideH w:val="single" w:sz="4" w:space="0" w:color="2F85BD" w:themeColor="accent5" w:themeTint="99"/>
      </w:tblBorders>
    </w:tblPr>
    <w:tblStylePr w:type="firstRow">
      <w:rPr>
        <w:b/>
        <w:bCs/>
        <w:color w:val="FFFFFF" w:themeColor="background1"/>
      </w:rPr>
      <w:tblPr/>
      <w:tcPr>
        <w:tcBorders>
          <w:top w:val="single" w:sz="4" w:space="0" w:color="0B1F2C" w:themeColor="accent5"/>
          <w:left w:val="single" w:sz="4" w:space="0" w:color="0B1F2C" w:themeColor="accent5"/>
          <w:bottom w:val="single" w:sz="4" w:space="0" w:color="0B1F2C" w:themeColor="accent5"/>
          <w:right w:val="single" w:sz="4" w:space="0" w:color="0B1F2C" w:themeColor="accent5"/>
          <w:insideH w:val="nil"/>
        </w:tcBorders>
        <w:shd w:val="clear" w:color="auto" w:fill="0B1F2C" w:themeFill="accent5"/>
      </w:tcPr>
    </w:tblStylePr>
    <w:tblStylePr w:type="lastRow">
      <w:rPr>
        <w:b/>
        <w:bCs/>
      </w:rPr>
      <w:tblPr/>
      <w:tcPr>
        <w:tcBorders>
          <w:top w:val="double" w:sz="4" w:space="0" w:color="2F85BD" w:themeColor="accent5" w:themeTint="99"/>
        </w:tcBorders>
      </w:tcPr>
    </w:tblStylePr>
    <w:tblStylePr w:type="firstCol">
      <w:rPr>
        <w:b/>
        <w:bCs/>
      </w:rPr>
    </w:tblStylePr>
    <w:tblStylePr w:type="lastCol">
      <w:rPr>
        <w:b/>
        <w:bCs/>
      </w:rPr>
    </w:tblStylePr>
    <w:tblStylePr w:type="band1Vert">
      <w:tblPr/>
      <w:tcPr>
        <w:shd w:val="clear" w:color="auto" w:fill="B6D7EC" w:themeFill="accent5" w:themeFillTint="33"/>
      </w:tcPr>
    </w:tblStylePr>
    <w:tblStylePr w:type="band1Horz">
      <w:tblPr/>
      <w:tcPr>
        <w:shd w:val="clear" w:color="auto" w:fill="B6D7EC" w:themeFill="accent5" w:themeFillTint="33"/>
      </w:tcPr>
    </w:tblStylePr>
  </w:style>
  <w:style w:type="table" w:styleId="ListTable4-Accent6">
    <w:name w:val="List Table 4 Accent 6"/>
    <w:basedOn w:val="TableNormal"/>
    <w:uiPriority w:val="49"/>
    <w:rsid w:val="0090719C"/>
    <w:tblPr>
      <w:tblStyleRowBandSize w:val="1"/>
      <w:tblStyleColBandSize w:val="1"/>
      <w:tblBorders>
        <w:top w:val="single" w:sz="4" w:space="0" w:color="BCBCBC" w:themeColor="accent6" w:themeTint="99"/>
        <w:left w:val="single" w:sz="4" w:space="0" w:color="BCBCBC" w:themeColor="accent6" w:themeTint="99"/>
        <w:bottom w:val="single" w:sz="4" w:space="0" w:color="BCBCBC" w:themeColor="accent6" w:themeTint="99"/>
        <w:right w:val="single" w:sz="4" w:space="0" w:color="BCBCBC" w:themeColor="accent6" w:themeTint="99"/>
        <w:insideH w:val="single" w:sz="4" w:space="0" w:color="BCBCBC" w:themeColor="accent6" w:themeTint="99"/>
      </w:tblBorders>
    </w:tblPr>
    <w:tblStylePr w:type="firstRow">
      <w:rPr>
        <w:b/>
        <w:bCs/>
        <w:color w:val="FFFFFF" w:themeColor="background1"/>
      </w:rPr>
      <w:tblPr/>
      <w:tcPr>
        <w:tcBorders>
          <w:top w:val="single" w:sz="4" w:space="0" w:color="909090" w:themeColor="accent6"/>
          <w:left w:val="single" w:sz="4" w:space="0" w:color="909090" w:themeColor="accent6"/>
          <w:bottom w:val="single" w:sz="4" w:space="0" w:color="909090" w:themeColor="accent6"/>
          <w:right w:val="single" w:sz="4" w:space="0" w:color="909090" w:themeColor="accent6"/>
          <w:insideH w:val="nil"/>
        </w:tcBorders>
        <w:shd w:val="clear" w:color="auto" w:fill="909090" w:themeFill="accent6"/>
      </w:tcPr>
    </w:tblStylePr>
    <w:tblStylePr w:type="lastRow">
      <w:rPr>
        <w:b/>
        <w:bCs/>
      </w:rPr>
      <w:tblPr/>
      <w:tcPr>
        <w:tcBorders>
          <w:top w:val="double" w:sz="4" w:space="0" w:color="BCBCBC" w:themeColor="accent6" w:themeTint="99"/>
        </w:tcBorders>
      </w:tcPr>
    </w:tblStylePr>
    <w:tblStylePr w:type="firstCol">
      <w:rPr>
        <w:b/>
        <w:bCs/>
      </w:rPr>
    </w:tblStylePr>
    <w:tblStylePr w:type="lastCol">
      <w:rPr>
        <w:b/>
        <w:bCs/>
      </w:rPr>
    </w:tblStylePr>
    <w:tblStylePr w:type="band1Vert">
      <w:tblPr/>
      <w:tcPr>
        <w:shd w:val="clear" w:color="auto" w:fill="E8E8E8" w:themeFill="accent6" w:themeFillTint="33"/>
      </w:tcPr>
    </w:tblStylePr>
    <w:tblStylePr w:type="band1Horz">
      <w:tblPr/>
      <w:tcPr>
        <w:shd w:val="clear" w:color="auto" w:fill="E8E8E8" w:themeFill="accent6" w:themeFillTint="33"/>
      </w:tcPr>
    </w:tblStylePr>
  </w:style>
  <w:style w:type="table" w:styleId="ListTable5Dark">
    <w:name w:val="List Table 5 Dark"/>
    <w:basedOn w:val="TableNormal"/>
    <w:uiPriority w:val="50"/>
    <w:rsid w:val="0090719C"/>
    <w:rPr>
      <w:color w:val="FFFFFF" w:themeColor="background1"/>
    </w:rPr>
    <w:tblPr>
      <w:tblStyleRowBandSize w:val="1"/>
      <w:tblStyleColBandSize w:val="1"/>
      <w:tblBorders>
        <w:top w:val="single" w:sz="24" w:space="0" w:color="0B1F2C" w:themeColor="text1"/>
        <w:left w:val="single" w:sz="24" w:space="0" w:color="0B1F2C" w:themeColor="text1"/>
        <w:bottom w:val="single" w:sz="24" w:space="0" w:color="0B1F2C" w:themeColor="text1"/>
        <w:right w:val="single" w:sz="24" w:space="0" w:color="0B1F2C" w:themeColor="text1"/>
      </w:tblBorders>
    </w:tblPr>
    <w:tcPr>
      <w:shd w:val="clear" w:color="auto" w:fill="0B1F2C"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rsid w:val="0090719C"/>
    <w:rPr>
      <w:color w:val="FFFFFF" w:themeColor="background1"/>
    </w:rPr>
    <w:tblPr>
      <w:tblStyleRowBandSize w:val="1"/>
      <w:tblStyleColBandSize w:val="1"/>
      <w:tblBorders>
        <w:top w:val="single" w:sz="24" w:space="0" w:color="009FE3" w:themeColor="accent1"/>
        <w:left w:val="single" w:sz="24" w:space="0" w:color="009FE3" w:themeColor="accent1"/>
        <w:bottom w:val="single" w:sz="24" w:space="0" w:color="009FE3" w:themeColor="accent1"/>
        <w:right w:val="single" w:sz="24" w:space="0" w:color="009FE3" w:themeColor="accent1"/>
      </w:tblBorders>
    </w:tblPr>
    <w:tcPr>
      <w:shd w:val="clear" w:color="auto" w:fill="009FE3"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rsid w:val="0090719C"/>
    <w:rPr>
      <w:color w:val="FFFFFF" w:themeColor="background1"/>
    </w:rPr>
    <w:tblPr>
      <w:tblStyleRowBandSize w:val="1"/>
      <w:tblStyleColBandSize w:val="1"/>
      <w:tblBorders>
        <w:top w:val="single" w:sz="24" w:space="0" w:color="800080" w:themeColor="accent2"/>
        <w:left w:val="single" w:sz="24" w:space="0" w:color="800080" w:themeColor="accent2"/>
        <w:bottom w:val="single" w:sz="24" w:space="0" w:color="800080" w:themeColor="accent2"/>
        <w:right w:val="single" w:sz="24" w:space="0" w:color="800080" w:themeColor="accent2"/>
      </w:tblBorders>
    </w:tblPr>
    <w:tcPr>
      <w:shd w:val="clear" w:color="auto" w:fill="800080"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rsid w:val="0090719C"/>
    <w:rPr>
      <w:color w:val="FFFFFF" w:themeColor="background1"/>
    </w:rPr>
    <w:tblPr>
      <w:tblStyleRowBandSize w:val="1"/>
      <w:tblStyleColBandSize w:val="1"/>
      <w:tblBorders>
        <w:top w:val="single" w:sz="24" w:space="0" w:color="26C0BC" w:themeColor="accent3"/>
        <w:left w:val="single" w:sz="24" w:space="0" w:color="26C0BC" w:themeColor="accent3"/>
        <w:bottom w:val="single" w:sz="24" w:space="0" w:color="26C0BC" w:themeColor="accent3"/>
        <w:right w:val="single" w:sz="24" w:space="0" w:color="26C0BC" w:themeColor="accent3"/>
      </w:tblBorders>
    </w:tblPr>
    <w:tcPr>
      <w:shd w:val="clear" w:color="auto" w:fill="26C0BC"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rsid w:val="0090719C"/>
    <w:rPr>
      <w:color w:val="FFFFFF" w:themeColor="background1"/>
    </w:rPr>
    <w:tblPr>
      <w:tblStyleRowBandSize w:val="1"/>
      <w:tblStyleColBandSize w:val="1"/>
      <w:tblBorders>
        <w:top w:val="single" w:sz="24" w:space="0" w:color="C5446E" w:themeColor="accent4"/>
        <w:left w:val="single" w:sz="24" w:space="0" w:color="C5446E" w:themeColor="accent4"/>
        <w:bottom w:val="single" w:sz="24" w:space="0" w:color="C5446E" w:themeColor="accent4"/>
        <w:right w:val="single" w:sz="24" w:space="0" w:color="C5446E" w:themeColor="accent4"/>
      </w:tblBorders>
    </w:tblPr>
    <w:tcPr>
      <w:shd w:val="clear" w:color="auto" w:fill="C5446E"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rsid w:val="0090719C"/>
    <w:rPr>
      <w:color w:val="FFFFFF" w:themeColor="background1"/>
    </w:rPr>
    <w:tblPr>
      <w:tblStyleRowBandSize w:val="1"/>
      <w:tblStyleColBandSize w:val="1"/>
      <w:tblBorders>
        <w:top w:val="single" w:sz="24" w:space="0" w:color="0B1F2C" w:themeColor="accent5"/>
        <w:left w:val="single" w:sz="24" w:space="0" w:color="0B1F2C" w:themeColor="accent5"/>
        <w:bottom w:val="single" w:sz="24" w:space="0" w:color="0B1F2C" w:themeColor="accent5"/>
        <w:right w:val="single" w:sz="24" w:space="0" w:color="0B1F2C" w:themeColor="accent5"/>
      </w:tblBorders>
    </w:tblPr>
    <w:tcPr>
      <w:shd w:val="clear" w:color="auto" w:fill="0B1F2C"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rsid w:val="0090719C"/>
    <w:rPr>
      <w:color w:val="FFFFFF" w:themeColor="background1"/>
    </w:rPr>
    <w:tblPr>
      <w:tblStyleRowBandSize w:val="1"/>
      <w:tblStyleColBandSize w:val="1"/>
      <w:tblBorders>
        <w:top w:val="single" w:sz="24" w:space="0" w:color="909090" w:themeColor="accent6"/>
        <w:left w:val="single" w:sz="24" w:space="0" w:color="909090" w:themeColor="accent6"/>
        <w:bottom w:val="single" w:sz="24" w:space="0" w:color="909090" w:themeColor="accent6"/>
        <w:right w:val="single" w:sz="24" w:space="0" w:color="909090" w:themeColor="accent6"/>
      </w:tblBorders>
    </w:tblPr>
    <w:tcPr>
      <w:shd w:val="clear" w:color="auto" w:fill="909090"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urful">
    <w:name w:val="List Table 6 Colorful"/>
    <w:basedOn w:val="TableNormal"/>
    <w:uiPriority w:val="51"/>
    <w:rsid w:val="0090719C"/>
    <w:rPr>
      <w:color w:val="0B1F2C" w:themeColor="text1"/>
    </w:rPr>
    <w:tblPr>
      <w:tblStyleRowBandSize w:val="1"/>
      <w:tblStyleColBandSize w:val="1"/>
      <w:tblBorders>
        <w:top w:val="single" w:sz="4" w:space="0" w:color="0B1F2C" w:themeColor="text1"/>
        <w:bottom w:val="single" w:sz="4" w:space="0" w:color="0B1F2C" w:themeColor="text1"/>
      </w:tblBorders>
    </w:tblPr>
    <w:tblStylePr w:type="firstRow">
      <w:rPr>
        <w:b/>
        <w:bCs/>
      </w:rPr>
      <w:tblPr/>
      <w:tcPr>
        <w:tcBorders>
          <w:bottom w:val="single" w:sz="4" w:space="0" w:color="0B1F2C" w:themeColor="text1"/>
        </w:tcBorders>
      </w:tcPr>
    </w:tblStylePr>
    <w:tblStylePr w:type="lastRow">
      <w:rPr>
        <w:b/>
        <w:bCs/>
      </w:rPr>
      <w:tblPr/>
      <w:tcPr>
        <w:tcBorders>
          <w:top w:val="double" w:sz="4" w:space="0" w:color="0B1F2C" w:themeColor="text1"/>
        </w:tcBorders>
      </w:tcPr>
    </w:tblStylePr>
    <w:tblStylePr w:type="firstCol">
      <w:rPr>
        <w:b/>
        <w:bCs/>
      </w:rPr>
    </w:tblStylePr>
    <w:tblStylePr w:type="lastCol">
      <w:rPr>
        <w:b/>
        <w:bCs/>
      </w:rPr>
    </w:tblStylePr>
    <w:tblStylePr w:type="band1Vert">
      <w:tblPr/>
      <w:tcPr>
        <w:shd w:val="clear" w:color="auto" w:fill="B6D7EC" w:themeFill="text1" w:themeFillTint="33"/>
      </w:tcPr>
    </w:tblStylePr>
    <w:tblStylePr w:type="band1Horz">
      <w:tblPr/>
      <w:tcPr>
        <w:shd w:val="clear" w:color="auto" w:fill="B6D7EC" w:themeFill="text1" w:themeFillTint="33"/>
      </w:tcPr>
    </w:tblStylePr>
  </w:style>
  <w:style w:type="table" w:styleId="ListTable6ColourfulAccent1">
    <w:name w:val="List Table 6 Colorful Accent 1"/>
    <w:basedOn w:val="TableNormal"/>
    <w:uiPriority w:val="51"/>
    <w:rsid w:val="0090719C"/>
    <w:rPr>
      <w:color w:val="0076AA" w:themeColor="accent1" w:themeShade="BF"/>
    </w:rPr>
    <w:tblPr>
      <w:tblStyleRowBandSize w:val="1"/>
      <w:tblStyleColBandSize w:val="1"/>
      <w:tblBorders>
        <w:top w:val="single" w:sz="4" w:space="0" w:color="009FE3" w:themeColor="accent1"/>
        <w:bottom w:val="single" w:sz="4" w:space="0" w:color="009FE3" w:themeColor="accent1"/>
      </w:tblBorders>
    </w:tblPr>
    <w:tblStylePr w:type="firstRow">
      <w:rPr>
        <w:b/>
        <w:bCs/>
      </w:rPr>
      <w:tblPr/>
      <w:tcPr>
        <w:tcBorders>
          <w:bottom w:val="single" w:sz="4" w:space="0" w:color="009FE3" w:themeColor="accent1"/>
        </w:tcBorders>
      </w:tcPr>
    </w:tblStylePr>
    <w:tblStylePr w:type="lastRow">
      <w:rPr>
        <w:b/>
        <w:bCs/>
      </w:rPr>
      <w:tblPr/>
      <w:tcPr>
        <w:tcBorders>
          <w:top w:val="double" w:sz="4" w:space="0" w:color="009FE3" w:themeColor="accent1"/>
        </w:tcBorders>
      </w:tcPr>
    </w:tblStylePr>
    <w:tblStylePr w:type="firstCol">
      <w:rPr>
        <w:b/>
        <w:bCs/>
      </w:rPr>
    </w:tblStylePr>
    <w:tblStylePr w:type="lastCol">
      <w:rPr>
        <w:b/>
        <w:bCs/>
      </w:rPr>
    </w:tblStylePr>
    <w:tblStylePr w:type="band1Vert">
      <w:tblPr/>
      <w:tcPr>
        <w:shd w:val="clear" w:color="auto" w:fill="C6EDFF" w:themeFill="accent1" w:themeFillTint="33"/>
      </w:tcPr>
    </w:tblStylePr>
    <w:tblStylePr w:type="band1Horz">
      <w:tblPr/>
      <w:tcPr>
        <w:shd w:val="clear" w:color="auto" w:fill="C6EDFF" w:themeFill="accent1" w:themeFillTint="33"/>
      </w:tcPr>
    </w:tblStylePr>
  </w:style>
  <w:style w:type="table" w:styleId="ListTable6ColourfulAccent2">
    <w:name w:val="List Table 6 Colorful Accent 2"/>
    <w:basedOn w:val="TableNormal"/>
    <w:uiPriority w:val="51"/>
    <w:rsid w:val="0090719C"/>
    <w:rPr>
      <w:color w:val="5F005F" w:themeColor="accent2" w:themeShade="BF"/>
    </w:rPr>
    <w:tblPr>
      <w:tblStyleRowBandSize w:val="1"/>
      <w:tblStyleColBandSize w:val="1"/>
      <w:tblBorders>
        <w:top w:val="single" w:sz="4" w:space="0" w:color="800080" w:themeColor="accent2"/>
        <w:bottom w:val="single" w:sz="4" w:space="0" w:color="800080" w:themeColor="accent2"/>
      </w:tblBorders>
    </w:tblPr>
    <w:tblStylePr w:type="firstRow">
      <w:rPr>
        <w:b/>
        <w:bCs/>
      </w:rPr>
      <w:tblPr/>
      <w:tcPr>
        <w:tcBorders>
          <w:bottom w:val="single" w:sz="4" w:space="0" w:color="800080" w:themeColor="accent2"/>
        </w:tcBorders>
      </w:tcPr>
    </w:tblStylePr>
    <w:tblStylePr w:type="lastRow">
      <w:rPr>
        <w:b/>
        <w:bCs/>
      </w:rPr>
      <w:tblPr/>
      <w:tcPr>
        <w:tcBorders>
          <w:top w:val="double" w:sz="4" w:space="0" w:color="800080" w:themeColor="accent2"/>
        </w:tcBorders>
      </w:tcPr>
    </w:tblStylePr>
    <w:tblStylePr w:type="firstCol">
      <w:rPr>
        <w:b/>
        <w:bCs/>
      </w:rPr>
    </w:tblStylePr>
    <w:tblStylePr w:type="lastCol">
      <w:rPr>
        <w:b/>
        <w:bCs/>
      </w:rPr>
    </w:tblStylePr>
    <w:tblStylePr w:type="band1Vert">
      <w:tblPr/>
      <w:tcPr>
        <w:shd w:val="clear" w:color="auto" w:fill="FFB2FF" w:themeFill="accent2" w:themeFillTint="33"/>
      </w:tcPr>
    </w:tblStylePr>
    <w:tblStylePr w:type="band1Horz">
      <w:tblPr/>
      <w:tcPr>
        <w:shd w:val="clear" w:color="auto" w:fill="FFB2FF" w:themeFill="accent2" w:themeFillTint="33"/>
      </w:tcPr>
    </w:tblStylePr>
  </w:style>
  <w:style w:type="table" w:styleId="ListTable6ColourfulAccent3">
    <w:name w:val="List Table 6 Colorful Accent 3"/>
    <w:basedOn w:val="TableNormal"/>
    <w:uiPriority w:val="51"/>
    <w:rsid w:val="0090719C"/>
    <w:rPr>
      <w:color w:val="1C8F8C" w:themeColor="accent3" w:themeShade="BF"/>
    </w:rPr>
    <w:tblPr>
      <w:tblStyleRowBandSize w:val="1"/>
      <w:tblStyleColBandSize w:val="1"/>
      <w:tblBorders>
        <w:top w:val="single" w:sz="4" w:space="0" w:color="26C0BC" w:themeColor="accent3"/>
        <w:bottom w:val="single" w:sz="4" w:space="0" w:color="26C0BC" w:themeColor="accent3"/>
      </w:tblBorders>
    </w:tblPr>
    <w:tblStylePr w:type="firstRow">
      <w:rPr>
        <w:b/>
        <w:bCs/>
      </w:rPr>
      <w:tblPr/>
      <w:tcPr>
        <w:tcBorders>
          <w:bottom w:val="single" w:sz="4" w:space="0" w:color="26C0BC" w:themeColor="accent3"/>
        </w:tcBorders>
      </w:tcPr>
    </w:tblStylePr>
    <w:tblStylePr w:type="lastRow">
      <w:rPr>
        <w:b/>
        <w:bCs/>
      </w:rPr>
      <w:tblPr/>
      <w:tcPr>
        <w:tcBorders>
          <w:top w:val="double" w:sz="4" w:space="0" w:color="26C0BC" w:themeColor="accent3"/>
        </w:tcBorders>
      </w:tcPr>
    </w:tblStylePr>
    <w:tblStylePr w:type="firstCol">
      <w:rPr>
        <w:b/>
        <w:bCs/>
      </w:rPr>
    </w:tblStylePr>
    <w:tblStylePr w:type="lastCol">
      <w:rPr>
        <w:b/>
        <w:bCs/>
      </w:rPr>
    </w:tblStylePr>
    <w:tblStylePr w:type="band1Vert">
      <w:tblPr/>
      <w:tcPr>
        <w:shd w:val="clear" w:color="auto" w:fill="D0F5F4" w:themeFill="accent3" w:themeFillTint="33"/>
      </w:tcPr>
    </w:tblStylePr>
    <w:tblStylePr w:type="band1Horz">
      <w:tblPr/>
      <w:tcPr>
        <w:shd w:val="clear" w:color="auto" w:fill="D0F5F4" w:themeFill="accent3" w:themeFillTint="33"/>
      </w:tcPr>
    </w:tblStylePr>
  </w:style>
  <w:style w:type="table" w:styleId="ListTable6ColourfulAccent4">
    <w:name w:val="List Table 6 Colorful Accent 4"/>
    <w:basedOn w:val="TableNormal"/>
    <w:uiPriority w:val="51"/>
    <w:rsid w:val="0090719C"/>
    <w:rPr>
      <w:color w:val="972F50" w:themeColor="accent4" w:themeShade="BF"/>
    </w:rPr>
    <w:tblPr>
      <w:tblStyleRowBandSize w:val="1"/>
      <w:tblStyleColBandSize w:val="1"/>
      <w:tblBorders>
        <w:top w:val="single" w:sz="4" w:space="0" w:color="C5446E" w:themeColor="accent4"/>
        <w:bottom w:val="single" w:sz="4" w:space="0" w:color="C5446E" w:themeColor="accent4"/>
      </w:tblBorders>
    </w:tblPr>
    <w:tblStylePr w:type="firstRow">
      <w:rPr>
        <w:b/>
        <w:bCs/>
      </w:rPr>
      <w:tblPr/>
      <w:tcPr>
        <w:tcBorders>
          <w:bottom w:val="single" w:sz="4" w:space="0" w:color="C5446E" w:themeColor="accent4"/>
        </w:tcBorders>
      </w:tcPr>
    </w:tblStylePr>
    <w:tblStylePr w:type="lastRow">
      <w:rPr>
        <w:b/>
        <w:bCs/>
      </w:rPr>
      <w:tblPr/>
      <w:tcPr>
        <w:tcBorders>
          <w:top w:val="double" w:sz="4" w:space="0" w:color="C5446E" w:themeColor="accent4"/>
        </w:tcBorders>
      </w:tcPr>
    </w:tblStylePr>
    <w:tblStylePr w:type="firstCol">
      <w:rPr>
        <w:b/>
        <w:bCs/>
      </w:rPr>
    </w:tblStylePr>
    <w:tblStylePr w:type="lastCol">
      <w:rPr>
        <w:b/>
        <w:bCs/>
      </w:rPr>
    </w:tblStylePr>
    <w:tblStylePr w:type="band1Vert">
      <w:tblPr/>
      <w:tcPr>
        <w:shd w:val="clear" w:color="auto" w:fill="F3D9E1" w:themeFill="accent4" w:themeFillTint="33"/>
      </w:tcPr>
    </w:tblStylePr>
    <w:tblStylePr w:type="band1Horz">
      <w:tblPr/>
      <w:tcPr>
        <w:shd w:val="clear" w:color="auto" w:fill="F3D9E1" w:themeFill="accent4" w:themeFillTint="33"/>
      </w:tcPr>
    </w:tblStylePr>
  </w:style>
  <w:style w:type="table" w:styleId="ListTable6ColourfulAccent5">
    <w:name w:val="List Table 6 Colorful Accent 5"/>
    <w:basedOn w:val="TableNormal"/>
    <w:uiPriority w:val="51"/>
    <w:rsid w:val="0090719C"/>
    <w:rPr>
      <w:color w:val="081720" w:themeColor="accent5" w:themeShade="BF"/>
    </w:rPr>
    <w:tblPr>
      <w:tblStyleRowBandSize w:val="1"/>
      <w:tblStyleColBandSize w:val="1"/>
      <w:tblBorders>
        <w:top w:val="single" w:sz="4" w:space="0" w:color="0B1F2C" w:themeColor="accent5"/>
        <w:bottom w:val="single" w:sz="4" w:space="0" w:color="0B1F2C" w:themeColor="accent5"/>
      </w:tblBorders>
    </w:tblPr>
    <w:tblStylePr w:type="firstRow">
      <w:rPr>
        <w:b/>
        <w:bCs/>
      </w:rPr>
      <w:tblPr/>
      <w:tcPr>
        <w:tcBorders>
          <w:bottom w:val="single" w:sz="4" w:space="0" w:color="0B1F2C" w:themeColor="accent5"/>
        </w:tcBorders>
      </w:tcPr>
    </w:tblStylePr>
    <w:tblStylePr w:type="lastRow">
      <w:rPr>
        <w:b/>
        <w:bCs/>
      </w:rPr>
      <w:tblPr/>
      <w:tcPr>
        <w:tcBorders>
          <w:top w:val="double" w:sz="4" w:space="0" w:color="0B1F2C" w:themeColor="accent5"/>
        </w:tcBorders>
      </w:tcPr>
    </w:tblStylePr>
    <w:tblStylePr w:type="firstCol">
      <w:rPr>
        <w:b/>
        <w:bCs/>
      </w:rPr>
    </w:tblStylePr>
    <w:tblStylePr w:type="lastCol">
      <w:rPr>
        <w:b/>
        <w:bCs/>
      </w:rPr>
    </w:tblStylePr>
    <w:tblStylePr w:type="band1Vert">
      <w:tblPr/>
      <w:tcPr>
        <w:shd w:val="clear" w:color="auto" w:fill="B6D7EC" w:themeFill="accent5" w:themeFillTint="33"/>
      </w:tcPr>
    </w:tblStylePr>
    <w:tblStylePr w:type="band1Horz">
      <w:tblPr/>
      <w:tcPr>
        <w:shd w:val="clear" w:color="auto" w:fill="B6D7EC" w:themeFill="accent5" w:themeFillTint="33"/>
      </w:tcPr>
    </w:tblStylePr>
  </w:style>
  <w:style w:type="table" w:styleId="ListTable6ColourfulAccent6">
    <w:name w:val="List Table 6 Colorful Accent 6"/>
    <w:basedOn w:val="TableNormal"/>
    <w:uiPriority w:val="51"/>
    <w:rsid w:val="0090719C"/>
    <w:rPr>
      <w:color w:val="6B6B6B" w:themeColor="accent6" w:themeShade="BF"/>
    </w:rPr>
    <w:tblPr>
      <w:tblStyleRowBandSize w:val="1"/>
      <w:tblStyleColBandSize w:val="1"/>
      <w:tblBorders>
        <w:top w:val="single" w:sz="4" w:space="0" w:color="909090" w:themeColor="accent6"/>
        <w:bottom w:val="single" w:sz="4" w:space="0" w:color="909090" w:themeColor="accent6"/>
      </w:tblBorders>
    </w:tblPr>
    <w:tblStylePr w:type="firstRow">
      <w:rPr>
        <w:b/>
        <w:bCs/>
      </w:rPr>
      <w:tblPr/>
      <w:tcPr>
        <w:tcBorders>
          <w:bottom w:val="single" w:sz="4" w:space="0" w:color="909090" w:themeColor="accent6"/>
        </w:tcBorders>
      </w:tcPr>
    </w:tblStylePr>
    <w:tblStylePr w:type="lastRow">
      <w:rPr>
        <w:b/>
        <w:bCs/>
      </w:rPr>
      <w:tblPr/>
      <w:tcPr>
        <w:tcBorders>
          <w:top w:val="double" w:sz="4" w:space="0" w:color="909090" w:themeColor="accent6"/>
        </w:tcBorders>
      </w:tcPr>
    </w:tblStylePr>
    <w:tblStylePr w:type="firstCol">
      <w:rPr>
        <w:b/>
        <w:bCs/>
      </w:rPr>
    </w:tblStylePr>
    <w:tblStylePr w:type="lastCol">
      <w:rPr>
        <w:b/>
        <w:bCs/>
      </w:rPr>
    </w:tblStylePr>
    <w:tblStylePr w:type="band1Vert">
      <w:tblPr/>
      <w:tcPr>
        <w:shd w:val="clear" w:color="auto" w:fill="E8E8E8" w:themeFill="accent6" w:themeFillTint="33"/>
      </w:tcPr>
    </w:tblStylePr>
    <w:tblStylePr w:type="band1Horz">
      <w:tblPr/>
      <w:tcPr>
        <w:shd w:val="clear" w:color="auto" w:fill="E8E8E8" w:themeFill="accent6" w:themeFillTint="33"/>
      </w:tcPr>
    </w:tblStylePr>
  </w:style>
  <w:style w:type="table" w:styleId="ListTable7Colourful">
    <w:name w:val="List Table 7 Colorful"/>
    <w:basedOn w:val="TableNormal"/>
    <w:uiPriority w:val="52"/>
    <w:rsid w:val="0090719C"/>
    <w:rPr>
      <w:color w:val="0B1F2C"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B1F2C"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B1F2C"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B1F2C"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B1F2C" w:themeColor="text1"/>
        </w:tcBorders>
        <w:shd w:val="clear" w:color="auto" w:fill="FFFFFF" w:themeFill="background1"/>
      </w:tcPr>
    </w:tblStylePr>
    <w:tblStylePr w:type="band1Vert">
      <w:tblPr/>
      <w:tcPr>
        <w:shd w:val="clear" w:color="auto" w:fill="B6D7EC" w:themeFill="text1" w:themeFillTint="33"/>
      </w:tcPr>
    </w:tblStylePr>
    <w:tblStylePr w:type="band1Horz">
      <w:tblPr/>
      <w:tcPr>
        <w:shd w:val="clear" w:color="auto" w:fill="B6D7E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urfulAccent1">
    <w:name w:val="List Table 7 Colorful Accent 1"/>
    <w:basedOn w:val="TableNormal"/>
    <w:uiPriority w:val="52"/>
    <w:rsid w:val="0090719C"/>
    <w:rPr>
      <w:color w:val="0076AA"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9FE3"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9FE3"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9FE3"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9FE3" w:themeColor="accent1"/>
        </w:tcBorders>
        <w:shd w:val="clear" w:color="auto" w:fill="FFFFFF" w:themeFill="background1"/>
      </w:tcPr>
    </w:tblStylePr>
    <w:tblStylePr w:type="band1Vert">
      <w:tblPr/>
      <w:tcPr>
        <w:shd w:val="clear" w:color="auto" w:fill="C6EDFF" w:themeFill="accent1" w:themeFillTint="33"/>
      </w:tcPr>
    </w:tblStylePr>
    <w:tblStylePr w:type="band1Horz">
      <w:tblPr/>
      <w:tcPr>
        <w:shd w:val="clear" w:color="auto" w:fill="C6EDFF"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urfulAccent2">
    <w:name w:val="List Table 7 Colorful Accent 2"/>
    <w:basedOn w:val="TableNormal"/>
    <w:uiPriority w:val="52"/>
    <w:rsid w:val="0090719C"/>
    <w:rPr>
      <w:color w:val="5F005F"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00080"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00080"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00080"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00080" w:themeColor="accent2"/>
        </w:tcBorders>
        <w:shd w:val="clear" w:color="auto" w:fill="FFFFFF" w:themeFill="background1"/>
      </w:tcPr>
    </w:tblStylePr>
    <w:tblStylePr w:type="band1Vert">
      <w:tblPr/>
      <w:tcPr>
        <w:shd w:val="clear" w:color="auto" w:fill="FFB2FF" w:themeFill="accent2" w:themeFillTint="33"/>
      </w:tcPr>
    </w:tblStylePr>
    <w:tblStylePr w:type="band1Horz">
      <w:tblPr/>
      <w:tcPr>
        <w:shd w:val="clear" w:color="auto" w:fill="FFB2FF"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urfulAccent3">
    <w:name w:val="List Table 7 Colorful Accent 3"/>
    <w:basedOn w:val="TableNormal"/>
    <w:uiPriority w:val="52"/>
    <w:rsid w:val="0090719C"/>
    <w:rPr>
      <w:color w:val="1C8F8C"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26C0BC"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26C0BC"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26C0BC"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26C0BC" w:themeColor="accent3"/>
        </w:tcBorders>
        <w:shd w:val="clear" w:color="auto" w:fill="FFFFFF" w:themeFill="background1"/>
      </w:tcPr>
    </w:tblStylePr>
    <w:tblStylePr w:type="band1Vert">
      <w:tblPr/>
      <w:tcPr>
        <w:shd w:val="clear" w:color="auto" w:fill="D0F5F4" w:themeFill="accent3" w:themeFillTint="33"/>
      </w:tcPr>
    </w:tblStylePr>
    <w:tblStylePr w:type="band1Horz">
      <w:tblPr/>
      <w:tcPr>
        <w:shd w:val="clear" w:color="auto" w:fill="D0F5F4"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urfulAccent4">
    <w:name w:val="List Table 7 Colorful Accent 4"/>
    <w:basedOn w:val="TableNormal"/>
    <w:uiPriority w:val="52"/>
    <w:rsid w:val="0090719C"/>
    <w:rPr>
      <w:color w:val="972F50"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5446E"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5446E"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5446E"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5446E" w:themeColor="accent4"/>
        </w:tcBorders>
        <w:shd w:val="clear" w:color="auto" w:fill="FFFFFF" w:themeFill="background1"/>
      </w:tcPr>
    </w:tblStylePr>
    <w:tblStylePr w:type="band1Vert">
      <w:tblPr/>
      <w:tcPr>
        <w:shd w:val="clear" w:color="auto" w:fill="F3D9E1" w:themeFill="accent4" w:themeFillTint="33"/>
      </w:tcPr>
    </w:tblStylePr>
    <w:tblStylePr w:type="band1Horz">
      <w:tblPr/>
      <w:tcPr>
        <w:shd w:val="clear" w:color="auto" w:fill="F3D9E1"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urfulAccent5">
    <w:name w:val="List Table 7 Colorful Accent 5"/>
    <w:basedOn w:val="TableNormal"/>
    <w:uiPriority w:val="52"/>
    <w:rsid w:val="0090719C"/>
    <w:rPr>
      <w:color w:val="081720"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B1F2C"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B1F2C"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B1F2C"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B1F2C" w:themeColor="accent5"/>
        </w:tcBorders>
        <w:shd w:val="clear" w:color="auto" w:fill="FFFFFF" w:themeFill="background1"/>
      </w:tcPr>
    </w:tblStylePr>
    <w:tblStylePr w:type="band1Vert">
      <w:tblPr/>
      <w:tcPr>
        <w:shd w:val="clear" w:color="auto" w:fill="B6D7EC" w:themeFill="accent5" w:themeFillTint="33"/>
      </w:tcPr>
    </w:tblStylePr>
    <w:tblStylePr w:type="band1Horz">
      <w:tblPr/>
      <w:tcPr>
        <w:shd w:val="clear" w:color="auto" w:fill="B6D7EC"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urfulAccent6">
    <w:name w:val="List Table 7 Colorful Accent 6"/>
    <w:basedOn w:val="TableNormal"/>
    <w:uiPriority w:val="52"/>
    <w:rsid w:val="0090719C"/>
    <w:rPr>
      <w:color w:val="6B6B6B"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09090"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09090"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09090"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09090" w:themeColor="accent6"/>
        </w:tcBorders>
        <w:shd w:val="clear" w:color="auto" w:fill="FFFFFF" w:themeFill="background1"/>
      </w:tcPr>
    </w:tblStylePr>
    <w:tblStylePr w:type="band1Vert">
      <w:tblPr/>
      <w:tcPr>
        <w:shd w:val="clear" w:color="auto" w:fill="E8E8E8" w:themeFill="accent6" w:themeFillTint="33"/>
      </w:tcPr>
    </w:tblStylePr>
    <w:tblStylePr w:type="band1Horz">
      <w:tblPr/>
      <w:tcPr>
        <w:shd w:val="clear" w:color="auto" w:fill="E8E8E8"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MacroText">
    <w:name w:val="macro"/>
    <w:link w:val="MacroTextChar"/>
    <w:uiPriority w:val="99"/>
    <w:semiHidden/>
    <w:unhideWhenUsed/>
    <w:rsid w:val="0090719C"/>
    <w:pPr>
      <w:tabs>
        <w:tab w:val="left" w:pos="480"/>
        <w:tab w:val="left" w:pos="960"/>
        <w:tab w:val="left" w:pos="1440"/>
        <w:tab w:val="left" w:pos="1920"/>
        <w:tab w:val="left" w:pos="2400"/>
        <w:tab w:val="left" w:pos="2880"/>
        <w:tab w:val="left" w:pos="3360"/>
        <w:tab w:val="left" w:pos="3840"/>
        <w:tab w:val="left" w:pos="4320"/>
      </w:tabs>
    </w:pPr>
    <w:rPr>
      <w:rFonts w:ascii="Consolas" w:eastAsia="Arial" w:hAnsi="Consolas" w:cs="Arial"/>
      <w:lang w:val="en-GB"/>
    </w:rPr>
  </w:style>
  <w:style w:type="character" w:customStyle="1" w:styleId="MacroTextChar">
    <w:name w:val="Macro Text Char"/>
    <w:basedOn w:val="DefaultParagraphFont"/>
    <w:link w:val="MacroText"/>
    <w:uiPriority w:val="99"/>
    <w:semiHidden/>
    <w:rsid w:val="0090719C"/>
    <w:rPr>
      <w:rFonts w:ascii="Consolas" w:eastAsia="Arial" w:hAnsi="Consolas" w:cs="Arial"/>
      <w:sz w:val="20"/>
      <w:szCs w:val="20"/>
      <w:lang w:val="en-GB"/>
    </w:rPr>
  </w:style>
  <w:style w:type="table" w:styleId="MediumGrid1">
    <w:name w:val="Medium Grid 1"/>
    <w:basedOn w:val="TableNormal"/>
    <w:uiPriority w:val="67"/>
    <w:semiHidden/>
    <w:unhideWhenUsed/>
    <w:rsid w:val="0090719C"/>
    <w:tblPr>
      <w:tblStyleRowBandSize w:val="1"/>
      <w:tblStyleColBandSize w:val="1"/>
      <w:tblBorders>
        <w:top w:val="single" w:sz="8" w:space="0" w:color="215F87" w:themeColor="text1" w:themeTint="BF"/>
        <w:left w:val="single" w:sz="8" w:space="0" w:color="215F87" w:themeColor="text1" w:themeTint="BF"/>
        <w:bottom w:val="single" w:sz="8" w:space="0" w:color="215F87" w:themeColor="text1" w:themeTint="BF"/>
        <w:right w:val="single" w:sz="8" w:space="0" w:color="215F87" w:themeColor="text1" w:themeTint="BF"/>
        <w:insideH w:val="single" w:sz="8" w:space="0" w:color="215F87" w:themeColor="text1" w:themeTint="BF"/>
        <w:insideV w:val="single" w:sz="8" w:space="0" w:color="215F87" w:themeColor="text1" w:themeTint="BF"/>
      </w:tblBorders>
    </w:tblPr>
    <w:tcPr>
      <w:shd w:val="clear" w:color="auto" w:fill="A4CDE8" w:themeFill="text1" w:themeFillTint="3F"/>
    </w:tcPr>
    <w:tblStylePr w:type="firstRow">
      <w:rPr>
        <w:b/>
        <w:bCs/>
      </w:rPr>
    </w:tblStylePr>
    <w:tblStylePr w:type="lastRow">
      <w:rPr>
        <w:b/>
        <w:bCs/>
      </w:rPr>
      <w:tblPr/>
      <w:tcPr>
        <w:tcBorders>
          <w:top w:val="single" w:sz="18" w:space="0" w:color="215F87" w:themeColor="text1" w:themeTint="BF"/>
        </w:tcBorders>
      </w:tcPr>
    </w:tblStylePr>
    <w:tblStylePr w:type="firstCol">
      <w:rPr>
        <w:b/>
        <w:bCs/>
      </w:rPr>
    </w:tblStylePr>
    <w:tblStylePr w:type="lastCol">
      <w:rPr>
        <w:b/>
        <w:bCs/>
      </w:rPr>
    </w:tblStylePr>
    <w:tblStylePr w:type="band1Vert">
      <w:tblPr/>
      <w:tcPr>
        <w:shd w:val="clear" w:color="auto" w:fill="499BD1" w:themeFill="text1" w:themeFillTint="7F"/>
      </w:tcPr>
    </w:tblStylePr>
    <w:tblStylePr w:type="band1Horz">
      <w:tblPr/>
      <w:tcPr>
        <w:shd w:val="clear" w:color="auto" w:fill="499BD1" w:themeFill="text1" w:themeFillTint="7F"/>
      </w:tcPr>
    </w:tblStylePr>
  </w:style>
  <w:style w:type="table" w:styleId="MediumGrid1-Accent1">
    <w:name w:val="Medium Grid 1 Accent 1"/>
    <w:basedOn w:val="TableNormal"/>
    <w:uiPriority w:val="67"/>
    <w:semiHidden/>
    <w:unhideWhenUsed/>
    <w:rsid w:val="0090719C"/>
    <w:tblPr>
      <w:tblStyleRowBandSize w:val="1"/>
      <w:tblStyleColBandSize w:val="1"/>
      <w:tblBorders>
        <w:top w:val="single" w:sz="8" w:space="0" w:color="2BBEFF" w:themeColor="accent1" w:themeTint="BF"/>
        <w:left w:val="single" w:sz="8" w:space="0" w:color="2BBEFF" w:themeColor="accent1" w:themeTint="BF"/>
        <w:bottom w:val="single" w:sz="8" w:space="0" w:color="2BBEFF" w:themeColor="accent1" w:themeTint="BF"/>
        <w:right w:val="single" w:sz="8" w:space="0" w:color="2BBEFF" w:themeColor="accent1" w:themeTint="BF"/>
        <w:insideH w:val="single" w:sz="8" w:space="0" w:color="2BBEFF" w:themeColor="accent1" w:themeTint="BF"/>
        <w:insideV w:val="single" w:sz="8" w:space="0" w:color="2BBEFF" w:themeColor="accent1" w:themeTint="BF"/>
      </w:tblBorders>
    </w:tblPr>
    <w:tcPr>
      <w:shd w:val="clear" w:color="auto" w:fill="B9E9FF" w:themeFill="accent1" w:themeFillTint="3F"/>
    </w:tcPr>
    <w:tblStylePr w:type="firstRow">
      <w:rPr>
        <w:b/>
        <w:bCs/>
      </w:rPr>
    </w:tblStylePr>
    <w:tblStylePr w:type="lastRow">
      <w:rPr>
        <w:b/>
        <w:bCs/>
      </w:rPr>
      <w:tblPr/>
      <w:tcPr>
        <w:tcBorders>
          <w:top w:val="single" w:sz="18" w:space="0" w:color="2BBEFF" w:themeColor="accent1" w:themeTint="BF"/>
        </w:tcBorders>
      </w:tcPr>
    </w:tblStylePr>
    <w:tblStylePr w:type="firstCol">
      <w:rPr>
        <w:b/>
        <w:bCs/>
      </w:rPr>
    </w:tblStylePr>
    <w:tblStylePr w:type="lastCol">
      <w:rPr>
        <w:b/>
        <w:bCs/>
      </w:rPr>
    </w:tblStylePr>
    <w:tblStylePr w:type="band1Vert">
      <w:tblPr/>
      <w:tcPr>
        <w:shd w:val="clear" w:color="auto" w:fill="72D4FF" w:themeFill="accent1" w:themeFillTint="7F"/>
      </w:tcPr>
    </w:tblStylePr>
    <w:tblStylePr w:type="band1Horz">
      <w:tblPr/>
      <w:tcPr>
        <w:shd w:val="clear" w:color="auto" w:fill="72D4FF" w:themeFill="accent1" w:themeFillTint="7F"/>
      </w:tcPr>
    </w:tblStylePr>
  </w:style>
  <w:style w:type="table" w:styleId="MediumGrid1-Accent2">
    <w:name w:val="Medium Grid 1 Accent 2"/>
    <w:basedOn w:val="TableNormal"/>
    <w:uiPriority w:val="67"/>
    <w:semiHidden/>
    <w:unhideWhenUsed/>
    <w:rsid w:val="0090719C"/>
    <w:tblPr>
      <w:tblStyleRowBandSize w:val="1"/>
      <w:tblStyleColBandSize w:val="1"/>
      <w:tblBorders>
        <w:top w:val="single" w:sz="8" w:space="0" w:color="DF00DF" w:themeColor="accent2" w:themeTint="BF"/>
        <w:left w:val="single" w:sz="8" w:space="0" w:color="DF00DF" w:themeColor="accent2" w:themeTint="BF"/>
        <w:bottom w:val="single" w:sz="8" w:space="0" w:color="DF00DF" w:themeColor="accent2" w:themeTint="BF"/>
        <w:right w:val="single" w:sz="8" w:space="0" w:color="DF00DF" w:themeColor="accent2" w:themeTint="BF"/>
        <w:insideH w:val="single" w:sz="8" w:space="0" w:color="DF00DF" w:themeColor="accent2" w:themeTint="BF"/>
        <w:insideV w:val="single" w:sz="8" w:space="0" w:color="DF00DF" w:themeColor="accent2" w:themeTint="BF"/>
      </w:tblBorders>
    </w:tblPr>
    <w:tcPr>
      <w:shd w:val="clear" w:color="auto" w:fill="FFA0FF" w:themeFill="accent2" w:themeFillTint="3F"/>
    </w:tcPr>
    <w:tblStylePr w:type="firstRow">
      <w:rPr>
        <w:b/>
        <w:bCs/>
      </w:rPr>
    </w:tblStylePr>
    <w:tblStylePr w:type="lastRow">
      <w:rPr>
        <w:b/>
        <w:bCs/>
      </w:rPr>
      <w:tblPr/>
      <w:tcPr>
        <w:tcBorders>
          <w:top w:val="single" w:sz="18" w:space="0" w:color="DF00DF" w:themeColor="accent2" w:themeTint="BF"/>
        </w:tcBorders>
      </w:tcPr>
    </w:tblStylePr>
    <w:tblStylePr w:type="firstCol">
      <w:rPr>
        <w:b/>
        <w:bCs/>
      </w:rPr>
    </w:tblStylePr>
    <w:tblStylePr w:type="lastCol">
      <w:rPr>
        <w:b/>
        <w:bCs/>
      </w:rPr>
    </w:tblStylePr>
    <w:tblStylePr w:type="band1Vert">
      <w:tblPr/>
      <w:tcPr>
        <w:shd w:val="clear" w:color="auto" w:fill="FF40FF" w:themeFill="accent2" w:themeFillTint="7F"/>
      </w:tcPr>
    </w:tblStylePr>
    <w:tblStylePr w:type="band1Horz">
      <w:tblPr/>
      <w:tcPr>
        <w:shd w:val="clear" w:color="auto" w:fill="FF40FF" w:themeFill="accent2" w:themeFillTint="7F"/>
      </w:tcPr>
    </w:tblStylePr>
  </w:style>
  <w:style w:type="table" w:styleId="MediumGrid1-Accent3">
    <w:name w:val="Medium Grid 1 Accent 3"/>
    <w:basedOn w:val="TableNormal"/>
    <w:uiPriority w:val="67"/>
    <w:semiHidden/>
    <w:unhideWhenUsed/>
    <w:rsid w:val="0090719C"/>
    <w:tblPr>
      <w:tblStyleRowBandSize w:val="1"/>
      <w:tblStyleColBandSize w:val="1"/>
      <w:tblBorders>
        <w:top w:val="single" w:sz="8" w:space="0" w:color="4FDCD8" w:themeColor="accent3" w:themeTint="BF"/>
        <w:left w:val="single" w:sz="8" w:space="0" w:color="4FDCD8" w:themeColor="accent3" w:themeTint="BF"/>
        <w:bottom w:val="single" w:sz="8" w:space="0" w:color="4FDCD8" w:themeColor="accent3" w:themeTint="BF"/>
        <w:right w:val="single" w:sz="8" w:space="0" w:color="4FDCD8" w:themeColor="accent3" w:themeTint="BF"/>
        <w:insideH w:val="single" w:sz="8" w:space="0" w:color="4FDCD8" w:themeColor="accent3" w:themeTint="BF"/>
        <w:insideV w:val="single" w:sz="8" w:space="0" w:color="4FDCD8" w:themeColor="accent3" w:themeTint="BF"/>
      </w:tblBorders>
    </w:tblPr>
    <w:tcPr>
      <w:shd w:val="clear" w:color="auto" w:fill="C5F3F2" w:themeFill="accent3" w:themeFillTint="3F"/>
    </w:tcPr>
    <w:tblStylePr w:type="firstRow">
      <w:rPr>
        <w:b/>
        <w:bCs/>
      </w:rPr>
    </w:tblStylePr>
    <w:tblStylePr w:type="lastRow">
      <w:rPr>
        <w:b/>
        <w:bCs/>
      </w:rPr>
      <w:tblPr/>
      <w:tcPr>
        <w:tcBorders>
          <w:top w:val="single" w:sz="18" w:space="0" w:color="4FDCD8" w:themeColor="accent3" w:themeTint="BF"/>
        </w:tcBorders>
      </w:tcPr>
    </w:tblStylePr>
    <w:tblStylePr w:type="firstCol">
      <w:rPr>
        <w:b/>
        <w:bCs/>
      </w:rPr>
    </w:tblStylePr>
    <w:tblStylePr w:type="lastCol">
      <w:rPr>
        <w:b/>
        <w:bCs/>
      </w:rPr>
    </w:tblStylePr>
    <w:tblStylePr w:type="band1Vert">
      <w:tblPr/>
      <w:tcPr>
        <w:shd w:val="clear" w:color="auto" w:fill="8AE8E5" w:themeFill="accent3" w:themeFillTint="7F"/>
      </w:tcPr>
    </w:tblStylePr>
    <w:tblStylePr w:type="band1Horz">
      <w:tblPr/>
      <w:tcPr>
        <w:shd w:val="clear" w:color="auto" w:fill="8AE8E5" w:themeFill="accent3" w:themeFillTint="7F"/>
      </w:tcPr>
    </w:tblStylePr>
  </w:style>
  <w:style w:type="table" w:styleId="MediumGrid1-Accent4">
    <w:name w:val="Medium Grid 1 Accent 4"/>
    <w:basedOn w:val="TableNormal"/>
    <w:uiPriority w:val="67"/>
    <w:semiHidden/>
    <w:unhideWhenUsed/>
    <w:rsid w:val="0090719C"/>
    <w:tblPr>
      <w:tblStyleRowBandSize w:val="1"/>
      <w:tblStyleColBandSize w:val="1"/>
      <w:tblBorders>
        <w:top w:val="single" w:sz="8" w:space="0" w:color="D37292" w:themeColor="accent4" w:themeTint="BF"/>
        <w:left w:val="single" w:sz="8" w:space="0" w:color="D37292" w:themeColor="accent4" w:themeTint="BF"/>
        <w:bottom w:val="single" w:sz="8" w:space="0" w:color="D37292" w:themeColor="accent4" w:themeTint="BF"/>
        <w:right w:val="single" w:sz="8" w:space="0" w:color="D37292" w:themeColor="accent4" w:themeTint="BF"/>
        <w:insideH w:val="single" w:sz="8" w:space="0" w:color="D37292" w:themeColor="accent4" w:themeTint="BF"/>
        <w:insideV w:val="single" w:sz="8" w:space="0" w:color="D37292" w:themeColor="accent4" w:themeTint="BF"/>
      </w:tblBorders>
    </w:tblPr>
    <w:tcPr>
      <w:shd w:val="clear" w:color="auto" w:fill="F0D0DB" w:themeFill="accent4" w:themeFillTint="3F"/>
    </w:tcPr>
    <w:tblStylePr w:type="firstRow">
      <w:rPr>
        <w:b/>
        <w:bCs/>
      </w:rPr>
    </w:tblStylePr>
    <w:tblStylePr w:type="lastRow">
      <w:rPr>
        <w:b/>
        <w:bCs/>
      </w:rPr>
      <w:tblPr/>
      <w:tcPr>
        <w:tcBorders>
          <w:top w:val="single" w:sz="18" w:space="0" w:color="D37292" w:themeColor="accent4" w:themeTint="BF"/>
        </w:tcBorders>
      </w:tcPr>
    </w:tblStylePr>
    <w:tblStylePr w:type="firstCol">
      <w:rPr>
        <w:b/>
        <w:bCs/>
      </w:rPr>
    </w:tblStylePr>
    <w:tblStylePr w:type="lastCol">
      <w:rPr>
        <w:b/>
        <w:bCs/>
      </w:rPr>
    </w:tblStylePr>
    <w:tblStylePr w:type="band1Vert">
      <w:tblPr/>
      <w:tcPr>
        <w:shd w:val="clear" w:color="auto" w:fill="E2A1B6" w:themeFill="accent4" w:themeFillTint="7F"/>
      </w:tcPr>
    </w:tblStylePr>
    <w:tblStylePr w:type="band1Horz">
      <w:tblPr/>
      <w:tcPr>
        <w:shd w:val="clear" w:color="auto" w:fill="E2A1B6" w:themeFill="accent4" w:themeFillTint="7F"/>
      </w:tcPr>
    </w:tblStylePr>
  </w:style>
  <w:style w:type="table" w:styleId="MediumGrid1-Accent5">
    <w:name w:val="Medium Grid 1 Accent 5"/>
    <w:basedOn w:val="TableNormal"/>
    <w:uiPriority w:val="67"/>
    <w:semiHidden/>
    <w:unhideWhenUsed/>
    <w:rsid w:val="0090719C"/>
    <w:tblPr>
      <w:tblStyleRowBandSize w:val="1"/>
      <w:tblStyleColBandSize w:val="1"/>
      <w:tblBorders>
        <w:top w:val="single" w:sz="8" w:space="0" w:color="215F87" w:themeColor="accent5" w:themeTint="BF"/>
        <w:left w:val="single" w:sz="8" w:space="0" w:color="215F87" w:themeColor="accent5" w:themeTint="BF"/>
        <w:bottom w:val="single" w:sz="8" w:space="0" w:color="215F87" w:themeColor="accent5" w:themeTint="BF"/>
        <w:right w:val="single" w:sz="8" w:space="0" w:color="215F87" w:themeColor="accent5" w:themeTint="BF"/>
        <w:insideH w:val="single" w:sz="8" w:space="0" w:color="215F87" w:themeColor="accent5" w:themeTint="BF"/>
        <w:insideV w:val="single" w:sz="8" w:space="0" w:color="215F87" w:themeColor="accent5" w:themeTint="BF"/>
      </w:tblBorders>
    </w:tblPr>
    <w:tcPr>
      <w:shd w:val="clear" w:color="auto" w:fill="A4CDE8" w:themeFill="accent5" w:themeFillTint="3F"/>
    </w:tcPr>
    <w:tblStylePr w:type="firstRow">
      <w:rPr>
        <w:b/>
        <w:bCs/>
      </w:rPr>
    </w:tblStylePr>
    <w:tblStylePr w:type="lastRow">
      <w:rPr>
        <w:b/>
        <w:bCs/>
      </w:rPr>
      <w:tblPr/>
      <w:tcPr>
        <w:tcBorders>
          <w:top w:val="single" w:sz="18" w:space="0" w:color="215F87" w:themeColor="accent5" w:themeTint="BF"/>
        </w:tcBorders>
      </w:tcPr>
    </w:tblStylePr>
    <w:tblStylePr w:type="firstCol">
      <w:rPr>
        <w:b/>
        <w:bCs/>
      </w:rPr>
    </w:tblStylePr>
    <w:tblStylePr w:type="lastCol">
      <w:rPr>
        <w:b/>
        <w:bCs/>
      </w:rPr>
    </w:tblStylePr>
    <w:tblStylePr w:type="band1Vert">
      <w:tblPr/>
      <w:tcPr>
        <w:shd w:val="clear" w:color="auto" w:fill="499BD1" w:themeFill="accent5" w:themeFillTint="7F"/>
      </w:tcPr>
    </w:tblStylePr>
    <w:tblStylePr w:type="band1Horz">
      <w:tblPr/>
      <w:tcPr>
        <w:shd w:val="clear" w:color="auto" w:fill="499BD1" w:themeFill="accent5" w:themeFillTint="7F"/>
      </w:tcPr>
    </w:tblStylePr>
  </w:style>
  <w:style w:type="table" w:styleId="MediumGrid1-Accent6">
    <w:name w:val="Medium Grid 1 Accent 6"/>
    <w:basedOn w:val="TableNormal"/>
    <w:uiPriority w:val="67"/>
    <w:semiHidden/>
    <w:unhideWhenUsed/>
    <w:rsid w:val="0090719C"/>
    <w:tblPr>
      <w:tblStyleRowBandSize w:val="1"/>
      <w:tblStyleColBandSize w:val="1"/>
      <w:tblBorders>
        <w:top w:val="single" w:sz="8" w:space="0" w:color="ABABAB" w:themeColor="accent6" w:themeTint="BF"/>
        <w:left w:val="single" w:sz="8" w:space="0" w:color="ABABAB" w:themeColor="accent6" w:themeTint="BF"/>
        <w:bottom w:val="single" w:sz="8" w:space="0" w:color="ABABAB" w:themeColor="accent6" w:themeTint="BF"/>
        <w:right w:val="single" w:sz="8" w:space="0" w:color="ABABAB" w:themeColor="accent6" w:themeTint="BF"/>
        <w:insideH w:val="single" w:sz="8" w:space="0" w:color="ABABAB" w:themeColor="accent6" w:themeTint="BF"/>
        <w:insideV w:val="single" w:sz="8" w:space="0" w:color="ABABAB" w:themeColor="accent6" w:themeTint="BF"/>
      </w:tblBorders>
    </w:tblPr>
    <w:tcPr>
      <w:shd w:val="clear" w:color="auto" w:fill="E3E3E3" w:themeFill="accent6" w:themeFillTint="3F"/>
    </w:tcPr>
    <w:tblStylePr w:type="firstRow">
      <w:rPr>
        <w:b/>
        <w:bCs/>
      </w:rPr>
    </w:tblStylePr>
    <w:tblStylePr w:type="lastRow">
      <w:rPr>
        <w:b/>
        <w:bCs/>
      </w:rPr>
      <w:tblPr/>
      <w:tcPr>
        <w:tcBorders>
          <w:top w:val="single" w:sz="18" w:space="0" w:color="ABABAB" w:themeColor="accent6" w:themeTint="BF"/>
        </w:tcBorders>
      </w:tcPr>
    </w:tblStylePr>
    <w:tblStylePr w:type="firstCol">
      <w:rPr>
        <w:b/>
        <w:bCs/>
      </w:rPr>
    </w:tblStylePr>
    <w:tblStylePr w:type="lastCol">
      <w:rPr>
        <w:b/>
        <w:bCs/>
      </w:rPr>
    </w:tblStylePr>
    <w:tblStylePr w:type="band1Vert">
      <w:tblPr/>
      <w:tcPr>
        <w:shd w:val="clear" w:color="auto" w:fill="C7C7C7" w:themeFill="accent6" w:themeFillTint="7F"/>
      </w:tcPr>
    </w:tblStylePr>
    <w:tblStylePr w:type="band1Horz">
      <w:tblPr/>
      <w:tcPr>
        <w:shd w:val="clear" w:color="auto" w:fill="C7C7C7" w:themeFill="accent6" w:themeFillTint="7F"/>
      </w:tcPr>
    </w:tblStylePr>
  </w:style>
  <w:style w:type="table" w:styleId="MediumGrid2">
    <w:name w:val="Medium Grid 2"/>
    <w:basedOn w:val="TableNormal"/>
    <w:uiPriority w:val="68"/>
    <w:semiHidden/>
    <w:unhideWhenUsed/>
    <w:rsid w:val="0090719C"/>
    <w:rPr>
      <w:rFonts w:asciiTheme="majorHAnsi" w:eastAsiaTheme="majorEastAsia" w:hAnsiTheme="majorHAnsi" w:cstheme="majorBidi"/>
      <w:color w:val="0B1F2C" w:themeColor="text1"/>
    </w:rPr>
    <w:tblPr>
      <w:tblStyleRowBandSize w:val="1"/>
      <w:tblStyleColBandSize w:val="1"/>
      <w:tblBorders>
        <w:top w:val="single" w:sz="8" w:space="0" w:color="0B1F2C" w:themeColor="text1"/>
        <w:left w:val="single" w:sz="8" w:space="0" w:color="0B1F2C" w:themeColor="text1"/>
        <w:bottom w:val="single" w:sz="8" w:space="0" w:color="0B1F2C" w:themeColor="text1"/>
        <w:right w:val="single" w:sz="8" w:space="0" w:color="0B1F2C" w:themeColor="text1"/>
        <w:insideH w:val="single" w:sz="8" w:space="0" w:color="0B1F2C" w:themeColor="text1"/>
        <w:insideV w:val="single" w:sz="8" w:space="0" w:color="0B1F2C" w:themeColor="text1"/>
      </w:tblBorders>
    </w:tblPr>
    <w:tcPr>
      <w:shd w:val="clear" w:color="auto" w:fill="A4CDE8" w:themeFill="text1" w:themeFillTint="3F"/>
    </w:tcPr>
    <w:tblStylePr w:type="firstRow">
      <w:rPr>
        <w:b/>
        <w:bCs/>
        <w:color w:val="0B1F2C" w:themeColor="text1"/>
      </w:rPr>
      <w:tblPr/>
      <w:tcPr>
        <w:shd w:val="clear" w:color="auto" w:fill="DBEBF6" w:themeFill="text1" w:themeFillTint="19"/>
      </w:tcPr>
    </w:tblStylePr>
    <w:tblStylePr w:type="lastRow">
      <w:rPr>
        <w:b/>
        <w:bCs/>
        <w:color w:val="0B1F2C" w:themeColor="text1"/>
      </w:rPr>
      <w:tblPr/>
      <w:tcPr>
        <w:tcBorders>
          <w:top w:val="single" w:sz="12" w:space="0" w:color="0B1F2C" w:themeColor="text1"/>
          <w:left w:val="nil"/>
          <w:bottom w:val="nil"/>
          <w:right w:val="nil"/>
          <w:insideH w:val="nil"/>
          <w:insideV w:val="nil"/>
        </w:tcBorders>
        <w:shd w:val="clear" w:color="auto" w:fill="FFFFFF" w:themeFill="background1"/>
      </w:tcPr>
    </w:tblStylePr>
    <w:tblStylePr w:type="firstCol">
      <w:rPr>
        <w:b/>
        <w:bCs/>
        <w:color w:val="0B1F2C"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B1F2C" w:themeColor="text1"/>
      </w:rPr>
      <w:tblPr/>
      <w:tcPr>
        <w:tcBorders>
          <w:top w:val="nil"/>
          <w:left w:val="nil"/>
          <w:bottom w:val="nil"/>
          <w:right w:val="nil"/>
          <w:insideH w:val="nil"/>
          <w:insideV w:val="nil"/>
        </w:tcBorders>
        <w:shd w:val="clear" w:color="auto" w:fill="B6D7EC" w:themeFill="text1" w:themeFillTint="33"/>
      </w:tcPr>
    </w:tblStylePr>
    <w:tblStylePr w:type="band1Vert">
      <w:tblPr/>
      <w:tcPr>
        <w:shd w:val="clear" w:color="auto" w:fill="499BD1" w:themeFill="text1" w:themeFillTint="7F"/>
      </w:tcPr>
    </w:tblStylePr>
    <w:tblStylePr w:type="band1Horz">
      <w:tblPr/>
      <w:tcPr>
        <w:tcBorders>
          <w:insideH w:val="single" w:sz="6" w:space="0" w:color="0B1F2C" w:themeColor="text1"/>
          <w:insideV w:val="single" w:sz="6" w:space="0" w:color="0B1F2C" w:themeColor="text1"/>
        </w:tcBorders>
        <w:shd w:val="clear" w:color="auto" w:fill="499BD1"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unhideWhenUsed/>
    <w:rsid w:val="0090719C"/>
    <w:rPr>
      <w:rFonts w:asciiTheme="majorHAnsi" w:eastAsiaTheme="majorEastAsia" w:hAnsiTheme="majorHAnsi" w:cstheme="majorBidi"/>
      <w:color w:val="0B1F2C" w:themeColor="text1"/>
    </w:rPr>
    <w:tblPr>
      <w:tblStyleRowBandSize w:val="1"/>
      <w:tblStyleColBandSize w:val="1"/>
      <w:tblBorders>
        <w:top w:val="single" w:sz="8" w:space="0" w:color="009FE3" w:themeColor="accent1"/>
        <w:left w:val="single" w:sz="8" w:space="0" w:color="009FE3" w:themeColor="accent1"/>
        <w:bottom w:val="single" w:sz="8" w:space="0" w:color="009FE3" w:themeColor="accent1"/>
        <w:right w:val="single" w:sz="8" w:space="0" w:color="009FE3" w:themeColor="accent1"/>
        <w:insideH w:val="single" w:sz="8" w:space="0" w:color="009FE3" w:themeColor="accent1"/>
        <w:insideV w:val="single" w:sz="8" w:space="0" w:color="009FE3" w:themeColor="accent1"/>
      </w:tblBorders>
    </w:tblPr>
    <w:tcPr>
      <w:shd w:val="clear" w:color="auto" w:fill="B9E9FF" w:themeFill="accent1" w:themeFillTint="3F"/>
    </w:tcPr>
    <w:tblStylePr w:type="firstRow">
      <w:rPr>
        <w:b/>
        <w:bCs/>
        <w:color w:val="0B1F2C" w:themeColor="text1"/>
      </w:rPr>
      <w:tblPr/>
      <w:tcPr>
        <w:shd w:val="clear" w:color="auto" w:fill="E3F6FF" w:themeFill="accent1" w:themeFillTint="19"/>
      </w:tcPr>
    </w:tblStylePr>
    <w:tblStylePr w:type="lastRow">
      <w:rPr>
        <w:b/>
        <w:bCs/>
        <w:color w:val="0B1F2C" w:themeColor="text1"/>
      </w:rPr>
      <w:tblPr/>
      <w:tcPr>
        <w:tcBorders>
          <w:top w:val="single" w:sz="12" w:space="0" w:color="0B1F2C" w:themeColor="text1"/>
          <w:left w:val="nil"/>
          <w:bottom w:val="nil"/>
          <w:right w:val="nil"/>
          <w:insideH w:val="nil"/>
          <w:insideV w:val="nil"/>
        </w:tcBorders>
        <w:shd w:val="clear" w:color="auto" w:fill="FFFFFF" w:themeFill="background1"/>
      </w:tcPr>
    </w:tblStylePr>
    <w:tblStylePr w:type="firstCol">
      <w:rPr>
        <w:b/>
        <w:bCs/>
        <w:color w:val="0B1F2C"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B1F2C" w:themeColor="text1"/>
      </w:rPr>
      <w:tblPr/>
      <w:tcPr>
        <w:tcBorders>
          <w:top w:val="nil"/>
          <w:left w:val="nil"/>
          <w:bottom w:val="nil"/>
          <w:right w:val="nil"/>
          <w:insideH w:val="nil"/>
          <w:insideV w:val="nil"/>
        </w:tcBorders>
        <w:shd w:val="clear" w:color="auto" w:fill="C6EDFF" w:themeFill="accent1" w:themeFillTint="33"/>
      </w:tcPr>
    </w:tblStylePr>
    <w:tblStylePr w:type="band1Vert">
      <w:tblPr/>
      <w:tcPr>
        <w:shd w:val="clear" w:color="auto" w:fill="72D4FF" w:themeFill="accent1" w:themeFillTint="7F"/>
      </w:tcPr>
    </w:tblStylePr>
    <w:tblStylePr w:type="band1Horz">
      <w:tblPr/>
      <w:tcPr>
        <w:tcBorders>
          <w:insideH w:val="single" w:sz="6" w:space="0" w:color="009FE3" w:themeColor="accent1"/>
          <w:insideV w:val="single" w:sz="6" w:space="0" w:color="009FE3" w:themeColor="accent1"/>
        </w:tcBorders>
        <w:shd w:val="clear" w:color="auto" w:fill="72D4FF"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unhideWhenUsed/>
    <w:rsid w:val="0090719C"/>
    <w:rPr>
      <w:rFonts w:asciiTheme="majorHAnsi" w:eastAsiaTheme="majorEastAsia" w:hAnsiTheme="majorHAnsi" w:cstheme="majorBidi"/>
      <w:color w:val="0B1F2C" w:themeColor="text1"/>
    </w:rPr>
    <w:tblPr>
      <w:tblStyleRowBandSize w:val="1"/>
      <w:tblStyleColBandSize w:val="1"/>
      <w:tblBorders>
        <w:top w:val="single" w:sz="8" w:space="0" w:color="800080" w:themeColor="accent2"/>
        <w:left w:val="single" w:sz="8" w:space="0" w:color="800080" w:themeColor="accent2"/>
        <w:bottom w:val="single" w:sz="8" w:space="0" w:color="800080" w:themeColor="accent2"/>
        <w:right w:val="single" w:sz="8" w:space="0" w:color="800080" w:themeColor="accent2"/>
        <w:insideH w:val="single" w:sz="8" w:space="0" w:color="800080" w:themeColor="accent2"/>
        <w:insideV w:val="single" w:sz="8" w:space="0" w:color="800080" w:themeColor="accent2"/>
      </w:tblBorders>
    </w:tblPr>
    <w:tcPr>
      <w:shd w:val="clear" w:color="auto" w:fill="FFA0FF" w:themeFill="accent2" w:themeFillTint="3F"/>
    </w:tcPr>
    <w:tblStylePr w:type="firstRow">
      <w:rPr>
        <w:b/>
        <w:bCs/>
        <w:color w:val="0B1F2C" w:themeColor="text1"/>
      </w:rPr>
      <w:tblPr/>
      <w:tcPr>
        <w:shd w:val="clear" w:color="auto" w:fill="FFD9FF" w:themeFill="accent2" w:themeFillTint="19"/>
      </w:tcPr>
    </w:tblStylePr>
    <w:tblStylePr w:type="lastRow">
      <w:rPr>
        <w:b/>
        <w:bCs/>
        <w:color w:val="0B1F2C" w:themeColor="text1"/>
      </w:rPr>
      <w:tblPr/>
      <w:tcPr>
        <w:tcBorders>
          <w:top w:val="single" w:sz="12" w:space="0" w:color="0B1F2C" w:themeColor="text1"/>
          <w:left w:val="nil"/>
          <w:bottom w:val="nil"/>
          <w:right w:val="nil"/>
          <w:insideH w:val="nil"/>
          <w:insideV w:val="nil"/>
        </w:tcBorders>
        <w:shd w:val="clear" w:color="auto" w:fill="FFFFFF" w:themeFill="background1"/>
      </w:tcPr>
    </w:tblStylePr>
    <w:tblStylePr w:type="firstCol">
      <w:rPr>
        <w:b/>
        <w:bCs/>
        <w:color w:val="0B1F2C"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B1F2C" w:themeColor="text1"/>
      </w:rPr>
      <w:tblPr/>
      <w:tcPr>
        <w:tcBorders>
          <w:top w:val="nil"/>
          <w:left w:val="nil"/>
          <w:bottom w:val="nil"/>
          <w:right w:val="nil"/>
          <w:insideH w:val="nil"/>
          <w:insideV w:val="nil"/>
        </w:tcBorders>
        <w:shd w:val="clear" w:color="auto" w:fill="FFB2FF" w:themeFill="accent2" w:themeFillTint="33"/>
      </w:tcPr>
    </w:tblStylePr>
    <w:tblStylePr w:type="band1Vert">
      <w:tblPr/>
      <w:tcPr>
        <w:shd w:val="clear" w:color="auto" w:fill="FF40FF" w:themeFill="accent2" w:themeFillTint="7F"/>
      </w:tcPr>
    </w:tblStylePr>
    <w:tblStylePr w:type="band1Horz">
      <w:tblPr/>
      <w:tcPr>
        <w:tcBorders>
          <w:insideH w:val="single" w:sz="6" w:space="0" w:color="800080" w:themeColor="accent2"/>
          <w:insideV w:val="single" w:sz="6" w:space="0" w:color="800080" w:themeColor="accent2"/>
        </w:tcBorders>
        <w:shd w:val="clear" w:color="auto" w:fill="FF40FF"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unhideWhenUsed/>
    <w:rsid w:val="0090719C"/>
    <w:rPr>
      <w:rFonts w:asciiTheme="majorHAnsi" w:eastAsiaTheme="majorEastAsia" w:hAnsiTheme="majorHAnsi" w:cstheme="majorBidi"/>
      <w:color w:val="0B1F2C" w:themeColor="text1"/>
    </w:rPr>
    <w:tblPr>
      <w:tblStyleRowBandSize w:val="1"/>
      <w:tblStyleColBandSize w:val="1"/>
      <w:tblBorders>
        <w:top w:val="single" w:sz="8" w:space="0" w:color="26C0BC" w:themeColor="accent3"/>
        <w:left w:val="single" w:sz="8" w:space="0" w:color="26C0BC" w:themeColor="accent3"/>
        <w:bottom w:val="single" w:sz="8" w:space="0" w:color="26C0BC" w:themeColor="accent3"/>
        <w:right w:val="single" w:sz="8" w:space="0" w:color="26C0BC" w:themeColor="accent3"/>
        <w:insideH w:val="single" w:sz="8" w:space="0" w:color="26C0BC" w:themeColor="accent3"/>
        <w:insideV w:val="single" w:sz="8" w:space="0" w:color="26C0BC" w:themeColor="accent3"/>
      </w:tblBorders>
    </w:tblPr>
    <w:tcPr>
      <w:shd w:val="clear" w:color="auto" w:fill="C5F3F2" w:themeFill="accent3" w:themeFillTint="3F"/>
    </w:tcPr>
    <w:tblStylePr w:type="firstRow">
      <w:rPr>
        <w:b/>
        <w:bCs/>
        <w:color w:val="0B1F2C" w:themeColor="text1"/>
      </w:rPr>
      <w:tblPr/>
      <w:tcPr>
        <w:shd w:val="clear" w:color="auto" w:fill="E7FAF9" w:themeFill="accent3" w:themeFillTint="19"/>
      </w:tcPr>
    </w:tblStylePr>
    <w:tblStylePr w:type="lastRow">
      <w:rPr>
        <w:b/>
        <w:bCs/>
        <w:color w:val="0B1F2C" w:themeColor="text1"/>
      </w:rPr>
      <w:tblPr/>
      <w:tcPr>
        <w:tcBorders>
          <w:top w:val="single" w:sz="12" w:space="0" w:color="0B1F2C" w:themeColor="text1"/>
          <w:left w:val="nil"/>
          <w:bottom w:val="nil"/>
          <w:right w:val="nil"/>
          <w:insideH w:val="nil"/>
          <w:insideV w:val="nil"/>
        </w:tcBorders>
        <w:shd w:val="clear" w:color="auto" w:fill="FFFFFF" w:themeFill="background1"/>
      </w:tcPr>
    </w:tblStylePr>
    <w:tblStylePr w:type="firstCol">
      <w:rPr>
        <w:b/>
        <w:bCs/>
        <w:color w:val="0B1F2C"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B1F2C" w:themeColor="text1"/>
      </w:rPr>
      <w:tblPr/>
      <w:tcPr>
        <w:tcBorders>
          <w:top w:val="nil"/>
          <w:left w:val="nil"/>
          <w:bottom w:val="nil"/>
          <w:right w:val="nil"/>
          <w:insideH w:val="nil"/>
          <w:insideV w:val="nil"/>
        </w:tcBorders>
        <w:shd w:val="clear" w:color="auto" w:fill="D0F5F4" w:themeFill="accent3" w:themeFillTint="33"/>
      </w:tcPr>
    </w:tblStylePr>
    <w:tblStylePr w:type="band1Vert">
      <w:tblPr/>
      <w:tcPr>
        <w:shd w:val="clear" w:color="auto" w:fill="8AE8E5" w:themeFill="accent3" w:themeFillTint="7F"/>
      </w:tcPr>
    </w:tblStylePr>
    <w:tblStylePr w:type="band1Horz">
      <w:tblPr/>
      <w:tcPr>
        <w:tcBorders>
          <w:insideH w:val="single" w:sz="6" w:space="0" w:color="26C0BC" w:themeColor="accent3"/>
          <w:insideV w:val="single" w:sz="6" w:space="0" w:color="26C0BC" w:themeColor="accent3"/>
        </w:tcBorders>
        <w:shd w:val="clear" w:color="auto" w:fill="8AE8E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unhideWhenUsed/>
    <w:rsid w:val="0090719C"/>
    <w:rPr>
      <w:rFonts w:asciiTheme="majorHAnsi" w:eastAsiaTheme="majorEastAsia" w:hAnsiTheme="majorHAnsi" w:cstheme="majorBidi"/>
      <w:color w:val="0B1F2C" w:themeColor="text1"/>
    </w:rPr>
    <w:tblPr>
      <w:tblStyleRowBandSize w:val="1"/>
      <w:tblStyleColBandSize w:val="1"/>
      <w:tblBorders>
        <w:top w:val="single" w:sz="8" w:space="0" w:color="C5446E" w:themeColor="accent4"/>
        <w:left w:val="single" w:sz="8" w:space="0" w:color="C5446E" w:themeColor="accent4"/>
        <w:bottom w:val="single" w:sz="8" w:space="0" w:color="C5446E" w:themeColor="accent4"/>
        <w:right w:val="single" w:sz="8" w:space="0" w:color="C5446E" w:themeColor="accent4"/>
        <w:insideH w:val="single" w:sz="8" w:space="0" w:color="C5446E" w:themeColor="accent4"/>
        <w:insideV w:val="single" w:sz="8" w:space="0" w:color="C5446E" w:themeColor="accent4"/>
      </w:tblBorders>
    </w:tblPr>
    <w:tcPr>
      <w:shd w:val="clear" w:color="auto" w:fill="F0D0DB" w:themeFill="accent4" w:themeFillTint="3F"/>
    </w:tcPr>
    <w:tblStylePr w:type="firstRow">
      <w:rPr>
        <w:b/>
        <w:bCs/>
        <w:color w:val="0B1F2C" w:themeColor="text1"/>
      </w:rPr>
      <w:tblPr/>
      <w:tcPr>
        <w:shd w:val="clear" w:color="auto" w:fill="F9ECF0" w:themeFill="accent4" w:themeFillTint="19"/>
      </w:tcPr>
    </w:tblStylePr>
    <w:tblStylePr w:type="lastRow">
      <w:rPr>
        <w:b/>
        <w:bCs/>
        <w:color w:val="0B1F2C" w:themeColor="text1"/>
      </w:rPr>
      <w:tblPr/>
      <w:tcPr>
        <w:tcBorders>
          <w:top w:val="single" w:sz="12" w:space="0" w:color="0B1F2C" w:themeColor="text1"/>
          <w:left w:val="nil"/>
          <w:bottom w:val="nil"/>
          <w:right w:val="nil"/>
          <w:insideH w:val="nil"/>
          <w:insideV w:val="nil"/>
        </w:tcBorders>
        <w:shd w:val="clear" w:color="auto" w:fill="FFFFFF" w:themeFill="background1"/>
      </w:tcPr>
    </w:tblStylePr>
    <w:tblStylePr w:type="firstCol">
      <w:rPr>
        <w:b/>
        <w:bCs/>
        <w:color w:val="0B1F2C"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B1F2C" w:themeColor="text1"/>
      </w:rPr>
      <w:tblPr/>
      <w:tcPr>
        <w:tcBorders>
          <w:top w:val="nil"/>
          <w:left w:val="nil"/>
          <w:bottom w:val="nil"/>
          <w:right w:val="nil"/>
          <w:insideH w:val="nil"/>
          <w:insideV w:val="nil"/>
        </w:tcBorders>
        <w:shd w:val="clear" w:color="auto" w:fill="F3D9E1" w:themeFill="accent4" w:themeFillTint="33"/>
      </w:tcPr>
    </w:tblStylePr>
    <w:tblStylePr w:type="band1Vert">
      <w:tblPr/>
      <w:tcPr>
        <w:shd w:val="clear" w:color="auto" w:fill="E2A1B6" w:themeFill="accent4" w:themeFillTint="7F"/>
      </w:tcPr>
    </w:tblStylePr>
    <w:tblStylePr w:type="band1Horz">
      <w:tblPr/>
      <w:tcPr>
        <w:tcBorders>
          <w:insideH w:val="single" w:sz="6" w:space="0" w:color="C5446E" w:themeColor="accent4"/>
          <w:insideV w:val="single" w:sz="6" w:space="0" w:color="C5446E" w:themeColor="accent4"/>
        </w:tcBorders>
        <w:shd w:val="clear" w:color="auto" w:fill="E2A1B6"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unhideWhenUsed/>
    <w:rsid w:val="0090719C"/>
    <w:rPr>
      <w:rFonts w:asciiTheme="majorHAnsi" w:eastAsiaTheme="majorEastAsia" w:hAnsiTheme="majorHAnsi" w:cstheme="majorBidi"/>
      <w:color w:val="0B1F2C" w:themeColor="text1"/>
    </w:rPr>
    <w:tblPr>
      <w:tblStyleRowBandSize w:val="1"/>
      <w:tblStyleColBandSize w:val="1"/>
      <w:tblBorders>
        <w:top w:val="single" w:sz="8" w:space="0" w:color="0B1F2C" w:themeColor="accent5"/>
        <w:left w:val="single" w:sz="8" w:space="0" w:color="0B1F2C" w:themeColor="accent5"/>
        <w:bottom w:val="single" w:sz="8" w:space="0" w:color="0B1F2C" w:themeColor="accent5"/>
        <w:right w:val="single" w:sz="8" w:space="0" w:color="0B1F2C" w:themeColor="accent5"/>
        <w:insideH w:val="single" w:sz="8" w:space="0" w:color="0B1F2C" w:themeColor="accent5"/>
        <w:insideV w:val="single" w:sz="8" w:space="0" w:color="0B1F2C" w:themeColor="accent5"/>
      </w:tblBorders>
    </w:tblPr>
    <w:tcPr>
      <w:shd w:val="clear" w:color="auto" w:fill="A4CDE8" w:themeFill="accent5" w:themeFillTint="3F"/>
    </w:tcPr>
    <w:tblStylePr w:type="firstRow">
      <w:rPr>
        <w:b/>
        <w:bCs/>
        <w:color w:val="0B1F2C" w:themeColor="text1"/>
      </w:rPr>
      <w:tblPr/>
      <w:tcPr>
        <w:shd w:val="clear" w:color="auto" w:fill="DBEBF6" w:themeFill="accent5" w:themeFillTint="19"/>
      </w:tcPr>
    </w:tblStylePr>
    <w:tblStylePr w:type="lastRow">
      <w:rPr>
        <w:b/>
        <w:bCs/>
        <w:color w:val="0B1F2C" w:themeColor="text1"/>
      </w:rPr>
      <w:tblPr/>
      <w:tcPr>
        <w:tcBorders>
          <w:top w:val="single" w:sz="12" w:space="0" w:color="0B1F2C" w:themeColor="text1"/>
          <w:left w:val="nil"/>
          <w:bottom w:val="nil"/>
          <w:right w:val="nil"/>
          <w:insideH w:val="nil"/>
          <w:insideV w:val="nil"/>
        </w:tcBorders>
        <w:shd w:val="clear" w:color="auto" w:fill="FFFFFF" w:themeFill="background1"/>
      </w:tcPr>
    </w:tblStylePr>
    <w:tblStylePr w:type="firstCol">
      <w:rPr>
        <w:b/>
        <w:bCs/>
        <w:color w:val="0B1F2C"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B1F2C" w:themeColor="text1"/>
      </w:rPr>
      <w:tblPr/>
      <w:tcPr>
        <w:tcBorders>
          <w:top w:val="nil"/>
          <w:left w:val="nil"/>
          <w:bottom w:val="nil"/>
          <w:right w:val="nil"/>
          <w:insideH w:val="nil"/>
          <w:insideV w:val="nil"/>
        </w:tcBorders>
        <w:shd w:val="clear" w:color="auto" w:fill="B6D7EC" w:themeFill="accent5" w:themeFillTint="33"/>
      </w:tcPr>
    </w:tblStylePr>
    <w:tblStylePr w:type="band1Vert">
      <w:tblPr/>
      <w:tcPr>
        <w:shd w:val="clear" w:color="auto" w:fill="499BD1" w:themeFill="accent5" w:themeFillTint="7F"/>
      </w:tcPr>
    </w:tblStylePr>
    <w:tblStylePr w:type="band1Horz">
      <w:tblPr/>
      <w:tcPr>
        <w:tcBorders>
          <w:insideH w:val="single" w:sz="6" w:space="0" w:color="0B1F2C" w:themeColor="accent5"/>
          <w:insideV w:val="single" w:sz="6" w:space="0" w:color="0B1F2C" w:themeColor="accent5"/>
        </w:tcBorders>
        <w:shd w:val="clear" w:color="auto" w:fill="499BD1"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unhideWhenUsed/>
    <w:rsid w:val="0090719C"/>
    <w:rPr>
      <w:rFonts w:asciiTheme="majorHAnsi" w:eastAsiaTheme="majorEastAsia" w:hAnsiTheme="majorHAnsi" w:cstheme="majorBidi"/>
      <w:color w:val="0B1F2C" w:themeColor="text1"/>
    </w:rPr>
    <w:tblPr>
      <w:tblStyleRowBandSize w:val="1"/>
      <w:tblStyleColBandSize w:val="1"/>
      <w:tblBorders>
        <w:top w:val="single" w:sz="8" w:space="0" w:color="909090" w:themeColor="accent6"/>
        <w:left w:val="single" w:sz="8" w:space="0" w:color="909090" w:themeColor="accent6"/>
        <w:bottom w:val="single" w:sz="8" w:space="0" w:color="909090" w:themeColor="accent6"/>
        <w:right w:val="single" w:sz="8" w:space="0" w:color="909090" w:themeColor="accent6"/>
        <w:insideH w:val="single" w:sz="8" w:space="0" w:color="909090" w:themeColor="accent6"/>
        <w:insideV w:val="single" w:sz="8" w:space="0" w:color="909090" w:themeColor="accent6"/>
      </w:tblBorders>
    </w:tblPr>
    <w:tcPr>
      <w:shd w:val="clear" w:color="auto" w:fill="E3E3E3" w:themeFill="accent6" w:themeFillTint="3F"/>
    </w:tcPr>
    <w:tblStylePr w:type="firstRow">
      <w:rPr>
        <w:b/>
        <w:bCs/>
        <w:color w:val="0B1F2C" w:themeColor="text1"/>
      </w:rPr>
      <w:tblPr/>
      <w:tcPr>
        <w:shd w:val="clear" w:color="auto" w:fill="F4F4F4" w:themeFill="accent6" w:themeFillTint="19"/>
      </w:tcPr>
    </w:tblStylePr>
    <w:tblStylePr w:type="lastRow">
      <w:rPr>
        <w:b/>
        <w:bCs/>
        <w:color w:val="0B1F2C" w:themeColor="text1"/>
      </w:rPr>
      <w:tblPr/>
      <w:tcPr>
        <w:tcBorders>
          <w:top w:val="single" w:sz="12" w:space="0" w:color="0B1F2C" w:themeColor="text1"/>
          <w:left w:val="nil"/>
          <w:bottom w:val="nil"/>
          <w:right w:val="nil"/>
          <w:insideH w:val="nil"/>
          <w:insideV w:val="nil"/>
        </w:tcBorders>
        <w:shd w:val="clear" w:color="auto" w:fill="FFFFFF" w:themeFill="background1"/>
      </w:tcPr>
    </w:tblStylePr>
    <w:tblStylePr w:type="firstCol">
      <w:rPr>
        <w:b/>
        <w:bCs/>
        <w:color w:val="0B1F2C"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B1F2C" w:themeColor="text1"/>
      </w:rPr>
      <w:tblPr/>
      <w:tcPr>
        <w:tcBorders>
          <w:top w:val="nil"/>
          <w:left w:val="nil"/>
          <w:bottom w:val="nil"/>
          <w:right w:val="nil"/>
          <w:insideH w:val="nil"/>
          <w:insideV w:val="nil"/>
        </w:tcBorders>
        <w:shd w:val="clear" w:color="auto" w:fill="E8E8E8" w:themeFill="accent6" w:themeFillTint="33"/>
      </w:tcPr>
    </w:tblStylePr>
    <w:tblStylePr w:type="band1Vert">
      <w:tblPr/>
      <w:tcPr>
        <w:shd w:val="clear" w:color="auto" w:fill="C7C7C7" w:themeFill="accent6" w:themeFillTint="7F"/>
      </w:tcPr>
    </w:tblStylePr>
    <w:tblStylePr w:type="band1Horz">
      <w:tblPr/>
      <w:tcPr>
        <w:tcBorders>
          <w:insideH w:val="single" w:sz="6" w:space="0" w:color="909090" w:themeColor="accent6"/>
          <w:insideV w:val="single" w:sz="6" w:space="0" w:color="909090" w:themeColor="accent6"/>
        </w:tcBorders>
        <w:shd w:val="clear" w:color="auto" w:fill="C7C7C7"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unhideWhenUsed/>
    <w:rsid w:val="0090719C"/>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A4CDE8"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B1F2C"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B1F2C"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B1F2C"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B1F2C"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499BD1"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499BD1" w:themeFill="text1" w:themeFillTint="7F"/>
      </w:tcPr>
    </w:tblStylePr>
  </w:style>
  <w:style w:type="table" w:styleId="MediumGrid3-Accent1">
    <w:name w:val="Medium Grid 3 Accent 1"/>
    <w:basedOn w:val="TableNormal"/>
    <w:uiPriority w:val="69"/>
    <w:semiHidden/>
    <w:unhideWhenUsed/>
    <w:rsid w:val="0090719C"/>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9E9FF"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9FE3"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9FE3"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9FE3"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9FE3"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2D4FF"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2D4FF" w:themeFill="accent1" w:themeFillTint="7F"/>
      </w:tcPr>
    </w:tblStylePr>
  </w:style>
  <w:style w:type="table" w:styleId="MediumGrid3-Accent2">
    <w:name w:val="Medium Grid 3 Accent 2"/>
    <w:basedOn w:val="TableNormal"/>
    <w:uiPriority w:val="69"/>
    <w:semiHidden/>
    <w:unhideWhenUsed/>
    <w:rsid w:val="0090719C"/>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FA0FF"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0080"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0080"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0080"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0080"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F40FF"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F40FF" w:themeFill="accent2" w:themeFillTint="7F"/>
      </w:tcPr>
    </w:tblStylePr>
  </w:style>
  <w:style w:type="table" w:styleId="MediumGrid3-Accent3">
    <w:name w:val="Medium Grid 3 Accent 3"/>
    <w:basedOn w:val="TableNormal"/>
    <w:uiPriority w:val="69"/>
    <w:semiHidden/>
    <w:unhideWhenUsed/>
    <w:rsid w:val="0090719C"/>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5F3F2"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26C0BC"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26C0BC"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26C0BC"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26C0BC"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AE8E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AE8E5" w:themeFill="accent3" w:themeFillTint="7F"/>
      </w:tcPr>
    </w:tblStylePr>
  </w:style>
  <w:style w:type="table" w:styleId="MediumGrid3-Accent4">
    <w:name w:val="Medium Grid 3 Accent 4"/>
    <w:basedOn w:val="TableNormal"/>
    <w:uiPriority w:val="69"/>
    <w:semiHidden/>
    <w:unhideWhenUsed/>
    <w:rsid w:val="0090719C"/>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0D0DB"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5446E"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5446E"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5446E"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5446E"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2A1B6"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2A1B6" w:themeFill="accent4" w:themeFillTint="7F"/>
      </w:tcPr>
    </w:tblStylePr>
  </w:style>
  <w:style w:type="table" w:styleId="MediumGrid3-Accent5">
    <w:name w:val="Medium Grid 3 Accent 5"/>
    <w:basedOn w:val="TableNormal"/>
    <w:uiPriority w:val="69"/>
    <w:semiHidden/>
    <w:unhideWhenUsed/>
    <w:rsid w:val="0090719C"/>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A4CDE8"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B1F2C"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B1F2C"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B1F2C"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B1F2C"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499BD1"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499BD1" w:themeFill="accent5" w:themeFillTint="7F"/>
      </w:tcPr>
    </w:tblStylePr>
  </w:style>
  <w:style w:type="table" w:styleId="MediumGrid3-Accent6">
    <w:name w:val="Medium Grid 3 Accent 6"/>
    <w:basedOn w:val="TableNormal"/>
    <w:uiPriority w:val="69"/>
    <w:semiHidden/>
    <w:unhideWhenUsed/>
    <w:rsid w:val="0090719C"/>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3E3E3"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09090"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09090"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09090"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09090"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7C7C7"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7C7C7" w:themeFill="accent6" w:themeFillTint="7F"/>
      </w:tcPr>
    </w:tblStylePr>
  </w:style>
  <w:style w:type="table" w:styleId="MediumList1">
    <w:name w:val="Medium List 1"/>
    <w:basedOn w:val="TableNormal"/>
    <w:uiPriority w:val="65"/>
    <w:semiHidden/>
    <w:unhideWhenUsed/>
    <w:rsid w:val="0090719C"/>
    <w:rPr>
      <w:color w:val="0B1F2C" w:themeColor="text1"/>
    </w:rPr>
    <w:tblPr>
      <w:tblStyleRowBandSize w:val="1"/>
      <w:tblStyleColBandSize w:val="1"/>
      <w:tblBorders>
        <w:top w:val="single" w:sz="8" w:space="0" w:color="0B1F2C" w:themeColor="text1"/>
        <w:bottom w:val="single" w:sz="8" w:space="0" w:color="0B1F2C" w:themeColor="text1"/>
      </w:tblBorders>
    </w:tblPr>
    <w:tblStylePr w:type="firstRow">
      <w:rPr>
        <w:rFonts w:asciiTheme="majorHAnsi" w:eastAsiaTheme="majorEastAsia" w:hAnsiTheme="majorHAnsi" w:cstheme="majorBidi"/>
      </w:rPr>
      <w:tblPr/>
      <w:tcPr>
        <w:tcBorders>
          <w:top w:val="nil"/>
          <w:bottom w:val="single" w:sz="8" w:space="0" w:color="0B1F2C" w:themeColor="text1"/>
        </w:tcBorders>
      </w:tcPr>
    </w:tblStylePr>
    <w:tblStylePr w:type="lastRow">
      <w:rPr>
        <w:b/>
        <w:bCs/>
        <w:color w:val="0070C0" w:themeColor="text2"/>
      </w:rPr>
      <w:tblPr/>
      <w:tcPr>
        <w:tcBorders>
          <w:top w:val="single" w:sz="8" w:space="0" w:color="0B1F2C" w:themeColor="text1"/>
          <w:bottom w:val="single" w:sz="8" w:space="0" w:color="0B1F2C" w:themeColor="text1"/>
        </w:tcBorders>
      </w:tcPr>
    </w:tblStylePr>
    <w:tblStylePr w:type="firstCol">
      <w:rPr>
        <w:b/>
        <w:bCs/>
      </w:rPr>
    </w:tblStylePr>
    <w:tblStylePr w:type="lastCol">
      <w:rPr>
        <w:b/>
        <w:bCs/>
      </w:rPr>
      <w:tblPr/>
      <w:tcPr>
        <w:tcBorders>
          <w:top w:val="single" w:sz="8" w:space="0" w:color="0B1F2C" w:themeColor="text1"/>
          <w:bottom w:val="single" w:sz="8" w:space="0" w:color="0B1F2C" w:themeColor="text1"/>
        </w:tcBorders>
      </w:tcPr>
    </w:tblStylePr>
    <w:tblStylePr w:type="band1Vert">
      <w:tblPr/>
      <w:tcPr>
        <w:shd w:val="clear" w:color="auto" w:fill="A4CDE8" w:themeFill="text1" w:themeFillTint="3F"/>
      </w:tcPr>
    </w:tblStylePr>
    <w:tblStylePr w:type="band1Horz">
      <w:tblPr/>
      <w:tcPr>
        <w:shd w:val="clear" w:color="auto" w:fill="A4CDE8" w:themeFill="text1" w:themeFillTint="3F"/>
      </w:tcPr>
    </w:tblStylePr>
  </w:style>
  <w:style w:type="table" w:styleId="MediumList1-Accent1">
    <w:name w:val="Medium List 1 Accent 1"/>
    <w:basedOn w:val="TableNormal"/>
    <w:uiPriority w:val="65"/>
    <w:semiHidden/>
    <w:unhideWhenUsed/>
    <w:rsid w:val="0090719C"/>
    <w:rPr>
      <w:color w:val="0B1F2C" w:themeColor="text1"/>
    </w:rPr>
    <w:tblPr>
      <w:tblStyleRowBandSize w:val="1"/>
      <w:tblStyleColBandSize w:val="1"/>
      <w:tblBorders>
        <w:top w:val="single" w:sz="8" w:space="0" w:color="009FE3" w:themeColor="accent1"/>
        <w:bottom w:val="single" w:sz="8" w:space="0" w:color="009FE3" w:themeColor="accent1"/>
      </w:tblBorders>
    </w:tblPr>
    <w:tblStylePr w:type="firstRow">
      <w:rPr>
        <w:rFonts w:asciiTheme="majorHAnsi" w:eastAsiaTheme="majorEastAsia" w:hAnsiTheme="majorHAnsi" w:cstheme="majorBidi"/>
      </w:rPr>
      <w:tblPr/>
      <w:tcPr>
        <w:tcBorders>
          <w:top w:val="nil"/>
          <w:bottom w:val="single" w:sz="8" w:space="0" w:color="009FE3" w:themeColor="accent1"/>
        </w:tcBorders>
      </w:tcPr>
    </w:tblStylePr>
    <w:tblStylePr w:type="lastRow">
      <w:rPr>
        <w:b/>
        <w:bCs/>
        <w:color w:val="0070C0" w:themeColor="text2"/>
      </w:rPr>
      <w:tblPr/>
      <w:tcPr>
        <w:tcBorders>
          <w:top w:val="single" w:sz="8" w:space="0" w:color="009FE3" w:themeColor="accent1"/>
          <w:bottom w:val="single" w:sz="8" w:space="0" w:color="009FE3" w:themeColor="accent1"/>
        </w:tcBorders>
      </w:tcPr>
    </w:tblStylePr>
    <w:tblStylePr w:type="firstCol">
      <w:rPr>
        <w:b/>
        <w:bCs/>
      </w:rPr>
    </w:tblStylePr>
    <w:tblStylePr w:type="lastCol">
      <w:rPr>
        <w:b/>
        <w:bCs/>
      </w:rPr>
      <w:tblPr/>
      <w:tcPr>
        <w:tcBorders>
          <w:top w:val="single" w:sz="8" w:space="0" w:color="009FE3" w:themeColor="accent1"/>
          <w:bottom w:val="single" w:sz="8" w:space="0" w:color="009FE3" w:themeColor="accent1"/>
        </w:tcBorders>
      </w:tcPr>
    </w:tblStylePr>
    <w:tblStylePr w:type="band1Vert">
      <w:tblPr/>
      <w:tcPr>
        <w:shd w:val="clear" w:color="auto" w:fill="B9E9FF" w:themeFill="accent1" w:themeFillTint="3F"/>
      </w:tcPr>
    </w:tblStylePr>
    <w:tblStylePr w:type="band1Horz">
      <w:tblPr/>
      <w:tcPr>
        <w:shd w:val="clear" w:color="auto" w:fill="B9E9FF" w:themeFill="accent1" w:themeFillTint="3F"/>
      </w:tcPr>
    </w:tblStylePr>
  </w:style>
  <w:style w:type="table" w:styleId="MediumList1-Accent2">
    <w:name w:val="Medium List 1 Accent 2"/>
    <w:basedOn w:val="TableNormal"/>
    <w:uiPriority w:val="65"/>
    <w:semiHidden/>
    <w:unhideWhenUsed/>
    <w:rsid w:val="0090719C"/>
    <w:rPr>
      <w:color w:val="0B1F2C" w:themeColor="text1"/>
    </w:rPr>
    <w:tblPr>
      <w:tblStyleRowBandSize w:val="1"/>
      <w:tblStyleColBandSize w:val="1"/>
      <w:tblBorders>
        <w:top w:val="single" w:sz="8" w:space="0" w:color="800080" w:themeColor="accent2"/>
        <w:bottom w:val="single" w:sz="8" w:space="0" w:color="800080" w:themeColor="accent2"/>
      </w:tblBorders>
    </w:tblPr>
    <w:tblStylePr w:type="firstRow">
      <w:rPr>
        <w:rFonts w:asciiTheme="majorHAnsi" w:eastAsiaTheme="majorEastAsia" w:hAnsiTheme="majorHAnsi" w:cstheme="majorBidi"/>
      </w:rPr>
      <w:tblPr/>
      <w:tcPr>
        <w:tcBorders>
          <w:top w:val="nil"/>
          <w:bottom w:val="single" w:sz="8" w:space="0" w:color="800080" w:themeColor="accent2"/>
        </w:tcBorders>
      </w:tcPr>
    </w:tblStylePr>
    <w:tblStylePr w:type="lastRow">
      <w:rPr>
        <w:b/>
        <w:bCs/>
        <w:color w:val="0070C0" w:themeColor="text2"/>
      </w:rPr>
      <w:tblPr/>
      <w:tcPr>
        <w:tcBorders>
          <w:top w:val="single" w:sz="8" w:space="0" w:color="800080" w:themeColor="accent2"/>
          <w:bottom w:val="single" w:sz="8" w:space="0" w:color="800080" w:themeColor="accent2"/>
        </w:tcBorders>
      </w:tcPr>
    </w:tblStylePr>
    <w:tblStylePr w:type="firstCol">
      <w:rPr>
        <w:b/>
        <w:bCs/>
      </w:rPr>
    </w:tblStylePr>
    <w:tblStylePr w:type="lastCol">
      <w:rPr>
        <w:b/>
        <w:bCs/>
      </w:rPr>
      <w:tblPr/>
      <w:tcPr>
        <w:tcBorders>
          <w:top w:val="single" w:sz="8" w:space="0" w:color="800080" w:themeColor="accent2"/>
          <w:bottom w:val="single" w:sz="8" w:space="0" w:color="800080" w:themeColor="accent2"/>
        </w:tcBorders>
      </w:tcPr>
    </w:tblStylePr>
    <w:tblStylePr w:type="band1Vert">
      <w:tblPr/>
      <w:tcPr>
        <w:shd w:val="clear" w:color="auto" w:fill="FFA0FF" w:themeFill="accent2" w:themeFillTint="3F"/>
      </w:tcPr>
    </w:tblStylePr>
    <w:tblStylePr w:type="band1Horz">
      <w:tblPr/>
      <w:tcPr>
        <w:shd w:val="clear" w:color="auto" w:fill="FFA0FF" w:themeFill="accent2" w:themeFillTint="3F"/>
      </w:tcPr>
    </w:tblStylePr>
  </w:style>
  <w:style w:type="table" w:styleId="MediumList1-Accent3">
    <w:name w:val="Medium List 1 Accent 3"/>
    <w:basedOn w:val="TableNormal"/>
    <w:uiPriority w:val="65"/>
    <w:semiHidden/>
    <w:unhideWhenUsed/>
    <w:rsid w:val="0090719C"/>
    <w:rPr>
      <w:color w:val="0B1F2C" w:themeColor="text1"/>
    </w:rPr>
    <w:tblPr>
      <w:tblStyleRowBandSize w:val="1"/>
      <w:tblStyleColBandSize w:val="1"/>
      <w:tblBorders>
        <w:top w:val="single" w:sz="8" w:space="0" w:color="26C0BC" w:themeColor="accent3"/>
        <w:bottom w:val="single" w:sz="8" w:space="0" w:color="26C0BC" w:themeColor="accent3"/>
      </w:tblBorders>
    </w:tblPr>
    <w:tblStylePr w:type="firstRow">
      <w:rPr>
        <w:rFonts w:asciiTheme="majorHAnsi" w:eastAsiaTheme="majorEastAsia" w:hAnsiTheme="majorHAnsi" w:cstheme="majorBidi"/>
      </w:rPr>
      <w:tblPr/>
      <w:tcPr>
        <w:tcBorders>
          <w:top w:val="nil"/>
          <w:bottom w:val="single" w:sz="8" w:space="0" w:color="26C0BC" w:themeColor="accent3"/>
        </w:tcBorders>
      </w:tcPr>
    </w:tblStylePr>
    <w:tblStylePr w:type="lastRow">
      <w:rPr>
        <w:b/>
        <w:bCs/>
        <w:color w:val="0070C0" w:themeColor="text2"/>
      </w:rPr>
      <w:tblPr/>
      <w:tcPr>
        <w:tcBorders>
          <w:top w:val="single" w:sz="8" w:space="0" w:color="26C0BC" w:themeColor="accent3"/>
          <w:bottom w:val="single" w:sz="8" w:space="0" w:color="26C0BC" w:themeColor="accent3"/>
        </w:tcBorders>
      </w:tcPr>
    </w:tblStylePr>
    <w:tblStylePr w:type="firstCol">
      <w:rPr>
        <w:b/>
        <w:bCs/>
      </w:rPr>
    </w:tblStylePr>
    <w:tblStylePr w:type="lastCol">
      <w:rPr>
        <w:b/>
        <w:bCs/>
      </w:rPr>
      <w:tblPr/>
      <w:tcPr>
        <w:tcBorders>
          <w:top w:val="single" w:sz="8" w:space="0" w:color="26C0BC" w:themeColor="accent3"/>
          <w:bottom w:val="single" w:sz="8" w:space="0" w:color="26C0BC" w:themeColor="accent3"/>
        </w:tcBorders>
      </w:tcPr>
    </w:tblStylePr>
    <w:tblStylePr w:type="band1Vert">
      <w:tblPr/>
      <w:tcPr>
        <w:shd w:val="clear" w:color="auto" w:fill="C5F3F2" w:themeFill="accent3" w:themeFillTint="3F"/>
      </w:tcPr>
    </w:tblStylePr>
    <w:tblStylePr w:type="band1Horz">
      <w:tblPr/>
      <w:tcPr>
        <w:shd w:val="clear" w:color="auto" w:fill="C5F3F2" w:themeFill="accent3" w:themeFillTint="3F"/>
      </w:tcPr>
    </w:tblStylePr>
  </w:style>
  <w:style w:type="table" w:styleId="MediumList1-Accent4">
    <w:name w:val="Medium List 1 Accent 4"/>
    <w:basedOn w:val="TableNormal"/>
    <w:uiPriority w:val="65"/>
    <w:semiHidden/>
    <w:unhideWhenUsed/>
    <w:rsid w:val="0090719C"/>
    <w:rPr>
      <w:color w:val="0B1F2C" w:themeColor="text1"/>
    </w:rPr>
    <w:tblPr>
      <w:tblStyleRowBandSize w:val="1"/>
      <w:tblStyleColBandSize w:val="1"/>
      <w:tblBorders>
        <w:top w:val="single" w:sz="8" w:space="0" w:color="C5446E" w:themeColor="accent4"/>
        <w:bottom w:val="single" w:sz="8" w:space="0" w:color="C5446E" w:themeColor="accent4"/>
      </w:tblBorders>
    </w:tblPr>
    <w:tblStylePr w:type="firstRow">
      <w:rPr>
        <w:rFonts w:asciiTheme="majorHAnsi" w:eastAsiaTheme="majorEastAsia" w:hAnsiTheme="majorHAnsi" w:cstheme="majorBidi"/>
      </w:rPr>
      <w:tblPr/>
      <w:tcPr>
        <w:tcBorders>
          <w:top w:val="nil"/>
          <w:bottom w:val="single" w:sz="8" w:space="0" w:color="C5446E" w:themeColor="accent4"/>
        </w:tcBorders>
      </w:tcPr>
    </w:tblStylePr>
    <w:tblStylePr w:type="lastRow">
      <w:rPr>
        <w:b/>
        <w:bCs/>
        <w:color w:val="0070C0" w:themeColor="text2"/>
      </w:rPr>
      <w:tblPr/>
      <w:tcPr>
        <w:tcBorders>
          <w:top w:val="single" w:sz="8" w:space="0" w:color="C5446E" w:themeColor="accent4"/>
          <w:bottom w:val="single" w:sz="8" w:space="0" w:color="C5446E" w:themeColor="accent4"/>
        </w:tcBorders>
      </w:tcPr>
    </w:tblStylePr>
    <w:tblStylePr w:type="firstCol">
      <w:rPr>
        <w:b/>
        <w:bCs/>
      </w:rPr>
    </w:tblStylePr>
    <w:tblStylePr w:type="lastCol">
      <w:rPr>
        <w:b/>
        <w:bCs/>
      </w:rPr>
      <w:tblPr/>
      <w:tcPr>
        <w:tcBorders>
          <w:top w:val="single" w:sz="8" w:space="0" w:color="C5446E" w:themeColor="accent4"/>
          <w:bottom w:val="single" w:sz="8" w:space="0" w:color="C5446E" w:themeColor="accent4"/>
        </w:tcBorders>
      </w:tcPr>
    </w:tblStylePr>
    <w:tblStylePr w:type="band1Vert">
      <w:tblPr/>
      <w:tcPr>
        <w:shd w:val="clear" w:color="auto" w:fill="F0D0DB" w:themeFill="accent4" w:themeFillTint="3F"/>
      </w:tcPr>
    </w:tblStylePr>
    <w:tblStylePr w:type="band1Horz">
      <w:tblPr/>
      <w:tcPr>
        <w:shd w:val="clear" w:color="auto" w:fill="F0D0DB" w:themeFill="accent4" w:themeFillTint="3F"/>
      </w:tcPr>
    </w:tblStylePr>
  </w:style>
  <w:style w:type="table" w:styleId="MediumList1-Accent5">
    <w:name w:val="Medium List 1 Accent 5"/>
    <w:basedOn w:val="TableNormal"/>
    <w:uiPriority w:val="65"/>
    <w:semiHidden/>
    <w:unhideWhenUsed/>
    <w:rsid w:val="0090719C"/>
    <w:rPr>
      <w:color w:val="0B1F2C" w:themeColor="text1"/>
    </w:rPr>
    <w:tblPr>
      <w:tblStyleRowBandSize w:val="1"/>
      <w:tblStyleColBandSize w:val="1"/>
      <w:tblBorders>
        <w:top w:val="single" w:sz="8" w:space="0" w:color="0B1F2C" w:themeColor="accent5"/>
        <w:bottom w:val="single" w:sz="8" w:space="0" w:color="0B1F2C" w:themeColor="accent5"/>
      </w:tblBorders>
    </w:tblPr>
    <w:tblStylePr w:type="firstRow">
      <w:rPr>
        <w:rFonts w:asciiTheme="majorHAnsi" w:eastAsiaTheme="majorEastAsia" w:hAnsiTheme="majorHAnsi" w:cstheme="majorBidi"/>
      </w:rPr>
      <w:tblPr/>
      <w:tcPr>
        <w:tcBorders>
          <w:top w:val="nil"/>
          <w:bottom w:val="single" w:sz="8" w:space="0" w:color="0B1F2C" w:themeColor="accent5"/>
        </w:tcBorders>
      </w:tcPr>
    </w:tblStylePr>
    <w:tblStylePr w:type="lastRow">
      <w:rPr>
        <w:b/>
        <w:bCs/>
        <w:color w:val="0070C0" w:themeColor="text2"/>
      </w:rPr>
      <w:tblPr/>
      <w:tcPr>
        <w:tcBorders>
          <w:top w:val="single" w:sz="8" w:space="0" w:color="0B1F2C" w:themeColor="accent5"/>
          <w:bottom w:val="single" w:sz="8" w:space="0" w:color="0B1F2C" w:themeColor="accent5"/>
        </w:tcBorders>
      </w:tcPr>
    </w:tblStylePr>
    <w:tblStylePr w:type="firstCol">
      <w:rPr>
        <w:b/>
        <w:bCs/>
      </w:rPr>
    </w:tblStylePr>
    <w:tblStylePr w:type="lastCol">
      <w:rPr>
        <w:b/>
        <w:bCs/>
      </w:rPr>
      <w:tblPr/>
      <w:tcPr>
        <w:tcBorders>
          <w:top w:val="single" w:sz="8" w:space="0" w:color="0B1F2C" w:themeColor="accent5"/>
          <w:bottom w:val="single" w:sz="8" w:space="0" w:color="0B1F2C" w:themeColor="accent5"/>
        </w:tcBorders>
      </w:tcPr>
    </w:tblStylePr>
    <w:tblStylePr w:type="band1Vert">
      <w:tblPr/>
      <w:tcPr>
        <w:shd w:val="clear" w:color="auto" w:fill="A4CDE8" w:themeFill="accent5" w:themeFillTint="3F"/>
      </w:tcPr>
    </w:tblStylePr>
    <w:tblStylePr w:type="band1Horz">
      <w:tblPr/>
      <w:tcPr>
        <w:shd w:val="clear" w:color="auto" w:fill="A4CDE8" w:themeFill="accent5" w:themeFillTint="3F"/>
      </w:tcPr>
    </w:tblStylePr>
  </w:style>
  <w:style w:type="table" w:styleId="MediumList1-Accent6">
    <w:name w:val="Medium List 1 Accent 6"/>
    <w:basedOn w:val="TableNormal"/>
    <w:uiPriority w:val="65"/>
    <w:semiHidden/>
    <w:unhideWhenUsed/>
    <w:rsid w:val="0090719C"/>
    <w:rPr>
      <w:color w:val="0B1F2C" w:themeColor="text1"/>
    </w:rPr>
    <w:tblPr>
      <w:tblStyleRowBandSize w:val="1"/>
      <w:tblStyleColBandSize w:val="1"/>
      <w:tblBorders>
        <w:top w:val="single" w:sz="8" w:space="0" w:color="909090" w:themeColor="accent6"/>
        <w:bottom w:val="single" w:sz="8" w:space="0" w:color="909090" w:themeColor="accent6"/>
      </w:tblBorders>
    </w:tblPr>
    <w:tblStylePr w:type="firstRow">
      <w:rPr>
        <w:rFonts w:asciiTheme="majorHAnsi" w:eastAsiaTheme="majorEastAsia" w:hAnsiTheme="majorHAnsi" w:cstheme="majorBidi"/>
      </w:rPr>
      <w:tblPr/>
      <w:tcPr>
        <w:tcBorders>
          <w:top w:val="nil"/>
          <w:bottom w:val="single" w:sz="8" w:space="0" w:color="909090" w:themeColor="accent6"/>
        </w:tcBorders>
      </w:tcPr>
    </w:tblStylePr>
    <w:tblStylePr w:type="lastRow">
      <w:rPr>
        <w:b/>
        <w:bCs/>
        <w:color w:val="0070C0" w:themeColor="text2"/>
      </w:rPr>
      <w:tblPr/>
      <w:tcPr>
        <w:tcBorders>
          <w:top w:val="single" w:sz="8" w:space="0" w:color="909090" w:themeColor="accent6"/>
          <w:bottom w:val="single" w:sz="8" w:space="0" w:color="909090" w:themeColor="accent6"/>
        </w:tcBorders>
      </w:tcPr>
    </w:tblStylePr>
    <w:tblStylePr w:type="firstCol">
      <w:rPr>
        <w:b/>
        <w:bCs/>
      </w:rPr>
    </w:tblStylePr>
    <w:tblStylePr w:type="lastCol">
      <w:rPr>
        <w:b/>
        <w:bCs/>
      </w:rPr>
      <w:tblPr/>
      <w:tcPr>
        <w:tcBorders>
          <w:top w:val="single" w:sz="8" w:space="0" w:color="909090" w:themeColor="accent6"/>
          <w:bottom w:val="single" w:sz="8" w:space="0" w:color="909090" w:themeColor="accent6"/>
        </w:tcBorders>
      </w:tcPr>
    </w:tblStylePr>
    <w:tblStylePr w:type="band1Vert">
      <w:tblPr/>
      <w:tcPr>
        <w:shd w:val="clear" w:color="auto" w:fill="E3E3E3" w:themeFill="accent6" w:themeFillTint="3F"/>
      </w:tcPr>
    </w:tblStylePr>
    <w:tblStylePr w:type="band1Horz">
      <w:tblPr/>
      <w:tcPr>
        <w:shd w:val="clear" w:color="auto" w:fill="E3E3E3" w:themeFill="accent6" w:themeFillTint="3F"/>
      </w:tcPr>
    </w:tblStylePr>
  </w:style>
  <w:style w:type="table" w:styleId="MediumList2">
    <w:name w:val="Medium List 2"/>
    <w:basedOn w:val="TableNormal"/>
    <w:uiPriority w:val="66"/>
    <w:semiHidden/>
    <w:unhideWhenUsed/>
    <w:rsid w:val="0090719C"/>
    <w:rPr>
      <w:rFonts w:asciiTheme="majorHAnsi" w:eastAsiaTheme="majorEastAsia" w:hAnsiTheme="majorHAnsi" w:cstheme="majorBidi"/>
      <w:color w:val="0B1F2C" w:themeColor="text1"/>
    </w:rPr>
    <w:tblPr>
      <w:tblStyleRowBandSize w:val="1"/>
      <w:tblStyleColBandSize w:val="1"/>
      <w:tblBorders>
        <w:top w:val="single" w:sz="8" w:space="0" w:color="0B1F2C" w:themeColor="text1"/>
        <w:left w:val="single" w:sz="8" w:space="0" w:color="0B1F2C" w:themeColor="text1"/>
        <w:bottom w:val="single" w:sz="8" w:space="0" w:color="0B1F2C" w:themeColor="text1"/>
        <w:right w:val="single" w:sz="8" w:space="0" w:color="0B1F2C" w:themeColor="text1"/>
      </w:tblBorders>
    </w:tblPr>
    <w:tblStylePr w:type="firstRow">
      <w:rPr>
        <w:sz w:val="24"/>
        <w:szCs w:val="24"/>
      </w:rPr>
      <w:tblPr/>
      <w:tcPr>
        <w:tcBorders>
          <w:top w:val="nil"/>
          <w:left w:val="nil"/>
          <w:bottom w:val="single" w:sz="24" w:space="0" w:color="0B1F2C" w:themeColor="text1"/>
          <w:right w:val="nil"/>
          <w:insideH w:val="nil"/>
          <w:insideV w:val="nil"/>
        </w:tcBorders>
        <w:shd w:val="clear" w:color="auto" w:fill="FFFFFF" w:themeFill="background1"/>
      </w:tcPr>
    </w:tblStylePr>
    <w:tblStylePr w:type="lastRow">
      <w:tblPr/>
      <w:tcPr>
        <w:tcBorders>
          <w:top w:val="single" w:sz="8" w:space="0" w:color="0B1F2C"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B1F2C" w:themeColor="text1"/>
          <w:insideH w:val="nil"/>
          <w:insideV w:val="nil"/>
        </w:tcBorders>
        <w:shd w:val="clear" w:color="auto" w:fill="FFFFFF" w:themeFill="background1"/>
      </w:tcPr>
    </w:tblStylePr>
    <w:tblStylePr w:type="lastCol">
      <w:tblPr/>
      <w:tcPr>
        <w:tcBorders>
          <w:top w:val="nil"/>
          <w:left w:val="single" w:sz="8" w:space="0" w:color="0B1F2C"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A4CDE8" w:themeFill="text1" w:themeFillTint="3F"/>
      </w:tcPr>
    </w:tblStylePr>
    <w:tblStylePr w:type="band1Horz">
      <w:tblPr/>
      <w:tcPr>
        <w:tcBorders>
          <w:top w:val="nil"/>
          <w:bottom w:val="nil"/>
          <w:insideH w:val="nil"/>
          <w:insideV w:val="nil"/>
        </w:tcBorders>
        <w:shd w:val="clear" w:color="auto" w:fill="A4CDE8"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unhideWhenUsed/>
    <w:rsid w:val="0090719C"/>
    <w:rPr>
      <w:rFonts w:asciiTheme="majorHAnsi" w:eastAsiaTheme="majorEastAsia" w:hAnsiTheme="majorHAnsi" w:cstheme="majorBidi"/>
      <w:color w:val="0B1F2C" w:themeColor="text1"/>
    </w:rPr>
    <w:tblPr>
      <w:tblStyleRowBandSize w:val="1"/>
      <w:tblStyleColBandSize w:val="1"/>
      <w:tblBorders>
        <w:top w:val="single" w:sz="8" w:space="0" w:color="009FE3" w:themeColor="accent1"/>
        <w:left w:val="single" w:sz="8" w:space="0" w:color="009FE3" w:themeColor="accent1"/>
        <w:bottom w:val="single" w:sz="8" w:space="0" w:color="009FE3" w:themeColor="accent1"/>
        <w:right w:val="single" w:sz="8" w:space="0" w:color="009FE3" w:themeColor="accent1"/>
      </w:tblBorders>
    </w:tblPr>
    <w:tblStylePr w:type="firstRow">
      <w:rPr>
        <w:sz w:val="24"/>
        <w:szCs w:val="24"/>
      </w:rPr>
      <w:tblPr/>
      <w:tcPr>
        <w:tcBorders>
          <w:top w:val="nil"/>
          <w:left w:val="nil"/>
          <w:bottom w:val="single" w:sz="24" w:space="0" w:color="009FE3" w:themeColor="accent1"/>
          <w:right w:val="nil"/>
          <w:insideH w:val="nil"/>
          <w:insideV w:val="nil"/>
        </w:tcBorders>
        <w:shd w:val="clear" w:color="auto" w:fill="FFFFFF" w:themeFill="background1"/>
      </w:tcPr>
    </w:tblStylePr>
    <w:tblStylePr w:type="lastRow">
      <w:tblPr/>
      <w:tcPr>
        <w:tcBorders>
          <w:top w:val="single" w:sz="8" w:space="0" w:color="009FE3"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9FE3" w:themeColor="accent1"/>
          <w:insideH w:val="nil"/>
          <w:insideV w:val="nil"/>
        </w:tcBorders>
        <w:shd w:val="clear" w:color="auto" w:fill="FFFFFF" w:themeFill="background1"/>
      </w:tcPr>
    </w:tblStylePr>
    <w:tblStylePr w:type="lastCol">
      <w:tblPr/>
      <w:tcPr>
        <w:tcBorders>
          <w:top w:val="nil"/>
          <w:left w:val="single" w:sz="8" w:space="0" w:color="009FE3"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9E9FF" w:themeFill="accent1" w:themeFillTint="3F"/>
      </w:tcPr>
    </w:tblStylePr>
    <w:tblStylePr w:type="band1Horz">
      <w:tblPr/>
      <w:tcPr>
        <w:tcBorders>
          <w:top w:val="nil"/>
          <w:bottom w:val="nil"/>
          <w:insideH w:val="nil"/>
          <w:insideV w:val="nil"/>
        </w:tcBorders>
        <w:shd w:val="clear" w:color="auto" w:fill="B9E9FF"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unhideWhenUsed/>
    <w:rsid w:val="0090719C"/>
    <w:rPr>
      <w:rFonts w:asciiTheme="majorHAnsi" w:eastAsiaTheme="majorEastAsia" w:hAnsiTheme="majorHAnsi" w:cstheme="majorBidi"/>
      <w:color w:val="0B1F2C" w:themeColor="text1"/>
    </w:rPr>
    <w:tblPr>
      <w:tblStyleRowBandSize w:val="1"/>
      <w:tblStyleColBandSize w:val="1"/>
      <w:tblBorders>
        <w:top w:val="single" w:sz="8" w:space="0" w:color="800080" w:themeColor="accent2"/>
        <w:left w:val="single" w:sz="8" w:space="0" w:color="800080" w:themeColor="accent2"/>
        <w:bottom w:val="single" w:sz="8" w:space="0" w:color="800080" w:themeColor="accent2"/>
        <w:right w:val="single" w:sz="8" w:space="0" w:color="800080" w:themeColor="accent2"/>
      </w:tblBorders>
    </w:tblPr>
    <w:tblStylePr w:type="firstRow">
      <w:rPr>
        <w:sz w:val="24"/>
        <w:szCs w:val="24"/>
      </w:rPr>
      <w:tblPr/>
      <w:tcPr>
        <w:tcBorders>
          <w:top w:val="nil"/>
          <w:left w:val="nil"/>
          <w:bottom w:val="single" w:sz="24" w:space="0" w:color="800080" w:themeColor="accent2"/>
          <w:right w:val="nil"/>
          <w:insideH w:val="nil"/>
          <w:insideV w:val="nil"/>
        </w:tcBorders>
        <w:shd w:val="clear" w:color="auto" w:fill="FFFFFF" w:themeFill="background1"/>
      </w:tcPr>
    </w:tblStylePr>
    <w:tblStylePr w:type="lastRow">
      <w:tblPr/>
      <w:tcPr>
        <w:tcBorders>
          <w:top w:val="single" w:sz="8" w:space="0" w:color="800080" w:themeColor="accent2"/>
          <w:left w:val="nil"/>
          <w:right w:val="nil"/>
          <w:insideH w:val="nil"/>
          <w:insideV w:val="nil"/>
        </w:tcBorders>
        <w:shd w:val="clear" w:color="auto" w:fill="FFFFFF" w:themeFill="background1"/>
      </w:tcPr>
    </w:tblStylePr>
    <w:tblStylePr w:type="firstCol">
      <w:tblPr/>
      <w:tcPr>
        <w:tcBorders>
          <w:top w:val="nil"/>
          <w:left w:val="nil"/>
          <w:bottom w:val="nil"/>
          <w:right w:val="single" w:sz="8" w:space="0" w:color="800080" w:themeColor="accent2"/>
          <w:insideH w:val="nil"/>
          <w:insideV w:val="nil"/>
        </w:tcBorders>
        <w:shd w:val="clear" w:color="auto" w:fill="FFFFFF" w:themeFill="background1"/>
      </w:tcPr>
    </w:tblStylePr>
    <w:tblStylePr w:type="lastCol">
      <w:tblPr/>
      <w:tcPr>
        <w:tcBorders>
          <w:top w:val="nil"/>
          <w:left w:val="single" w:sz="8" w:space="0" w:color="800080"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FA0FF" w:themeFill="accent2" w:themeFillTint="3F"/>
      </w:tcPr>
    </w:tblStylePr>
    <w:tblStylePr w:type="band1Horz">
      <w:tblPr/>
      <w:tcPr>
        <w:tcBorders>
          <w:top w:val="nil"/>
          <w:bottom w:val="nil"/>
          <w:insideH w:val="nil"/>
          <w:insideV w:val="nil"/>
        </w:tcBorders>
        <w:shd w:val="clear" w:color="auto" w:fill="FFA0FF"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unhideWhenUsed/>
    <w:rsid w:val="0090719C"/>
    <w:rPr>
      <w:rFonts w:asciiTheme="majorHAnsi" w:eastAsiaTheme="majorEastAsia" w:hAnsiTheme="majorHAnsi" w:cstheme="majorBidi"/>
      <w:color w:val="0B1F2C" w:themeColor="text1"/>
    </w:rPr>
    <w:tblPr>
      <w:tblStyleRowBandSize w:val="1"/>
      <w:tblStyleColBandSize w:val="1"/>
      <w:tblBorders>
        <w:top w:val="single" w:sz="8" w:space="0" w:color="26C0BC" w:themeColor="accent3"/>
        <w:left w:val="single" w:sz="8" w:space="0" w:color="26C0BC" w:themeColor="accent3"/>
        <w:bottom w:val="single" w:sz="8" w:space="0" w:color="26C0BC" w:themeColor="accent3"/>
        <w:right w:val="single" w:sz="8" w:space="0" w:color="26C0BC" w:themeColor="accent3"/>
      </w:tblBorders>
    </w:tblPr>
    <w:tblStylePr w:type="firstRow">
      <w:rPr>
        <w:sz w:val="24"/>
        <w:szCs w:val="24"/>
      </w:rPr>
      <w:tblPr/>
      <w:tcPr>
        <w:tcBorders>
          <w:top w:val="nil"/>
          <w:left w:val="nil"/>
          <w:bottom w:val="single" w:sz="24" w:space="0" w:color="26C0BC" w:themeColor="accent3"/>
          <w:right w:val="nil"/>
          <w:insideH w:val="nil"/>
          <w:insideV w:val="nil"/>
        </w:tcBorders>
        <w:shd w:val="clear" w:color="auto" w:fill="FFFFFF" w:themeFill="background1"/>
      </w:tcPr>
    </w:tblStylePr>
    <w:tblStylePr w:type="lastRow">
      <w:tblPr/>
      <w:tcPr>
        <w:tcBorders>
          <w:top w:val="single" w:sz="8" w:space="0" w:color="26C0BC"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26C0BC" w:themeColor="accent3"/>
          <w:insideH w:val="nil"/>
          <w:insideV w:val="nil"/>
        </w:tcBorders>
        <w:shd w:val="clear" w:color="auto" w:fill="FFFFFF" w:themeFill="background1"/>
      </w:tcPr>
    </w:tblStylePr>
    <w:tblStylePr w:type="lastCol">
      <w:tblPr/>
      <w:tcPr>
        <w:tcBorders>
          <w:top w:val="nil"/>
          <w:left w:val="single" w:sz="8" w:space="0" w:color="26C0BC"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5F3F2" w:themeFill="accent3" w:themeFillTint="3F"/>
      </w:tcPr>
    </w:tblStylePr>
    <w:tblStylePr w:type="band1Horz">
      <w:tblPr/>
      <w:tcPr>
        <w:tcBorders>
          <w:top w:val="nil"/>
          <w:bottom w:val="nil"/>
          <w:insideH w:val="nil"/>
          <w:insideV w:val="nil"/>
        </w:tcBorders>
        <w:shd w:val="clear" w:color="auto" w:fill="C5F3F2"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unhideWhenUsed/>
    <w:rsid w:val="0090719C"/>
    <w:rPr>
      <w:rFonts w:asciiTheme="majorHAnsi" w:eastAsiaTheme="majorEastAsia" w:hAnsiTheme="majorHAnsi" w:cstheme="majorBidi"/>
      <w:color w:val="0B1F2C" w:themeColor="text1"/>
    </w:rPr>
    <w:tblPr>
      <w:tblStyleRowBandSize w:val="1"/>
      <w:tblStyleColBandSize w:val="1"/>
      <w:tblBorders>
        <w:top w:val="single" w:sz="8" w:space="0" w:color="C5446E" w:themeColor="accent4"/>
        <w:left w:val="single" w:sz="8" w:space="0" w:color="C5446E" w:themeColor="accent4"/>
        <w:bottom w:val="single" w:sz="8" w:space="0" w:color="C5446E" w:themeColor="accent4"/>
        <w:right w:val="single" w:sz="8" w:space="0" w:color="C5446E" w:themeColor="accent4"/>
      </w:tblBorders>
    </w:tblPr>
    <w:tblStylePr w:type="firstRow">
      <w:rPr>
        <w:sz w:val="24"/>
        <w:szCs w:val="24"/>
      </w:rPr>
      <w:tblPr/>
      <w:tcPr>
        <w:tcBorders>
          <w:top w:val="nil"/>
          <w:left w:val="nil"/>
          <w:bottom w:val="single" w:sz="24" w:space="0" w:color="C5446E" w:themeColor="accent4"/>
          <w:right w:val="nil"/>
          <w:insideH w:val="nil"/>
          <w:insideV w:val="nil"/>
        </w:tcBorders>
        <w:shd w:val="clear" w:color="auto" w:fill="FFFFFF" w:themeFill="background1"/>
      </w:tcPr>
    </w:tblStylePr>
    <w:tblStylePr w:type="lastRow">
      <w:tblPr/>
      <w:tcPr>
        <w:tcBorders>
          <w:top w:val="single" w:sz="8" w:space="0" w:color="C5446E"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5446E" w:themeColor="accent4"/>
          <w:insideH w:val="nil"/>
          <w:insideV w:val="nil"/>
        </w:tcBorders>
        <w:shd w:val="clear" w:color="auto" w:fill="FFFFFF" w:themeFill="background1"/>
      </w:tcPr>
    </w:tblStylePr>
    <w:tblStylePr w:type="lastCol">
      <w:tblPr/>
      <w:tcPr>
        <w:tcBorders>
          <w:top w:val="nil"/>
          <w:left w:val="single" w:sz="8" w:space="0" w:color="C5446E"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0D0DB" w:themeFill="accent4" w:themeFillTint="3F"/>
      </w:tcPr>
    </w:tblStylePr>
    <w:tblStylePr w:type="band1Horz">
      <w:tblPr/>
      <w:tcPr>
        <w:tcBorders>
          <w:top w:val="nil"/>
          <w:bottom w:val="nil"/>
          <w:insideH w:val="nil"/>
          <w:insideV w:val="nil"/>
        </w:tcBorders>
        <w:shd w:val="clear" w:color="auto" w:fill="F0D0DB"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unhideWhenUsed/>
    <w:rsid w:val="0090719C"/>
    <w:rPr>
      <w:rFonts w:asciiTheme="majorHAnsi" w:eastAsiaTheme="majorEastAsia" w:hAnsiTheme="majorHAnsi" w:cstheme="majorBidi"/>
      <w:color w:val="0B1F2C" w:themeColor="text1"/>
    </w:rPr>
    <w:tblPr>
      <w:tblStyleRowBandSize w:val="1"/>
      <w:tblStyleColBandSize w:val="1"/>
      <w:tblBorders>
        <w:top w:val="single" w:sz="8" w:space="0" w:color="0B1F2C" w:themeColor="accent5"/>
        <w:left w:val="single" w:sz="8" w:space="0" w:color="0B1F2C" w:themeColor="accent5"/>
        <w:bottom w:val="single" w:sz="8" w:space="0" w:color="0B1F2C" w:themeColor="accent5"/>
        <w:right w:val="single" w:sz="8" w:space="0" w:color="0B1F2C" w:themeColor="accent5"/>
      </w:tblBorders>
    </w:tblPr>
    <w:tblStylePr w:type="firstRow">
      <w:rPr>
        <w:sz w:val="24"/>
        <w:szCs w:val="24"/>
      </w:rPr>
      <w:tblPr/>
      <w:tcPr>
        <w:tcBorders>
          <w:top w:val="nil"/>
          <w:left w:val="nil"/>
          <w:bottom w:val="single" w:sz="24" w:space="0" w:color="0B1F2C" w:themeColor="accent5"/>
          <w:right w:val="nil"/>
          <w:insideH w:val="nil"/>
          <w:insideV w:val="nil"/>
        </w:tcBorders>
        <w:shd w:val="clear" w:color="auto" w:fill="FFFFFF" w:themeFill="background1"/>
      </w:tcPr>
    </w:tblStylePr>
    <w:tblStylePr w:type="lastRow">
      <w:tblPr/>
      <w:tcPr>
        <w:tcBorders>
          <w:top w:val="single" w:sz="8" w:space="0" w:color="0B1F2C"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B1F2C" w:themeColor="accent5"/>
          <w:insideH w:val="nil"/>
          <w:insideV w:val="nil"/>
        </w:tcBorders>
        <w:shd w:val="clear" w:color="auto" w:fill="FFFFFF" w:themeFill="background1"/>
      </w:tcPr>
    </w:tblStylePr>
    <w:tblStylePr w:type="lastCol">
      <w:tblPr/>
      <w:tcPr>
        <w:tcBorders>
          <w:top w:val="nil"/>
          <w:left w:val="single" w:sz="8" w:space="0" w:color="0B1F2C"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A4CDE8" w:themeFill="accent5" w:themeFillTint="3F"/>
      </w:tcPr>
    </w:tblStylePr>
    <w:tblStylePr w:type="band1Horz">
      <w:tblPr/>
      <w:tcPr>
        <w:tcBorders>
          <w:top w:val="nil"/>
          <w:bottom w:val="nil"/>
          <w:insideH w:val="nil"/>
          <w:insideV w:val="nil"/>
        </w:tcBorders>
        <w:shd w:val="clear" w:color="auto" w:fill="A4CDE8"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unhideWhenUsed/>
    <w:rsid w:val="0090719C"/>
    <w:rPr>
      <w:rFonts w:asciiTheme="majorHAnsi" w:eastAsiaTheme="majorEastAsia" w:hAnsiTheme="majorHAnsi" w:cstheme="majorBidi"/>
      <w:color w:val="0B1F2C" w:themeColor="text1"/>
    </w:rPr>
    <w:tblPr>
      <w:tblStyleRowBandSize w:val="1"/>
      <w:tblStyleColBandSize w:val="1"/>
      <w:tblBorders>
        <w:top w:val="single" w:sz="8" w:space="0" w:color="909090" w:themeColor="accent6"/>
        <w:left w:val="single" w:sz="8" w:space="0" w:color="909090" w:themeColor="accent6"/>
        <w:bottom w:val="single" w:sz="8" w:space="0" w:color="909090" w:themeColor="accent6"/>
        <w:right w:val="single" w:sz="8" w:space="0" w:color="909090" w:themeColor="accent6"/>
      </w:tblBorders>
    </w:tblPr>
    <w:tblStylePr w:type="firstRow">
      <w:rPr>
        <w:sz w:val="24"/>
        <w:szCs w:val="24"/>
      </w:rPr>
      <w:tblPr/>
      <w:tcPr>
        <w:tcBorders>
          <w:top w:val="nil"/>
          <w:left w:val="nil"/>
          <w:bottom w:val="single" w:sz="24" w:space="0" w:color="909090" w:themeColor="accent6"/>
          <w:right w:val="nil"/>
          <w:insideH w:val="nil"/>
          <w:insideV w:val="nil"/>
        </w:tcBorders>
        <w:shd w:val="clear" w:color="auto" w:fill="FFFFFF" w:themeFill="background1"/>
      </w:tcPr>
    </w:tblStylePr>
    <w:tblStylePr w:type="lastRow">
      <w:tblPr/>
      <w:tcPr>
        <w:tcBorders>
          <w:top w:val="single" w:sz="8" w:space="0" w:color="909090"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09090" w:themeColor="accent6"/>
          <w:insideH w:val="nil"/>
          <w:insideV w:val="nil"/>
        </w:tcBorders>
        <w:shd w:val="clear" w:color="auto" w:fill="FFFFFF" w:themeFill="background1"/>
      </w:tcPr>
    </w:tblStylePr>
    <w:tblStylePr w:type="lastCol">
      <w:tblPr/>
      <w:tcPr>
        <w:tcBorders>
          <w:top w:val="nil"/>
          <w:left w:val="single" w:sz="8" w:space="0" w:color="909090"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3E3E3" w:themeFill="accent6" w:themeFillTint="3F"/>
      </w:tcPr>
    </w:tblStylePr>
    <w:tblStylePr w:type="band1Horz">
      <w:tblPr/>
      <w:tcPr>
        <w:tcBorders>
          <w:top w:val="nil"/>
          <w:bottom w:val="nil"/>
          <w:insideH w:val="nil"/>
          <w:insideV w:val="nil"/>
        </w:tcBorders>
        <w:shd w:val="clear" w:color="auto" w:fill="E3E3E3"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unhideWhenUsed/>
    <w:rsid w:val="0090719C"/>
    <w:tblPr>
      <w:tblStyleRowBandSize w:val="1"/>
      <w:tblStyleColBandSize w:val="1"/>
      <w:tblBorders>
        <w:top w:val="single" w:sz="8" w:space="0" w:color="215F87" w:themeColor="text1" w:themeTint="BF"/>
        <w:left w:val="single" w:sz="8" w:space="0" w:color="215F87" w:themeColor="text1" w:themeTint="BF"/>
        <w:bottom w:val="single" w:sz="8" w:space="0" w:color="215F87" w:themeColor="text1" w:themeTint="BF"/>
        <w:right w:val="single" w:sz="8" w:space="0" w:color="215F87" w:themeColor="text1" w:themeTint="BF"/>
        <w:insideH w:val="single" w:sz="8" w:space="0" w:color="215F87" w:themeColor="text1" w:themeTint="BF"/>
      </w:tblBorders>
    </w:tblPr>
    <w:tblStylePr w:type="firstRow">
      <w:pPr>
        <w:spacing w:before="0" w:after="0" w:line="240" w:lineRule="auto"/>
      </w:pPr>
      <w:rPr>
        <w:b/>
        <w:bCs/>
        <w:color w:val="FFFFFF" w:themeColor="background1"/>
      </w:rPr>
      <w:tblPr/>
      <w:tcPr>
        <w:tcBorders>
          <w:top w:val="single" w:sz="8" w:space="0" w:color="215F87" w:themeColor="text1" w:themeTint="BF"/>
          <w:left w:val="single" w:sz="8" w:space="0" w:color="215F87" w:themeColor="text1" w:themeTint="BF"/>
          <w:bottom w:val="single" w:sz="8" w:space="0" w:color="215F87" w:themeColor="text1" w:themeTint="BF"/>
          <w:right w:val="single" w:sz="8" w:space="0" w:color="215F87" w:themeColor="text1" w:themeTint="BF"/>
          <w:insideH w:val="nil"/>
          <w:insideV w:val="nil"/>
        </w:tcBorders>
        <w:shd w:val="clear" w:color="auto" w:fill="0B1F2C" w:themeFill="text1"/>
      </w:tcPr>
    </w:tblStylePr>
    <w:tblStylePr w:type="lastRow">
      <w:pPr>
        <w:spacing w:before="0" w:after="0" w:line="240" w:lineRule="auto"/>
      </w:pPr>
      <w:rPr>
        <w:b/>
        <w:bCs/>
      </w:rPr>
      <w:tblPr/>
      <w:tcPr>
        <w:tcBorders>
          <w:top w:val="double" w:sz="6" w:space="0" w:color="215F87" w:themeColor="text1" w:themeTint="BF"/>
          <w:left w:val="single" w:sz="8" w:space="0" w:color="215F87" w:themeColor="text1" w:themeTint="BF"/>
          <w:bottom w:val="single" w:sz="8" w:space="0" w:color="215F87" w:themeColor="text1" w:themeTint="BF"/>
          <w:right w:val="single" w:sz="8" w:space="0" w:color="215F87" w:themeColor="text1" w:themeTint="BF"/>
          <w:insideH w:val="nil"/>
          <w:insideV w:val="nil"/>
        </w:tcBorders>
      </w:tcPr>
    </w:tblStylePr>
    <w:tblStylePr w:type="firstCol">
      <w:rPr>
        <w:b/>
        <w:bCs/>
      </w:rPr>
    </w:tblStylePr>
    <w:tblStylePr w:type="lastCol">
      <w:rPr>
        <w:b/>
        <w:bCs/>
      </w:rPr>
    </w:tblStylePr>
    <w:tblStylePr w:type="band1Vert">
      <w:tblPr/>
      <w:tcPr>
        <w:shd w:val="clear" w:color="auto" w:fill="A4CDE8" w:themeFill="text1" w:themeFillTint="3F"/>
      </w:tcPr>
    </w:tblStylePr>
    <w:tblStylePr w:type="band1Horz">
      <w:tblPr/>
      <w:tcPr>
        <w:tcBorders>
          <w:insideH w:val="nil"/>
          <w:insideV w:val="nil"/>
        </w:tcBorders>
        <w:shd w:val="clear" w:color="auto" w:fill="A4CDE8"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unhideWhenUsed/>
    <w:rsid w:val="0090719C"/>
    <w:tblPr>
      <w:tblStyleRowBandSize w:val="1"/>
      <w:tblStyleColBandSize w:val="1"/>
      <w:tblBorders>
        <w:top w:val="single" w:sz="8" w:space="0" w:color="2BBEFF" w:themeColor="accent1" w:themeTint="BF"/>
        <w:left w:val="single" w:sz="8" w:space="0" w:color="2BBEFF" w:themeColor="accent1" w:themeTint="BF"/>
        <w:bottom w:val="single" w:sz="8" w:space="0" w:color="2BBEFF" w:themeColor="accent1" w:themeTint="BF"/>
        <w:right w:val="single" w:sz="8" w:space="0" w:color="2BBEFF" w:themeColor="accent1" w:themeTint="BF"/>
        <w:insideH w:val="single" w:sz="8" w:space="0" w:color="2BBEFF" w:themeColor="accent1" w:themeTint="BF"/>
      </w:tblBorders>
    </w:tblPr>
    <w:tblStylePr w:type="firstRow">
      <w:pPr>
        <w:spacing w:before="0" w:after="0" w:line="240" w:lineRule="auto"/>
      </w:pPr>
      <w:rPr>
        <w:b/>
        <w:bCs/>
        <w:color w:val="FFFFFF" w:themeColor="background1"/>
      </w:rPr>
      <w:tblPr/>
      <w:tcPr>
        <w:tcBorders>
          <w:top w:val="single" w:sz="8" w:space="0" w:color="2BBEFF" w:themeColor="accent1" w:themeTint="BF"/>
          <w:left w:val="single" w:sz="8" w:space="0" w:color="2BBEFF" w:themeColor="accent1" w:themeTint="BF"/>
          <w:bottom w:val="single" w:sz="8" w:space="0" w:color="2BBEFF" w:themeColor="accent1" w:themeTint="BF"/>
          <w:right w:val="single" w:sz="8" w:space="0" w:color="2BBEFF" w:themeColor="accent1" w:themeTint="BF"/>
          <w:insideH w:val="nil"/>
          <w:insideV w:val="nil"/>
        </w:tcBorders>
        <w:shd w:val="clear" w:color="auto" w:fill="009FE3" w:themeFill="accent1"/>
      </w:tcPr>
    </w:tblStylePr>
    <w:tblStylePr w:type="lastRow">
      <w:pPr>
        <w:spacing w:before="0" w:after="0" w:line="240" w:lineRule="auto"/>
      </w:pPr>
      <w:rPr>
        <w:b/>
        <w:bCs/>
      </w:rPr>
      <w:tblPr/>
      <w:tcPr>
        <w:tcBorders>
          <w:top w:val="double" w:sz="6" w:space="0" w:color="2BBEFF" w:themeColor="accent1" w:themeTint="BF"/>
          <w:left w:val="single" w:sz="8" w:space="0" w:color="2BBEFF" w:themeColor="accent1" w:themeTint="BF"/>
          <w:bottom w:val="single" w:sz="8" w:space="0" w:color="2BBEFF" w:themeColor="accent1" w:themeTint="BF"/>
          <w:right w:val="single" w:sz="8" w:space="0" w:color="2BBEF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9E9FF" w:themeFill="accent1" w:themeFillTint="3F"/>
      </w:tcPr>
    </w:tblStylePr>
    <w:tblStylePr w:type="band1Horz">
      <w:tblPr/>
      <w:tcPr>
        <w:tcBorders>
          <w:insideH w:val="nil"/>
          <w:insideV w:val="nil"/>
        </w:tcBorders>
        <w:shd w:val="clear" w:color="auto" w:fill="B9E9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unhideWhenUsed/>
    <w:rsid w:val="0090719C"/>
    <w:tblPr>
      <w:tblStyleRowBandSize w:val="1"/>
      <w:tblStyleColBandSize w:val="1"/>
      <w:tblBorders>
        <w:top w:val="single" w:sz="8" w:space="0" w:color="DF00DF" w:themeColor="accent2" w:themeTint="BF"/>
        <w:left w:val="single" w:sz="8" w:space="0" w:color="DF00DF" w:themeColor="accent2" w:themeTint="BF"/>
        <w:bottom w:val="single" w:sz="8" w:space="0" w:color="DF00DF" w:themeColor="accent2" w:themeTint="BF"/>
        <w:right w:val="single" w:sz="8" w:space="0" w:color="DF00DF" w:themeColor="accent2" w:themeTint="BF"/>
        <w:insideH w:val="single" w:sz="8" w:space="0" w:color="DF00DF" w:themeColor="accent2" w:themeTint="BF"/>
      </w:tblBorders>
    </w:tblPr>
    <w:tblStylePr w:type="firstRow">
      <w:pPr>
        <w:spacing w:before="0" w:after="0" w:line="240" w:lineRule="auto"/>
      </w:pPr>
      <w:rPr>
        <w:b/>
        <w:bCs/>
        <w:color w:val="FFFFFF" w:themeColor="background1"/>
      </w:rPr>
      <w:tblPr/>
      <w:tcPr>
        <w:tcBorders>
          <w:top w:val="single" w:sz="8" w:space="0" w:color="DF00DF" w:themeColor="accent2" w:themeTint="BF"/>
          <w:left w:val="single" w:sz="8" w:space="0" w:color="DF00DF" w:themeColor="accent2" w:themeTint="BF"/>
          <w:bottom w:val="single" w:sz="8" w:space="0" w:color="DF00DF" w:themeColor="accent2" w:themeTint="BF"/>
          <w:right w:val="single" w:sz="8" w:space="0" w:color="DF00DF" w:themeColor="accent2" w:themeTint="BF"/>
          <w:insideH w:val="nil"/>
          <w:insideV w:val="nil"/>
        </w:tcBorders>
        <w:shd w:val="clear" w:color="auto" w:fill="800080" w:themeFill="accent2"/>
      </w:tcPr>
    </w:tblStylePr>
    <w:tblStylePr w:type="lastRow">
      <w:pPr>
        <w:spacing w:before="0" w:after="0" w:line="240" w:lineRule="auto"/>
      </w:pPr>
      <w:rPr>
        <w:b/>
        <w:bCs/>
      </w:rPr>
      <w:tblPr/>
      <w:tcPr>
        <w:tcBorders>
          <w:top w:val="double" w:sz="6" w:space="0" w:color="DF00DF" w:themeColor="accent2" w:themeTint="BF"/>
          <w:left w:val="single" w:sz="8" w:space="0" w:color="DF00DF" w:themeColor="accent2" w:themeTint="BF"/>
          <w:bottom w:val="single" w:sz="8" w:space="0" w:color="DF00DF" w:themeColor="accent2" w:themeTint="BF"/>
          <w:right w:val="single" w:sz="8" w:space="0" w:color="DF00DF"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A0FF" w:themeFill="accent2" w:themeFillTint="3F"/>
      </w:tcPr>
    </w:tblStylePr>
    <w:tblStylePr w:type="band1Horz">
      <w:tblPr/>
      <w:tcPr>
        <w:tcBorders>
          <w:insideH w:val="nil"/>
          <w:insideV w:val="nil"/>
        </w:tcBorders>
        <w:shd w:val="clear" w:color="auto" w:fill="FFA0FF"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unhideWhenUsed/>
    <w:rsid w:val="0090719C"/>
    <w:tblPr>
      <w:tblStyleRowBandSize w:val="1"/>
      <w:tblStyleColBandSize w:val="1"/>
      <w:tblBorders>
        <w:top w:val="single" w:sz="8" w:space="0" w:color="4FDCD8" w:themeColor="accent3" w:themeTint="BF"/>
        <w:left w:val="single" w:sz="8" w:space="0" w:color="4FDCD8" w:themeColor="accent3" w:themeTint="BF"/>
        <w:bottom w:val="single" w:sz="8" w:space="0" w:color="4FDCD8" w:themeColor="accent3" w:themeTint="BF"/>
        <w:right w:val="single" w:sz="8" w:space="0" w:color="4FDCD8" w:themeColor="accent3" w:themeTint="BF"/>
        <w:insideH w:val="single" w:sz="8" w:space="0" w:color="4FDCD8" w:themeColor="accent3" w:themeTint="BF"/>
      </w:tblBorders>
    </w:tblPr>
    <w:tblStylePr w:type="firstRow">
      <w:pPr>
        <w:spacing w:before="0" w:after="0" w:line="240" w:lineRule="auto"/>
      </w:pPr>
      <w:rPr>
        <w:b/>
        <w:bCs/>
        <w:color w:val="FFFFFF" w:themeColor="background1"/>
      </w:rPr>
      <w:tblPr/>
      <w:tcPr>
        <w:tcBorders>
          <w:top w:val="single" w:sz="8" w:space="0" w:color="4FDCD8" w:themeColor="accent3" w:themeTint="BF"/>
          <w:left w:val="single" w:sz="8" w:space="0" w:color="4FDCD8" w:themeColor="accent3" w:themeTint="BF"/>
          <w:bottom w:val="single" w:sz="8" w:space="0" w:color="4FDCD8" w:themeColor="accent3" w:themeTint="BF"/>
          <w:right w:val="single" w:sz="8" w:space="0" w:color="4FDCD8" w:themeColor="accent3" w:themeTint="BF"/>
          <w:insideH w:val="nil"/>
          <w:insideV w:val="nil"/>
        </w:tcBorders>
        <w:shd w:val="clear" w:color="auto" w:fill="26C0BC" w:themeFill="accent3"/>
      </w:tcPr>
    </w:tblStylePr>
    <w:tblStylePr w:type="lastRow">
      <w:pPr>
        <w:spacing w:before="0" w:after="0" w:line="240" w:lineRule="auto"/>
      </w:pPr>
      <w:rPr>
        <w:b/>
        <w:bCs/>
      </w:rPr>
      <w:tblPr/>
      <w:tcPr>
        <w:tcBorders>
          <w:top w:val="double" w:sz="6" w:space="0" w:color="4FDCD8" w:themeColor="accent3" w:themeTint="BF"/>
          <w:left w:val="single" w:sz="8" w:space="0" w:color="4FDCD8" w:themeColor="accent3" w:themeTint="BF"/>
          <w:bottom w:val="single" w:sz="8" w:space="0" w:color="4FDCD8" w:themeColor="accent3" w:themeTint="BF"/>
          <w:right w:val="single" w:sz="8" w:space="0" w:color="4FDCD8" w:themeColor="accent3" w:themeTint="BF"/>
          <w:insideH w:val="nil"/>
          <w:insideV w:val="nil"/>
        </w:tcBorders>
      </w:tcPr>
    </w:tblStylePr>
    <w:tblStylePr w:type="firstCol">
      <w:rPr>
        <w:b/>
        <w:bCs/>
      </w:rPr>
    </w:tblStylePr>
    <w:tblStylePr w:type="lastCol">
      <w:rPr>
        <w:b/>
        <w:bCs/>
      </w:rPr>
    </w:tblStylePr>
    <w:tblStylePr w:type="band1Vert">
      <w:tblPr/>
      <w:tcPr>
        <w:shd w:val="clear" w:color="auto" w:fill="C5F3F2" w:themeFill="accent3" w:themeFillTint="3F"/>
      </w:tcPr>
    </w:tblStylePr>
    <w:tblStylePr w:type="band1Horz">
      <w:tblPr/>
      <w:tcPr>
        <w:tcBorders>
          <w:insideH w:val="nil"/>
          <w:insideV w:val="nil"/>
        </w:tcBorders>
        <w:shd w:val="clear" w:color="auto" w:fill="C5F3F2"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unhideWhenUsed/>
    <w:rsid w:val="0090719C"/>
    <w:tblPr>
      <w:tblStyleRowBandSize w:val="1"/>
      <w:tblStyleColBandSize w:val="1"/>
      <w:tblBorders>
        <w:top w:val="single" w:sz="8" w:space="0" w:color="D37292" w:themeColor="accent4" w:themeTint="BF"/>
        <w:left w:val="single" w:sz="8" w:space="0" w:color="D37292" w:themeColor="accent4" w:themeTint="BF"/>
        <w:bottom w:val="single" w:sz="8" w:space="0" w:color="D37292" w:themeColor="accent4" w:themeTint="BF"/>
        <w:right w:val="single" w:sz="8" w:space="0" w:color="D37292" w:themeColor="accent4" w:themeTint="BF"/>
        <w:insideH w:val="single" w:sz="8" w:space="0" w:color="D37292" w:themeColor="accent4" w:themeTint="BF"/>
      </w:tblBorders>
    </w:tblPr>
    <w:tblStylePr w:type="firstRow">
      <w:pPr>
        <w:spacing w:before="0" w:after="0" w:line="240" w:lineRule="auto"/>
      </w:pPr>
      <w:rPr>
        <w:b/>
        <w:bCs/>
        <w:color w:val="FFFFFF" w:themeColor="background1"/>
      </w:rPr>
      <w:tblPr/>
      <w:tcPr>
        <w:tcBorders>
          <w:top w:val="single" w:sz="8" w:space="0" w:color="D37292" w:themeColor="accent4" w:themeTint="BF"/>
          <w:left w:val="single" w:sz="8" w:space="0" w:color="D37292" w:themeColor="accent4" w:themeTint="BF"/>
          <w:bottom w:val="single" w:sz="8" w:space="0" w:color="D37292" w:themeColor="accent4" w:themeTint="BF"/>
          <w:right w:val="single" w:sz="8" w:space="0" w:color="D37292" w:themeColor="accent4" w:themeTint="BF"/>
          <w:insideH w:val="nil"/>
          <w:insideV w:val="nil"/>
        </w:tcBorders>
        <w:shd w:val="clear" w:color="auto" w:fill="C5446E" w:themeFill="accent4"/>
      </w:tcPr>
    </w:tblStylePr>
    <w:tblStylePr w:type="lastRow">
      <w:pPr>
        <w:spacing w:before="0" w:after="0" w:line="240" w:lineRule="auto"/>
      </w:pPr>
      <w:rPr>
        <w:b/>
        <w:bCs/>
      </w:rPr>
      <w:tblPr/>
      <w:tcPr>
        <w:tcBorders>
          <w:top w:val="double" w:sz="6" w:space="0" w:color="D37292" w:themeColor="accent4" w:themeTint="BF"/>
          <w:left w:val="single" w:sz="8" w:space="0" w:color="D37292" w:themeColor="accent4" w:themeTint="BF"/>
          <w:bottom w:val="single" w:sz="8" w:space="0" w:color="D37292" w:themeColor="accent4" w:themeTint="BF"/>
          <w:right w:val="single" w:sz="8" w:space="0" w:color="D37292" w:themeColor="accent4" w:themeTint="BF"/>
          <w:insideH w:val="nil"/>
          <w:insideV w:val="nil"/>
        </w:tcBorders>
      </w:tcPr>
    </w:tblStylePr>
    <w:tblStylePr w:type="firstCol">
      <w:rPr>
        <w:b/>
        <w:bCs/>
      </w:rPr>
    </w:tblStylePr>
    <w:tblStylePr w:type="lastCol">
      <w:rPr>
        <w:b/>
        <w:bCs/>
      </w:rPr>
    </w:tblStylePr>
    <w:tblStylePr w:type="band1Vert">
      <w:tblPr/>
      <w:tcPr>
        <w:shd w:val="clear" w:color="auto" w:fill="F0D0DB" w:themeFill="accent4" w:themeFillTint="3F"/>
      </w:tcPr>
    </w:tblStylePr>
    <w:tblStylePr w:type="band1Horz">
      <w:tblPr/>
      <w:tcPr>
        <w:tcBorders>
          <w:insideH w:val="nil"/>
          <w:insideV w:val="nil"/>
        </w:tcBorders>
        <w:shd w:val="clear" w:color="auto" w:fill="F0D0DB"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unhideWhenUsed/>
    <w:rsid w:val="0090719C"/>
    <w:tblPr>
      <w:tblStyleRowBandSize w:val="1"/>
      <w:tblStyleColBandSize w:val="1"/>
      <w:tblBorders>
        <w:top w:val="single" w:sz="8" w:space="0" w:color="215F87" w:themeColor="accent5" w:themeTint="BF"/>
        <w:left w:val="single" w:sz="8" w:space="0" w:color="215F87" w:themeColor="accent5" w:themeTint="BF"/>
        <w:bottom w:val="single" w:sz="8" w:space="0" w:color="215F87" w:themeColor="accent5" w:themeTint="BF"/>
        <w:right w:val="single" w:sz="8" w:space="0" w:color="215F87" w:themeColor="accent5" w:themeTint="BF"/>
        <w:insideH w:val="single" w:sz="8" w:space="0" w:color="215F87" w:themeColor="accent5" w:themeTint="BF"/>
      </w:tblBorders>
    </w:tblPr>
    <w:tblStylePr w:type="firstRow">
      <w:pPr>
        <w:spacing w:before="0" w:after="0" w:line="240" w:lineRule="auto"/>
      </w:pPr>
      <w:rPr>
        <w:b/>
        <w:bCs/>
        <w:color w:val="FFFFFF" w:themeColor="background1"/>
      </w:rPr>
      <w:tblPr/>
      <w:tcPr>
        <w:tcBorders>
          <w:top w:val="single" w:sz="8" w:space="0" w:color="215F87" w:themeColor="accent5" w:themeTint="BF"/>
          <w:left w:val="single" w:sz="8" w:space="0" w:color="215F87" w:themeColor="accent5" w:themeTint="BF"/>
          <w:bottom w:val="single" w:sz="8" w:space="0" w:color="215F87" w:themeColor="accent5" w:themeTint="BF"/>
          <w:right w:val="single" w:sz="8" w:space="0" w:color="215F87" w:themeColor="accent5" w:themeTint="BF"/>
          <w:insideH w:val="nil"/>
          <w:insideV w:val="nil"/>
        </w:tcBorders>
        <w:shd w:val="clear" w:color="auto" w:fill="0B1F2C" w:themeFill="accent5"/>
      </w:tcPr>
    </w:tblStylePr>
    <w:tblStylePr w:type="lastRow">
      <w:pPr>
        <w:spacing w:before="0" w:after="0" w:line="240" w:lineRule="auto"/>
      </w:pPr>
      <w:rPr>
        <w:b/>
        <w:bCs/>
      </w:rPr>
      <w:tblPr/>
      <w:tcPr>
        <w:tcBorders>
          <w:top w:val="double" w:sz="6" w:space="0" w:color="215F87" w:themeColor="accent5" w:themeTint="BF"/>
          <w:left w:val="single" w:sz="8" w:space="0" w:color="215F87" w:themeColor="accent5" w:themeTint="BF"/>
          <w:bottom w:val="single" w:sz="8" w:space="0" w:color="215F87" w:themeColor="accent5" w:themeTint="BF"/>
          <w:right w:val="single" w:sz="8" w:space="0" w:color="215F87" w:themeColor="accent5" w:themeTint="BF"/>
          <w:insideH w:val="nil"/>
          <w:insideV w:val="nil"/>
        </w:tcBorders>
      </w:tcPr>
    </w:tblStylePr>
    <w:tblStylePr w:type="firstCol">
      <w:rPr>
        <w:b/>
        <w:bCs/>
      </w:rPr>
    </w:tblStylePr>
    <w:tblStylePr w:type="lastCol">
      <w:rPr>
        <w:b/>
        <w:bCs/>
      </w:rPr>
    </w:tblStylePr>
    <w:tblStylePr w:type="band1Vert">
      <w:tblPr/>
      <w:tcPr>
        <w:shd w:val="clear" w:color="auto" w:fill="A4CDE8" w:themeFill="accent5" w:themeFillTint="3F"/>
      </w:tcPr>
    </w:tblStylePr>
    <w:tblStylePr w:type="band1Horz">
      <w:tblPr/>
      <w:tcPr>
        <w:tcBorders>
          <w:insideH w:val="nil"/>
          <w:insideV w:val="nil"/>
        </w:tcBorders>
        <w:shd w:val="clear" w:color="auto" w:fill="A4CDE8"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unhideWhenUsed/>
    <w:rsid w:val="0090719C"/>
    <w:tblPr>
      <w:tblStyleRowBandSize w:val="1"/>
      <w:tblStyleColBandSize w:val="1"/>
      <w:tblBorders>
        <w:top w:val="single" w:sz="8" w:space="0" w:color="ABABAB" w:themeColor="accent6" w:themeTint="BF"/>
        <w:left w:val="single" w:sz="8" w:space="0" w:color="ABABAB" w:themeColor="accent6" w:themeTint="BF"/>
        <w:bottom w:val="single" w:sz="8" w:space="0" w:color="ABABAB" w:themeColor="accent6" w:themeTint="BF"/>
        <w:right w:val="single" w:sz="8" w:space="0" w:color="ABABAB" w:themeColor="accent6" w:themeTint="BF"/>
        <w:insideH w:val="single" w:sz="8" w:space="0" w:color="ABABAB" w:themeColor="accent6" w:themeTint="BF"/>
      </w:tblBorders>
    </w:tblPr>
    <w:tblStylePr w:type="firstRow">
      <w:pPr>
        <w:spacing w:before="0" w:after="0" w:line="240" w:lineRule="auto"/>
      </w:pPr>
      <w:rPr>
        <w:b/>
        <w:bCs/>
        <w:color w:val="FFFFFF" w:themeColor="background1"/>
      </w:rPr>
      <w:tblPr/>
      <w:tcPr>
        <w:tcBorders>
          <w:top w:val="single" w:sz="8" w:space="0" w:color="ABABAB" w:themeColor="accent6" w:themeTint="BF"/>
          <w:left w:val="single" w:sz="8" w:space="0" w:color="ABABAB" w:themeColor="accent6" w:themeTint="BF"/>
          <w:bottom w:val="single" w:sz="8" w:space="0" w:color="ABABAB" w:themeColor="accent6" w:themeTint="BF"/>
          <w:right w:val="single" w:sz="8" w:space="0" w:color="ABABAB" w:themeColor="accent6" w:themeTint="BF"/>
          <w:insideH w:val="nil"/>
          <w:insideV w:val="nil"/>
        </w:tcBorders>
        <w:shd w:val="clear" w:color="auto" w:fill="909090" w:themeFill="accent6"/>
      </w:tcPr>
    </w:tblStylePr>
    <w:tblStylePr w:type="lastRow">
      <w:pPr>
        <w:spacing w:before="0" w:after="0" w:line="240" w:lineRule="auto"/>
      </w:pPr>
      <w:rPr>
        <w:b/>
        <w:bCs/>
      </w:rPr>
      <w:tblPr/>
      <w:tcPr>
        <w:tcBorders>
          <w:top w:val="double" w:sz="6" w:space="0" w:color="ABABAB" w:themeColor="accent6" w:themeTint="BF"/>
          <w:left w:val="single" w:sz="8" w:space="0" w:color="ABABAB" w:themeColor="accent6" w:themeTint="BF"/>
          <w:bottom w:val="single" w:sz="8" w:space="0" w:color="ABABAB" w:themeColor="accent6" w:themeTint="BF"/>
          <w:right w:val="single" w:sz="8" w:space="0" w:color="ABABAB" w:themeColor="accent6" w:themeTint="BF"/>
          <w:insideH w:val="nil"/>
          <w:insideV w:val="nil"/>
        </w:tcBorders>
      </w:tcPr>
    </w:tblStylePr>
    <w:tblStylePr w:type="firstCol">
      <w:rPr>
        <w:b/>
        <w:bCs/>
      </w:rPr>
    </w:tblStylePr>
    <w:tblStylePr w:type="lastCol">
      <w:rPr>
        <w:b/>
        <w:bCs/>
      </w:rPr>
    </w:tblStylePr>
    <w:tblStylePr w:type="band1Vert">
      <w:tblPr/>
      <w:tcPr>
        <w:shd w:val="clear" w:color="auto" w:fill="E3E3E3" w:themeFill="accent6" w:themeFillTint="3F"/>
      </w:tcPr>
    </w:tblStylePr>
    <w:tblStylePr w:type="band1Horz">
      <w:tblPr/>
      <w:tcPr>
        <w:tcBorders>
          <w:insideH w:val="nil"/>
          <w:insideV w:val="nil"/>
        </w:tcBorders>
        <w:shd w:val="clear" w:color="auto" w:fill="E3E3E3"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unhideWhenUsed/>
    <w:rsid w:val="0090719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B1F2C"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B1F2C" w:themeFill="text1"/>
      </w:tcPr>
    </w:tblStylePr>
    <w:tblStylePr w:type="lastCol">
      <w:rPr>
        <w:b/>
        <w:bCs/>
        <w:color w:val="FFFFFF" w:themeColor="background1"/>
      </w:rPr>
      <w:tblPr/>
      <w:tcPr>
        <w:tcBorders>
          <w:left w:val="nil"/>
          <w:right w:val="nil"/>
          <w:insideH w:val="nil"/>
          <w:insideV w:val="nil"/>
        </w:tcBorders>
        <w:shd w:val="clear" w:color="auto" w:fill="0B1F2C"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semiHidden/>
    <w:unhideWhenUsed/>
    <w:rsid w:val="0090719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9FE3"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9FE3" w:themeFill="accent1"/>
      </w:tcPr>
    </w:tblStylePr>
    <w:tblStylePr w:type="lastCol">
      <w:rPr>
        <w:b/>
        <w:bCs/>
        <w:color w:val="FFFFFF" w:themeColor="background1"/>
      </w:rPr>
      <w:tblPr/>
      <w:tcPr>
        <w:tcBorders>
          <w:left w:val="nil"/>
          <w:right w:val="nil"/>
          <w:insideH w:val="nil"/>
          <w:insideV w:val="nil"/>
        </w:tcBorders>
        <w:shd w:val="clear" w:color="auto" w:fill="009FE3"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semiHidden/>
    <w:unhideWhenUsed/>
    <w:rsid w:val="0090719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0080"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0080" w:themeFill="accent2"/>
      </w:tcPr>
    </w:tblStylePr>
    <w:tblStylePr w:type="lastCol">
      <w:rPr>
        <w:b/>
        <w:bCs/>
        <w:color w:val="FFFFFF" w:themeColor="background1"/>
      </w:rPr>
      <w:tblPr/>
      <w:tcPr>
        <w:tcBorders>
          <w:left w:val="nil"/>
          <w:right w:val="nil"/>
          <w:insideH w:val="nil"/>
          <w:insideV w:val="nil"/>
        </w:tcBorders>
        <w:shd w:val="clear" w:color="auto" w:fill="800080"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semiHidden/>
    <w:unhideWhenUsed/>
    <w:rsid w:val="0090719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26C0BC"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26C0BC" w:themeFill="accent3"/>
      </w:tcPr>
    </w:tblStylePr>
    <w:tblStylePr w:type="lastCol">
      <w:rPr>
        <w:b/>
        <w:bCs/>
        <w:color w:val="FFFFFF" w:themeColor="background1"/>
      </w:rPr>
      <w:tblPr/>
      <w:tcPr>
        <w:tcBorders>
          <w:left w:val="nil"/>
          <w:right w:val="nil"/>
          <w:insideH w:val="nil"/>
          <w:insideV w:val="nil"/>
        </w:tcBorders>
        <w:shd w:val="clear" w:color="auto" w:fill="26C0BC"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semiHidden/>
    <w:unhideWhenUsed/>
    <w:rsid w:val="0090719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5446E"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5446E" w:themeFill="accent4"/>
      </w:tcPr>
    </w:tblStylePr>
    <w:tblStylePr w:type="lastCol">
      <w:rPr>
        <w:b/>
        <w:bCs/>
        <w:color w:val="FFFFFF" w:themeColor="background1"/>
      </w:rPr>
      <w:tblPr/>
      <w:tcPr>
        <w:tcBorders>
          <w:left w:val="nil"/>
          <w:right w:val="nil"/>
          <w:insideH w:val="nil"/>
          <w:insideV w:val="nil"/>
        </w:tcBorders>
        <w:shd w:val="clear" w:color="auto" w:fill="C5446E"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semiHidden/>
    <w:unhideWhenUsed/>
    <w:rsid w:val="0090719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B1F2C"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B1F2C" w:themeFill="accent5"/>
      </w:tcPr>
    </w:tblStylePr>
    <w:tblStylePr w:type="lastCol">
      <w:rPr>
        <w:b/>
        <w:bCs/>
        <w:color w:val="FFFFFF" w:themeColor="background1"/>
      </w:rPr>
      <w:tblPr/>
      <w:tcPr>
        <w:tcBorders>
          <w:left w:val="nil"/>
          <w:right w:val="nil"/>
          <w:insideH w:val="nil"/>
          <w:insideV w:val="nil"/>
        </w:tcBorders>
        <w:shd w:val="clear" w:color="auto" w:fill="0B1F2C"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semiHidden/>
    <w:unhideWhenUsed/>
    <w:rsid w:val="0090719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09090"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09090" w:themeFill="accent6"/>
      </w:tcPr>
    </w:tblStylePr>
    <w:tblStylePr w:type="lastCol">
      <w:rPr>
        <w:b/>
        <w:bCs/>
        <w:color w:val="FFFFFF" w:themeColor="background1"/>
      </w:rPr>
      <w:tblPr/>
      <w:tcPr>
        <w:tcBorders>
          <w:left w:val="nil"/>
          <w:right w:val="nil"/>
          <w:insideH w:val="nil"/>
          <w:insideV w:val="nil"/>
        </w:tcBorders>
        <w:shd w:val="clear" w:color="auto" w:fill="909090"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Mention">
    <w:name w:val="Mention"/>
    <w:basedOn w:val="DefaultParagraphFont"/>
    <w:uiPriority w:val="99"/>
    <w:unhideWhenUsed/>
    <w:rsid w:val="0090719C"/>
    <w:rPr>
      <w:color w:val="2B579A"/>
      <w:shd w:val="clear" w:color="auto" w:fill="E1DFDD"/>
      <w:lang w:val="en-GB"/>
    </w:rPr>
  </w:style>
  <w:style w:type="paragraph" w:styleId="MessageHeader">
    <w:name w:val="Message Header"/>
    <w:basedOn w:val="Normal"/>
    <w:link w:val="MessageHeaderChar"/>
    <w:uiPriority w:val="99"/>
    <w:semiHidden/>
    <w:unhideWhenUsed/>
    <w:rsid w:val="0090719C"/>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90719C"/>
    <w:rPr>
      <w:rFonts w:asciiTheme="majorHAnsi" w:eastAsiaTheme="majorEastAsia" w:hAnsiTheme="majorHAnsi" w:cstheme="majorBidi"/>
      <w:sz w:val="24"/>
      <w:szCs w:val="24"/>
      <w:shd w:val="pct20" w:color="auto" w:fill="auto"/>
      <w:lang w:val="en-GB"/>
    </w:rPr>
  </w:style>
  <w:style w:type="paragraph" w:styleId="NoSpacing">
    <w:name w:val="No Spacing"/>
    <w:uiPriority w:val="1"/>
    <w:semiHidden/>
    <w:qFormat/>
    <w:rsid w:val="0090719C"/>
    <w:rPr>
      <w:rFonts w:ascii="Arial" w:eastAsia="Arial" w:hAnsi="Arial" w:cs="Arial"/>
      <w:lang w:val="en-GB"/>
    </w:rPr>
  </w:style>
  <w:style w:type="paragraph" w:styleId="NormalWeb">
    <w:name w:val="Normal (Web)"/>
    <w:basedOn w:val="Normal"/>
    <w:uiPriority w:val="99"/>
    <w:semiHidden/>
    <w:unhideWhenUsed/>
    <w:rsid w:val="0090719C"/>
    <w:rPr>
      <w:rFonts w:ascii="Times New Roman" w:hAnsi="Times New Roman" w:cs="Times New Roman"/>
      <w:sz w:val="24"/>
      <w:szCs w:val="24"/>
    </w:rPr>
  </w:style>
  <w:style w:type="paragraph" w:styleId="NormalIndent">
    <w:name w:val="Normal Indent"/>
    <w:basedOn w:val="Normal"/>
    <w:uiPriority w:val="99"/>
    <w:semiHidden/>
    <w:unhideWhenUsed/>
    <w:rsid w:val="0090719C"/>
    <w:pPr>
      <w:ind w:left="720"/>
    </w:pPr>
  </w:style>
  <w:style w:type="paragraph" w:styleId="NoteHeading">
    <w:name w:val="Note Heading"/>
    <w:basedOn w:val="Normal"/>
    <w:next w:val="Normal"/>
    <w:link w:val="NoteHeadingChar"/>
    <w:uiPriority w:val="99"/>
    <w:semiHidden/>
    <w:unhideWhenUsed/>
    <w:rsid w:val="0090719C"/>
  </w:style>
  <w:style w:type="character" w:customStyle="1" w:styleId="NoteHeadingChar">
    <w:name w:val="Note Heading Char"/>
    <w:basedOn w:val="DefaultParagraphFont"/>
    <w:link w:val="NoteHeading"/>
    <w:uiPriority w:val="99"/>
    <w:semiHidden/>
    <w:rsid w:val="0090719C"/>
    <w:rPr>
      <w:rFonts w:ascii="Arial" w:eastAsia="Arial" w:hAnsi="Arial" w:cs="Arial"/>
      <w:lang w:val="en-GB"/>
    </w:rPr>
  </w:style>
  <w:style w:type="character" w:styleId="PageNumber">
    <w:name w:val="page number"/>
    <w:basedOn w:val="DefaultParagraphFont"/>
    <w:uiPriority w:val="99"/>
    <w:semiHidden/>
    <w:unhideWhenUsed/>
    <w:rsid w:val="0090719C"/>
    <w:rPr>
      <w:lang w:val="en-GB"/>
    </w:rPr>
  </w:style>
  <w:style w:type="character" w:styleId="PlaceholderText">
    <w:name w:val="Placeholder Text"/>
    <w:basedOn w:val="DefaultParagraphFont"/>
    <w:uiPriority w:val="99"/>
    <w:semiHidden/>
    <w:rsid w:val="0090719C"/>
    <w:rPr>
      <w:color w:val="808080"/>
      <w:lang w:val="en-GB"/>
    </w:rPr>
  </w:style>
  <w:style w:type="table" w:styleId="PlainTable1">
    <w:name w:val="Plain Table 1"/>
    <w:basedOn w:val="TableNormal"/>
    <w:uiPriority w:val="41"/>
    <w:rsid w:val="0090719C"/>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90719C"/>
    <w:tblPr>
      <w:tblStyleRowBandSize w:val="1"/>
      <w:tblStyleColBandSize w:val="1"/>
      <w:tblBorders>
        <w:top w:val="single" w:sz="4" w:space="0" w:color="489AD1" w:themeColor="text1" w:themeTint="80"/>
        <w:bottom w:val="single" w:sz="4" w:space="0" w:color="489AD1" w:themeColor="text1" w:themeTint="80"/>
      </w:tblBorders>
    </w:tblPr>
    <w:tblStylePr w:type="firstRow">
      <w:rPr>
        <w:b/>
        <w:bCs/>
      </w:rPr>
      <w:tblPr/>
      <w:tcPr>
        <w:tcBorders>
          <w:bottom w:val="single" w:sz="4" w:space="0" w:color="489AD1" w:themeColor="text1" w:themeTint="80"/>
        </w:tcBorders>
      </w:tcPr>
    </w:tblStylePr>
    <w:tblStylePr w:type="lastRow">
      <w:rPr>
        <w:b/>
        <w:bCs/>
      </w:rPr>
      <w:tblPr/>
      <w:tcPr>
        <w:tcBorders>
          <w:top w:val="single" w:sz="4" w:space="0" w:color="489AD1" w:themeColor="text1" w:themeTint="80"/>
        </w:tcBorders>
      </w:tcPr>
    </w:tblStylePr>
    <w:tblStylePr w:type="firstCol">
      <w:rPr>
        <w:b/>
        <w:bCs/>
      </w:rPr>
    </w:tblStylePr>
    <w:tblStylePr w:type="lastCol">
      <w:rPr>
        <w:b/>
        <w:bCs/>
      </w:rPr>
    </w:tblStylePr>
    <w:tblStylePr w:type="band1Vert">
      <w:tblPr/>
      <w:tcPr>
        <w:tcBorders>
          <w:left w:val="single" w:sz="4" w:space="0" w:color="489AD1" w:themeColor="text1" w:themeTint="80"/>
          <w:right w:val="single" w:sz="4" w:space="0" w:color="489AD1" w:themeColor="text1" w:themeTint="80"/>
        </w:tcBorders>
      </w:tcPr>
    </w:tblStylePr>
    <w:tblStylePr w:type="band2Vert">
      <w:tblPr/>
      <w:tcPr>
        <w:tcBorders>
          <w:left w:val="single" w:sz="4" w:space="0" w:color="489AD1" w:themeColor="text1" w:themeTint="80"/>
          <w:right w:val="single" w:sz="4" w:space="0" w:color="489AD1" w:themeColor="text1" w:themeTint="80"/>
        </w:tcBorders>
      </w:tcPr>
    </w:tblStylePr>
    <w:tblStylePr w:type="band1Horz">
      <w:tblPr/>
      <w:tcPr>
        <w:tcBorders>
          <w:top w:val="single" w:sz="4" w:space="0" w:color="489AD1" w:themeColor="text1" w:themeTint="80"/>
          <w:bottom w:val="single" w:sz="4" w:space="0" w:color="489AD1" w:themeColor="text1" w:themeTint="80"/>
        </w:tcBorders>
      </w:tcPr>
    </w:tblStylePr>
  </w:style>
  <w:style w:type="table" w:styleId="PlainTable3">
    <w:name w:val="Plain Table 3"/>
    <w:basedOn w:val="TableNormal"/>
    <w:uiPriority w:val="43"/>
    <w:rsid w:val="0090719C"/>
    <w:tblPr>
      <w:tblStyleRowBandSize w:val="1"/>
      <w:tblStyleColBandSize w:val="1"/>
    </w:tblPr>
    <w:tblStylePr w:type="firstRow">
      <w:rPr>
        <w:b/>
        <w:bCs/>
        <w:caps/>
      </w:rPr>
      <w:tblPr/>
      <w:tcPr>
        <w:tcBorders>
          <w:bottom w:val="single" w:sz="4" w:space="0" w:color="489AD1"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489AD1"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90719C"/>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90719C"/>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89AD1"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89AD1"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89AD1"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89AD1"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PlainText">
    <w:name w:val="Plain Text"/>
    <w:basedOn w:val="Normal"/>
    <w:link w:val="PlainTextChar"/>
    <w:uiPriority w:val="99"/>
    <w:semiHidden/>
    <w:unhideWhenUsed/>
    <w:rsid w:val="0090719C"/>
    <w:rPr>
      <w:rFonts w:ascii="Consolas" w:hAnsi="Consolas"/>
      <w:sz w:val="21"/>
      <w:szCs w:val="21"/>
    </w:rPr>
  </w:style>
  <w:style w:type="character" w:customStyle="1" w:styleId="PlainTextChar">
    <w:name w:val="Plain Text Char"/>
    <w:basedOn w:val="DefaultParagraphFont"/>
    <w:link w:val="PlainText"/>
    <w:uiPriority w:val="99"/>
    <w:semiHidden/>
    <w:rsid w:val="0090719C"/>
    <w:rPr>
      <w:rFonts w:ascii="Consolas" w:eastAsia="Arial" w:hAnsi="Consolas" w:cs="Arial"/>
      <w:sz w:val="21"/>
      <w:szCs w:val="21"/>
      <w:lang w:val="en-GB"/>
    </w:rPr>
  </w:style>
  <w:style w:type="paragraph" w:styleId="Quote">
    <w:name w:val="Quote"/>
    <w:basedOn w:val="Normal"/>
    <w:next w:val="Normal"/>
    <w:link w:val="QuoteChar"/>
    <w:uiPriority w:val="29"/>
    <w:semiHidden/>
    <w:qFormat/>
    <w:rsid w:val="0090719C"/>
    <w:pPr>
      <w:spacing w:before="200" w:after="160"/>
      <w:ind w:left="864" w:right="864"/>
      <w:jc w:val="center"/>
    </w:pPr>
    <w:rPr>
      <w:i/>
      <w:iCs/>
      <w:color w:val="215F87" w:themeColor="text1" w:themeTint="BF"/>
    </w:rPr>
  </w:style>
  <w:style w:type="character" w:customStyle="1" w:styleId="QuoteChar">
    <w:name w:val="Quote Char"/>
    <w:basedOn w:val="DefaultParagraphFont"/>
    <w:link w:val="Quote"/>
    <w:uiPriority w:val="29"/>
    <w:semiHidden/>
    <w:rsid w:val="00A6495F"/>
    <w:rPr>
      <w:rFonts w:ascii="Arial" w:eastAsia="Arial" w:hAnsi="Arial" w:cs="Arial"/>
      <w:i/>
      <w:iCs/>
      <w:color w:val="215F87" w:themeColor="text1" w:themeTint="BF"/>
      <w:lang w:val="en-GB"/>
    </w:rPr>
  </w:style>
  <w:style w:type="paragraph" w:styleId="Salutation">
    <w:name w:val="Salutation"/>
    <w:basedOn w:val="Normal"/>
    <w:next w:val="Normal"/>
    <w:link w:val="SalutationChar"/>
    <w:uiPriority w:val="99"/>
    <w:semiHidden/>
    <w:unhideWhenUsed/>
    <w:rsid w:val="0090719C"/>
  </w:style>
  <w:style w:type="character" w:customStyle="1" w:styleId="SalutationChar">
    <w:name w:val="Salutation Char"/>
    <w:basedOn w:val="DefaultParagraphFont"/>
    <w:link w:val="Salutation"/>
    <w:uiPriority w:val="99"/>
    <w:semiHidden/>
    <w:rsid w:val="0090719C"/>
    <w:rPr>
      <w:rFonts w:ascii="Arial" w:eastAsia="Arial" w:hAnsi="Arial" w:cs="Arial"/>
      <w:lang w:val="en-GB"/>
    </w:rPr>
  </w:style>
  <w:style w:type="paragraph" w:styleId="Signature">
    <w:name w:val="Signature"/>
    <w:basedOn w:val="Normal"/>
    <w:link w:val="SignatureChar"/>
    <w:uiPriority w:val="99"/>
    <w:semiHidden/>
    <w:unhideWhenUsed/>
    <w:rsid w:val="0090719C"/>
    <w:pPr>
      <w:ind w:left="4252"/>
    </w:pPr>
  </w:style>
  <w:style w:type="character" w:customStyle="1" w:styleId="SignatureChar">
    <w:name w:val="Signature Char"/>
    <w:basedOn w:val="DefaultParagraphFont"/>
    <w:link w:val="Signature"/>
    <w:uiPriority w:val="99"/>
    <w:semiHidden/>
    <w:rsid w:val="0090719C"/>
    <w:rPr>
      <w:rFonts w:ascii="Arial" w:eastAsia="Arial" w:hAnsi="Arial" w:cs="Arial"/>
      <w:lang w:val="en-GB"/>
    </w:rPr>
  </w:style>
  <w:style w:type="character" w:styleId="SmartHyperlink">
    <w:name w:val="Smart Hyperlink"/>
    <w:basedOn w:val="DefaultParagraphFont"/>
    <w:uiPriority w:val="99"/>
    <w:semiHidden/>
    <w:unhideWhenUsed/>
    <w:rsid w:val="0090719C"/>
    <w:rPr>
      <w:u w:val="dotted"/>
      <w:lang w:val="en-GB"/>
    </w:rPr>
  </w:style>
  <w:style w:type="character" w:styleId="SmartLink">
    <w:name w:val="Smart Link"/>
    <w:basedOn w:val="DefaultParagraphFont"/>
    <w:uiPriority w:val="99"/>
    <w:semiHidden/>
    <w:unhideWhenUsed/>
    <w:rsid w:val="0090719C"/>
    <w:rPr>
      <w:color w:val="0000FF"/>
      <w:u w:val="single"/>
      <w:shd w:val="clear" w:color="auto" w:fill="F3F2F1"/>
      <w:lang w:val="en-GB"/>
    </w:rPr>
  </w:style>
  <w:style w:type="character" w:styleId="Strong">
    <w:name w:val="Strong"/>
    <w:basedOn w:val="DefaultParagraphFont"/>
    <w:uiPriority w:val="22"/>
    <w:semiHidden/>
    <w:qFormat/>
    <w:rsid w:val="0090719C"/>
    <w:rPr>
      <w:b/>
      <w:bCs/>
      <w:lang w:val="en-GB"/>
    </w:rPr>
  </w:style>
  <w:style w:type="character" w:styleId="SubtleEmphasis">
    <w:name w:val="Subtle Emphasis"/>
    <w:basedOn w:val="DefaultParagraphFont"/>
    <w:uiPriority w:val="19"/>
    <w:semiHidden/>
    <w:qFormat/>
    <w:rsid w:val="0090719C"/>
    <w:rPr>
      <w:i/>
      <w:iCs/>
      <w:color w:val="215F87" w:themeColor="text1" w:themeTint="BF"/>
      <w:lang w:val="en-GB"/>
    </w:rPr>
  </w:style>
  <w:style w:type="character" w:styleId="SubtleReference">
    <w:name w:val="Subtle Reference"/>
    <w:basedOn w:val="DefaultParagraphFont"/>
    <w:uiPriority w:val="31"/>
    <w:semiHidden/>
    <w:qFormat/>
    <w:rsid w:val="0090719C"/>
    <w:rPr>
      <w:smallCaps/>
      <w:color w:val="2B79AC" w:themeColor="text1" w:themeTint="A5"/>
      <w:lang w:val="en-GB"/>
    </w:rPr>
  </w:style>
  <w:style w:type="table" w:styleId="Table3Deffects1">
    <w:name w:val="Table 3D effects 1"/>
    <w:basedOn w:val="TableNormal"/>
    <w:uiPriority w:val="99"/>
    <w:semiHidden/>
    <w:unhideWhenUsed/>
    <w:rsid w:val="0090719C"/>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90719C"/>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90719C"/>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rsid w:val="0090719C"/>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90719C"/>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90719C"/>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90719C"/>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urful1">
    <w:name w:val="Table Colorful 1"/>
    <w:basedOn w:val="TableNormal"/>
    <w:uiPriority w:val="99"/>
    <w:semiHidden/>
    <w:unhideWhenUsed/>
    <w:rsid w:val="0090719C"/>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urful2">
    <w:name w:val="Table Colorful 2"/>
    <w:basedOn w:val="TableNormal"/>
    <w:uiPriority w:val="99"/>
    <w:semiHidden/>
    <w:unhideWhenUsed/>
    <w:rsid w:val="0090719C"/>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urful3">
    <w:name w:val="Table Colorful 3"/>
    <w:basedOn w:val="TableNormal"/>
    <w:uiPriority w:val="99"/>
    <w:semiHidden/>
    <w:unhideWhenUsed/>
    <w:rsid w:val="0090719C"/>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rsid w:val="0090719C"/>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90719C"/>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90719C"/>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90719C"/>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90719C"/>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90719C"/>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90719C"/>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uiPriority w:val="59"/>
    <w:rsid w:val="009071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uiPriority w:val="99"/>
    <w:semiHidden/>
    <w:unhideWhenUsed/>
    <w:rsid w:val="0090719C"/>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90719C"/>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90719C"/>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90719C"/>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90719C"/>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90719C"/>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90719C"/>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90719C"/>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Light">
    <w:name w:val="Grid Table Light"/>
    <w:basedOn w:val="TableNormal"/>
    <w:uiPriority w:val="40"/>
    <w:rsid w:val="0090719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List1">
    <w:name w:val="Table List 1"/>
    <w:basedOn w:val="TableNormal"/>
    <w:uiPriority w:val="99"/>
    <w:semiHidden/>
    <w:unhideWhenUsed/>
    <w:rsid w:val="0090719C"/>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rsid w:val="0090719C"/>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90719C"/>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rsid w:val="0090719C"/>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rsid w:val="0090719C"/>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rsid w:val="0090719C"/>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rsid w:val="0090719C"/>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rsid w:val="0090719C"/>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unhideWhenUsed/>
    <w:rsid w:val="0090719C"/>
    <w:pPr>
      <w:ind w:left="220" w:hanging="220"/>
    </w:pPr>
  </w:style>
  <w:style w:type="table" w:styleId="TableProfessional">
    <w:name w:val="Table Professional"/>
    <w:basedOn w:val="TableNormal"/>
    <w:uiPriority w:val="99"/>
    <w:semiHidden/>
    <w:unhideWhenUsed/>
    <w:rsid w:val="0090719C"/>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90719C"/>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90719C"/>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90719C"/>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rsid w:val="0090719C"/>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90719C"/>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rsid w:val="009071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90719C"/>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90719C"/>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90719C"/>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AHeading">
    <w:name w:val="toa heading"/>
    <w:basedOn w:val="Normal"/>
    <w:next w:val="Normal"/>
    <w:uiPriority w:val="99"/>
    <w:semiHidden/>
    <w:unhideWhenUsed/>
    <w:rsid w:val="0090719C"/>
    <w:pPr>
      <w:spacing w:before="120"/>
    </w:pPr>
    <w:rPr>
      <w:rFonts w:asciiTheme="majorHAnsi" w:eastAsiaTheme="majorEastAsia" w:hAnsiTheme="majorHAnsi" w:cstheme="majorBidi"/>
      <w:b/>
      <w:bCs/>
      <w:sz w:val="24"/>
      <w:szCs w:val="24"/>
    </w:rPr>
  </w:style>
  <w:style w:type="paragraph" w:styleId="TOC3">
    <w:name w:val="toc 3"/>
    <w:basedOn w:val="Normal"/>
    <w:next w:val="Normal"/>
    <w:autoRedefine/>
    <w:uiPriority w:val="39"/>
    <w:semiHidden/>
    <w:rsid w:val="0090719C"/>
    <w:pPr>
      <w:spacing w:after="100"/>
      <w:ind w:left="440"/>
    </w:pPr>
  </w:style>
  <w:style w:type="paragraph" w:styleId="TOC4">
    <w:name w:val="toc 4"/>
    <w:basedOn w:val="Normal"/>
    <w:next w:val="Normal"/>
    <w:autoRedefine/>
    <w:uiPriority w:val="39"/>
    <w:semiHidden/>
    <w:rsid w:val="0090719C"/>
    <w:pPr>
      <w:spacing w:after="100"/>
      <w:ind w:left="660"/>
    </w:pPr>
  </w:style>
  <w:style w:type="paragraph" w:styleId="TOC5">
    <w:name w:val="toc 5"/>
    <w:basedOn w:val="Normal"/>
    <w:next w:val="Normal"/>
    <w:autoRedefine/>
    <w:uiPriority w:val="39"/>
    <w:semiHidden/>
    <w:rsid w:val="0090719C"/>
    <w:pPr>
      <w:spacing w:after="100"/>
      <w:ind w:left="880"/>
    </w:pPr>
  </w:style>
  <w:style w:type="paragraph" w:styleId="TOC6">
    <w:name w:val="toc 6"/>
    <w:basedOn w:val="Normal"/>
    <w:next w:val="Normal"/>
    <w:autoRedefine/>
    <w:uiPriority w:val="39"/>
    <w:semiHidden/>
    <w:rsid w:val="0090719C"/>
    <w:pPr>
      <w:spacing w:after="100"/>
      <w:ind w:left="1100"/>
    </w:pPr>
  </w:style>
  <w:style w:type="paragraph" w:styleId="TOC7">
    <w:name w:val="toc 7"/>
    <w:basedOn w:val="Normal"/>
    <w:next w:val="Normal"/>
    <w:autoRedefine/>
    <w:uiPriority w:val="39"/>
    <w:semiHidden/>
    <w:rsid w:val="0090719C"/>
    <w:pPr>
      <w:spacing w:after="100"/>
      <w:ind w:left="1320"/>
    </w:pPr>
  </w:style>
  <w:style w:type="paragraph" w:styleId="TOC8">
    <w:name w:val="toc 8"/>
    <w:basedOn w:val="Normal"/>
    <w:next w:val="Normal"/>
    <w:autoRedefine/>
    <w:uiPriority w:val="39"/>
    <w:semiHidden/>
    <w:rsid w:val="0090719C"/>
    <w:pPr>
      <w:spacing w:after="100"/>
      <w:ind w:left="1540"/>
    </w:pPr>
  </w:style>
  <w:style w:type="paragraph" w:styleId="TOC9">
    <w:name w:val="toc 9"/>
    <w:basedOn w:val="Normal"/>
    <w:next w:val="Normal"/>
    <w:autoRedefine/>
    <w:uiPriority w:val="39"/>
    <w:semiHidden/>
    <w:rsid w:val="0090719C"/>
    <w:pPr>
      <w:spacing w:after="100"/>
      <w:ind w:left="1760"/>
    </w:pPr>
  </w:style>
  <w:style w:type="paragraph" w:styleId="TOCHeading">
    <w:name w:val="TOC Heading"/>
    <w:basedOn w:val="Heading1"/>
    <w:next w:val="Normal"/>
    <w:uiPriority w:val="39"/>
    <w:semiHidden/>
    <w:unhideWhenUsed/>
    <w:qFormat/>
    <w:rsid w:val="0090719C"/>
    <w:pPr>
      <w:keepNext/>
      <w:keepLines/>
      <w:spacing w:before="240"/>
      <w:ind w:left="0" w:firstLine="0"/>
      <w:outlineLvl w:val="9"/>
    </w:pPr>
    <w:rPr>
      <w:rFonts w:asciiTheme="majorHAnsi" w:eastAsiaTheme="majorEastAsia" w:hAnsiTheme="majorHAnsi" w:cstheme="majorBidi"/>
      <w:color w:val="0076AA" w:themeColor="accent1" w:themeShade="BF"/>
      <w:sz w:val="32"/>
      <w:szCs w:val="32"/>
    </w:rPr>
  </w:style>
  <w:style w:type="character" w:styleId="UnresolvedMention">
    <w:name w:val="Unresolved Mention"/>
    <w:basedOn w:val="DefaultParagraphFont"/>
    <w:uiPriority w:val="99"/>
    <w:semiHidden/>
    <w:unhideWhenUsed/>
    <w:rsid w:val="0090719C"/>
    <w:rPr>
      <w:color w:val="605E5C"/>
      <w:shd w:val="clear" w:color="auto" w:fill="E1DFDD"/>
      <w:lang w:val="en-GB"/>
    </w:rPr>
  </w:style>
  <w:style w:type="paragraph" w:customStyle="1" w:styleId="SubheadingNon-Numbered">
    <w:name w:val="Subheading (Non-Numbered)"/>
    <w:next w:val="BodyText"/>
    <w:uiPriority w:val="9"/>
    <w:qFormat/>
    <w:rsid w:val="001378F7"/>
    <w:pPr>
      <w:spacing w:before="360" w:after="200"/>
    </w:pPr>
    <w:rPr>
      <w:rFonts w:ascii="Kaleko105Round-Book" w:eastAsia="Kaleko105Round-Book" w:hAnsi="Kaleko105Round-Book" w:cs="Kaleko105Round-Book"/>
      <w:color w:val="009FE3" w:themeColor="accent1"/>
      <w:szCs w:val="32"/>
      <w:lang w:val="en-GB"/>
    </w:rPr>
  </w:style>
  <w:style w:type="numbering" w:customStyle="1" w:styleId="CEAppendixNumberedHeadings">
    <w:name w:val="CE Appendix Numbered Headings"/>
    <w:uiPriority w:val="99"/>
    <w:rsid w:val="00D445A8"/>
    <w:pPr>
      <w:numPr>
        <w:numId w:val="18"/>
      </w:numPr>
    </w:pPr>
  </w:style>
  <w:style w:type="paragraph" w:customStyle="1" w:styleId="Tableheadingwhite">
    <w:name w:val="Table heading white"/>
    <w:basedOn w:val="TableParagraph"/>
    <w:uiPriority w:val="11"/>
    <w:qFormat/>
    <w:rsid w:val="00BB419B"/>
    <w:pPr>
      <w:spacing w:before="139"/>
      <w:ind w:left="50"/>
    </w:pPr>
    <w:rPr>
      <w:rFonts w:ascii="Kaleko105Round-Book"/>
      <w:color w:val="FFFFFF"/>
      <w:spacing w:val="-4"/>
      <w:sz w:val="16"/>
    </w:rPr>
  </w:style>
  <w:style w:type="paragraph" w:customStyle="1" w:styleId="Tableheadingblue">
    <w:name w:val="Table heading blue"/>
    <w:basedOn w:val="Tableheadingwhite"/>
    <w:uiPriority w:val="11"/>
    <w:qFormat/>
    <w:rsid w:val="001378F7"/>
    <w:pPr>
      <w:spacing w:before="5"/>
    </w:pPr>
    <w:rPr>
      <w:color w:val="009FE3" w:themeColor="accent1"/>
    </w:rPr>
  </w:style>
  <w:style w:type="paragraph" w:customStyle="1" w:styleId="Tablebodytext">
    <w:name w:val="Table body text"/>
    <w:basedOn w:val="TableParagraph"/>
    <w:uiPriority w:val="11"/>
    <w:qFormat/>
    <w:rsid w:val="003266B3"/>
    <w:pPr>
      <w:ind w:left="913" w:right="850"/>
      <w:jc w:val="center"/>
    </w:pPr>
    <w:rPr>
      <w:spacing w:val="-5"/>
      <w:sz w:val="16"/>
    </w:rPr>
  </w:style>
  <w:style w:type="paragraph" w:customStyle="1" w:styleId="Source">
    <w:name w:val="Source"/>
    <w:basedOn w:val="Normal"/>
    <w:uiPriority w:val="21"/>
    <w:qFormat/>
    <w:rsid w:val="00C65A9A"/>
    <w:pPr>
      <w:spacing w:before="180" w:line="220" w:lineRule="atLeast"/>
    </w:pPr>
    <w:rPr>
      <w:color w:val="0B1F2C"/>
      <w:sz w:val="14"/>
    </w:rPr>
  </w:style>
  <w:style w:type="paragraph" w:customStyle="1" w:styleId="Heading2Non-Numbered">
    <w:name w:val="Heading 2 (Non-Numbered)"/>
    <w:next w:val="BodyText"/>
    <w:uiPriority w:val="9"/>
    <w:semiHidden/>
    <w:qFormat/>
    <w:rsid w:val="007A4E63"/>
    <w:pPr>
      <w:spacing w:before="400"/>
    </w:pPr>
    <w:rPr>
      <w:rFonts w:ascii="Kaleko 105 Round" w:eastAsia="Kaleko105Round-Book" w:hAnsi="Kaleko 105 Round" w:cs="Kaleko105Round-Book"/>
      <w:color w:val="009FE3" w:themeColor="accent1"/>
      <w:sz w:val="32"/>
      <w:szCs w:val="50"/>
      <w:lang w:val="en-GB"/>
    </w:rPr>
  </w:style>
  <w:style w:type="paragraph" w:customStyle="1" w:styleId="SubheadingHeading3">
    <w:name w:val="Subheading  (Heading 3)"/>
    <w:basedOn w:val="Normal"/>
    <w:next w:val="BodyText"/>
    <w:uiPriority w:val="9"/>
    <w:rsid w:val="0025113B"/>
    <w:pPr>
      <w:ind w:left="720" w:hanging="720"/>
    </w:pPr>
    <w:rPr>
      <w:rFonts w:asciiTheme="majorHAnsi" w:hAnsiTheme="majorHAnsi"/>
      <w:color w:val="009FE3" w:themeColor="accent1"/>
    </w:rPr>
  </w:style>
  <w:style w:type="paragraph" w:customStyle="1" w:styleId="BodyTextBeforeLists">
    <w:name w:val="Body Text Before Lists"/>
    <w:basedOn w:val="BodyText"/>
    <w:uiPriority w:val="1"/>
    <w:qFormat/>
    <w:rsid w:val="00C65A9A"/>
    <w:pPr>
      <w:spacing w:after="120"/>
    </w:pPr>
    <w:rPr>
      <w:spacing w:val="-2"/>
    </w:rPr>
  </w:style>
  <w:style w:type="paragraph" w:customStyle="1" w:styleId="ListBulletLast">
    <w:name w:val="List Bullet (Last)"/>
    <w:basedOn w:val="ListBullet"/>
    <w:uiPriority w:val="19"/>
    <w:qFormat/>
    <w:rsid w:val="00C65A9A"/>
    <w:pPr>
      <w:spacing w:after="360"/>
    </w:pPr>
  </w:style>
  <w:style w:type="paragraph" w:customStyle="1" w:styleId="Equation">
    <w:name w:val="Equation"/>
    <w:basedOn w:val="Normal"/>
    <w:uiPriority w:val="29"/>
    <w:semiHidden/>
    <w:rsid w:val="008234D0"/>
    <w:pPr>
      <w:widowControl/>
      <w:tabs>
        <w:tab w:val="right" w:pos="7513"/>
      </w:tabs>
      <w:autoSpaceDE/>
      <w:autoSpaceDN/>
      <w:spacing w:after="120" w:line="240" w:lineRule="auto"/>
    </w:pPr>
    <w:rPr>
      <w:rFonts w:ascii="Arial" w:eastAsia="Times New Roman" w:hAnsi="Arial" w:cs="Arial"/>
      <w:i/>
      <w:szCs w:val="24"/>
      <w:lang w:val="nl-NL"/>
    </w:rPr>
  </w:style>
  <w:style w:type="paragraph" w:customStyle="1" w:styleId="AppendicesMainHeading">
    <w:name w:val="Appendices Main Heading"/>
    <w:basedOn w:val="Heading1"/>
    <w:uiPriority w:val="39"/>
    <w:qFormat/>
    <w:rsid w:val="001378F7"/>
    <w:pPr>
      <w:ind w:left="0" w:firstLine="0"/>
    </w:pPr>
  </w:style>
  <w:style w:type="table" w:customStyle="1" w:styleId="CETableNumbers">
    <w:name w:val="CE Table Numbers"/>
    <w:basedOn w:val="TableNormal"/>
    <w:uiPriority w:val="99"/>
    <w:rsid w:val="00BE2A31"/>
    <w:pPr>
      <w:widowControl/>
      <w:autoSpaceDE/>
      <w:autoSpaceDN/>
      <w:spacing w:before="60" w:after="60" w:line="160" w:lineRule="atLeast"/>
      <w:jc w:val="center"/>
    </w:pPr>
    <w:rPr>
      <w:sz w:val="16"/>
      <w:szCs w:val="20"/>
    </w:rPr>
    <w:tblPr>
      <w:tblStyleRowBandSize w:val="1"/>
      <w:tblStyleColBandSize w:val="1"/>
      <w:tblBorders>
        <w:bottom w:val="single" w:sz="2" w:space="0" w:color="C5446E" w:themeColor="accent4"/>
        <w:right w:val="single" w:sz="2" w:space="0" w:color="C5446E" w:themeColor="accent4"/>
      </w:tblBorders>
    </w:tblPr>
    <w:tcPr>
      <w:vAlign w:val="center"/>
    </w:tcPr>
    <w:tblStylePr w:type="firstRow">
      <w:rPr>
        <w:rFonts w:asciiTheme="majorHAnsi" w:hAnsiTheme="majorHAnsi"/>
        <w:sz w:val="16"/>
      </w:rPr>
      <w:tblPr/>
      <w:tcPr>
        <w:tcBorders>
          <w:top w:val="nil"/>
          <w:left w:val="nil"/>
          <w:bottom w:val="nil"/>
          <w:right w:val="nil"/>
          <w:insideH w:val="nil"/>
          <w:insideV w:val="single" w:sz="4" w:space="0" w:color="FFFFFF" w:themeColor="background1"/>
          <w:tl2br w:val="nil"/>
          <w:tr2bl w:val="nil"/>
        </w:tcBorders>
        <w:shd w:val="clear" w:color="auto" w:fill="0B1F2C" w:themeFill="text1"/>
      </w:tcPr>
    </w:tblStylePr>
    <w:tblStylePr w:type="lastRow">
      <w:tblPr/>
      <w:tcPr>
        <w:tcBorders>
          <w:top w:val="nil"/>
          <w:left w:val="nil"/>
          <w:bottom w:val="single" w:sz="2" w:space="0" w:color="C5446E" w:themeColor="accent4"/>
          <w:right w:val="single" w:sz="2" w:space="0" w:color="C5446E" w:themeColor="accent4"/>
          <w:insideH w:val="nil"/>
          <w:insideV w:val="single" w:sz="2" w:space="0" w:color="C5446E" w:themeColor="accent4"/>
          <w:tl2br w:val="nil"/>
          <w:tr2bl w:val="nil"/>
        </w:tcBorders>
      </w:tcPr>
    </w:tblStylePr>
    <w:tblStylePr w:type="firstCol">
      <w:tblPr/>
      <w:tcPr>
        <w:shd w:val="clear" w:color="auto" w:fill="0B1F2C" w:themeFill="text1"/>
      </w:tcPr>
    </w:tblStylePr>
    <w:tblStylePr w:type="lastCol">
      <w:tblPr/>
      <w:tcPr>
        <w:tcBorders>
          <w:top w:val="nil"/>
          <w:left w:val="nil"/>
          <w:bottom w:val="single" w:sz="2" w:space="0" w:color="C5446E" w:themeColor="accent4"/>
          <w:right w:val="single" w:sz="2" w:space="0" w:color="C5446E" w:themeColor="accent4"/>
          <w:insideH w:val="nil"/>
          <w:insideV w:val="nil"/>
          <w:tl2br w:val="nil"/>
          <w:tr2bl w:val="nil"/>
        </w:tcBorders>
      </w:tcPr>
    </w:tblStylePr>
    <w:tblStylePr w:type="band1Vert">
      <w:tblPr/>
      <w:tcPr>
        <w:tcBorders>
          <w:top w:val="nil"/>
          <w:left w:val="nil"/>
          <w:bottom w:val="single" w:sz="2" w:space="0" w:color="C5446E" w:themeColor="accent4"/>
          <w:right w:val="single" w:sz="2" w:space="0" w:color="C5446E" w:themeColor="accent4"/>
          <w:insideH w:val="nil"/>
          <w:insideV w:val="nil"/>
          <w:tl2br w:val="nil"/>
          <w:tr2bl w:val="nil"/>
        </w:tcBorders>
      </w:tcPr>
    </w:tblStylePr>
    <w:tblStylePr w:type="band2Vert">
      <w:tblPr/>
      <w:tcPr>
        <w:tcBorders>
          <w:top w:val="nil"/>
          <w:left w:val="nil"/>
          <w:bottom w:val="single" w:sz="2" w:space="0" w:color="C5446E" w:themeColor="accent4"/>
          <w:right w:val="single" w:sz="2" w:space="0" w:color="C5446E" w:themeColor="accent4"/>
          <w:insideH w:val="nil"/>
          <w:insideV w:val="nil"/>
          <w:tl2br w:val="nil"/>
          <w:tr2bl w:val="nil"/>
        </w:tcBorders>
      </w:tcPr>
    </w:tblStylePr>
    <w:tblStylePr w:type="band2Horz">
      <w:tblPr/>
      <w:tcPr>
        <w:shd w:val="clear" w:color="auto" w:fill="FBE9EF"/>
      </w:tcPr>
    </w:tblStylePr>
    <w:tblStylePr w:type="nwCell">
      <w:tblPr/>
      <w:tcPr>
        <w:shd w:val="clear" w:color="auto" w:fill="FFFFFF" w:themeFill="background1"/>
      </w:tcPr>
    </w:tblStylePr>
    <w:tblStylePr w:type="seCell">
      <w:tblPr/>
      <w:tcPr>
        <w:tcBorders>
          <w:top w:val="nil"/>
          <w:left w:val="nil"/>
          <w:bottom w:val="single" w:sz="2" w:space="0" w:color="C5446E" w:themeColor="accent4"/>
          <w:right w:val="single" w:sz="2" w:space="0" w:color="C5446E" w:themeColor="accent4"/>
          <w:insideH w:val="nil"/>
          <w:insideV w:val="nil"/>
          <w:tl2br w:val="nil"/>
          <w:tr2bl w:val="nil"/>
        </w:tcBorders>
      </w:tcPr>
    </w:tblStylePr>
  </w:style>
  <w:style w:type="paragraph" w:customStyle="1" w:styleId="LargeStatFigures">
    <w:name w:val="Large Stat Figures"/>
    <w:basedOn w:val="Normal"/>
    <w:qFormat/>
    <w:rsid w:val="001D3389"/>
    <w:pPr>
      <w:spacing w:after="0"/>
    </w:pPr>
    <w:rPr>
      <w:rFonts w:ascii="Kaleko 105 Round"/>
      <w:b/>
      <w:color w:val="0B1F2C"/>
      <w:spacing w:val="-5"/>
      <w:sz w:val="100"/>
    </w:rPr>
  </w:style>
  <w:style w:type="table" w:customStyle="1" w:styleId="CETableText">
    <w:name w:val="CE Table Text"/>
    <w:basedOn w:val="TableNormal"/>
    <w:uiPriority w:val="99"/>
    <w:rsid w:val="00284D1A"/>
    <w:pPr>
      <w:widowControl/>
      <w:autoSpaceDE/>
      <w:autoSpaceDN/>
      <w:spacing w:before="120" w:after="120" w:line="240" w:lineRule="auto"/>
    </w:pPr>
    <w:rPr>
      <w:sz w:val="16"/>
    </w:rPr>
    <w:tblPr>
      <w:tblStyleRowBandSize w:val="1"/>
      <w:tblBorders>
        <w:left w:val="single" w:sz="2" w:space="0" w:color="C5446E" w:themeColor="accent4"/>
        <w:bottom w:val="single" w:sz="2" w:space="0" w:color="C5446E" w:themeColor="accent4"/>
        <w:right w:val="single" w:sz="2" w:space="0" w:color="C5446E" w:themeColor="accent4"/>
        <w:insideV w:val="single" w:sz="2" w:space="0" w:color="C5446E" w:themeColor="accent4"/>
      </w:tblBorders>
    </w:tblPr>
    <w:tcPr>
      <w:vAlign w:val="center"/>
    </w:tcPr>
    <w:tblStylePr w:type="firstRow">
      <w:rPr>
        <w:rFonts w:asciiTheme="majorHAnsi" w:hAnsiTheme="majorHAnsi"/>
        <w:color w:val="FFFFFF" w:themeColor="background1"/>
      </w:rPr>
      <w:tblPr/>
      <w:tcPr>
        <w:tcBorders>
          <w:top w:val="nil"/>
          <w:left w:val="nil"/>
          <w:bottom w:val="nil"/>
          <w:right w:val="nil"/>
          <w:insideH w:val="nil"/>
          <w:insideV w:val="nil"/>
          <w:tl2br w:val="nil"/>
          <w:tr2bl w:val="nil"/>
        </w:tcBorders>
        <w:shd w:val="clear" w:color="auto" w:fill="0B1F2C" w:themeFill="text1"/>
      </w:tcPr>
    </w:tblStylePr>
    <w:tblStylePr w:type="band2Horz">
      <w:tblPr/>
      <w:tcPr>
        <w:shd w:val="clear" w:color="auto" w:fill="FBE9EF"/>
      </w:tcPr>
    </w:tblStylePr>
  </w:style>
  <w:style w:type="paragraph" w:customStyle="1" w:styleId="FooterWhite">
    <w:name w:val="Footer (White)"/>
    <w:basedOn w:val="Footer"/>
    <w:uiPriority w:val="99"/>
    <w:qFormat/>
    <w:rsid w:val="00033369"/>
    <w:pPr>
      <w:framePr w:wrap="around" w:vAnchor="page" w:hAnchor="text" w:y="15888"/>
      <w:suppressOverlap/>
    </w:pPr>
    <w:rPr>
      <w:noProof/>
      <w:color w:val="FFFFFF" w:themeColor="background1"/>
    </w:rPr>
  </w:style>
  <w:style w:type="paragraph" w:customStyle="1" w:styleId="HeaderWhite">
    <w:name w:val="Header (White)"/>
    <w:basedOn w:val="Header"/>
    <w:uiPriority w:val="99"/>
    <w:qFormat/>
    <w:rsid w:val="00033369"/>
    <w:rPr>
      <w:color w:val="FFFFFF" w:themeColor="background1"/>
    </w:rPr>
  </w:style>
  <w:style w:type="paragraph" w:customStyle="1" w:styleId="StandardHeading16ptBlack">
    <w:name w:val="Standard Heading 16pt (Black)"/>
    <w:basedOn w:val="StandardHeadingBlack"/>
    <w:uiPriority w:val="39"/>
    <w:qFormat/>
    <w:rsid w:val="008B6F71"/>
    <w:pPr>
      <w:spacing w:before="0" w:after="120"/>
    </w:pPr>
    <w:rPr>
      <w:sz w:val="32"/>
      <w:szCs w:val="32"/>
    </w:rPr>
  </w:style>
  <w:style w:type="numbering" w:customStyle="1" w:styleId="CEListNumber">
    <w:name w:val="CE List Number"/>
    <w:uiPriority w:val="99"/>
    <w:rsid w:val="00E2705A"/>
    <w:pPr>
      <w:numPr>
        <w:numId w:val="28"/>
      </w:numPr>
    </w:pPr>
  </w:style>
  <w:style w:type="paragraph" w:styleId="Revision">
    <w:name w:val="Revision"/>
    <w:hidden/>
    <w:uiPriority w:val="99"/>
    <w:semiHidden/>
    <w:rsid w:val="007D7AD3"/>
    <w:pPr>
      <w:widowControl/>
      <w:autoSpaceDE/>
      <w:autoSpaceDN/>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37082316">
      <w:bodyDiv w:val="1"/>
      <w:marLeft w:val="0"/>
      <w:marRight w:val="0"/>
      <w:marTop w:val="0"/>
      <w:marBottom w:val="0"/>
      <w:divBdr>
        <w:top w:val="none" w:sz="0" w:space="0" w:color="auto"/>
        <w:left w:val="none" w:sz="0" w:space="0" w:color="auto"/>
        <w:bottom w:val="none" w:sz="0" w:space="0" w:color="auto"/>
        <w:right w:val="none" w:sz="0" w:space="0" w:color="auto"/>
      </w:divBdr>
    </w:div>
    <w:div w:id="1205674330">
      <w:bodyDiv w:val="1"/>
      <w:marLeft w:val="0"/>
      <w:marRight w:val="0"/>
      <w:marTop w:val="0"/>
      <w:marBottom w:val="0"/>
      <w:divBdr>
        <w:top w:val="none" w:sz="0" w:space="0" w:color="auto"/>
        <w:left w:val="none" w:sz="0" w:space="0" w:color="auto"/>
        <w:bottom w:val="none" w:sz="0" w:space="0" w:color="auto"/>
        <w:right w:val="none" w:sz="0" w:space="0" w:color="auto"/>
      </w:divBdr>
    </w:div>
    <w:div w:id="2068258067">
      <w:bodyDiv w:val="1"/>
      <w:marLeft w:val="0"/>
      <w:marRight w:val="0"/>
      <w:marTop w:val="0"/>
      <w:marBottom w:val="0"/>
      <w:divBdr>
        <w:top w:val="none" w:sz="0" w:space="0" w:color="auto"/>
        <w:left w:val="none" w:sz="0" w:space="0" w:color="auto"/>
        <w:bottom w:val="none" w:sz="0" w:space="0" w:color="auto"/>
        <w:right w:val="none" w:sz="0" w:space="0" w:color="auto"/>
      </w:divBdr>
    </w:div>
    <w:div w:id="213112602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hyperlink" Target="mailto:alb@camecon.com" TargetMode="External"/><Relationship Id="rId21" Type="http://schemas.openxmlformats.org/officeDocument/2006/relationships/hyperlink" Target="mailto:od@camecon.com" TargetMode="External"/><Relationship Id="rId34" Type="http://schemas.openxmlformats.org/officeDocument/2006/relationships/image" Target="media/image9.png"/><Relationship Id="rId42" Type="http://schemas.openxmlformats.org/officeDocument/2006/relationships/image" Target="media/image17.png"/><Relationship Id="rId47" Type="http://schemas.openxmlformats.org/officeDocument/2006/relationships/hyperlink" Target="https://www.gov.uk/government/publications/industrial-decarbonisation-strategy/industrial-decarbonisation-strategy-accessible-webpage" TargetMode="External"/><Relationship Id="rId50" Type="http://schemas.openxmlformats.org/officeDocument/2006/relationships/hyperlink" Target="https://www.theccc.org.uk/publication/sixth-carbon-budget/" TargetMode="External"/><Relationship Id="rId55" Type="http://schemas.openxmlformats.org/officeDocument/2006/relationships/hyperlink" Target="https://www.e3g.org/wp-content/uploads/Net-zero-investment-gap-22.10.26-Final-STC.pdf" TargetMode="External"/><Relationship Id="rId63" Type="http://schemas.openxmlformats.org/officeDocument/2006/relationships/hyperlink" Target="https://www.ukib.org.uk/sites/default/files/2022-11/Natural-capital-discussion-paper.pdf" TargetMode="External"/><Relationship Id="rId68"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mailto:jd@camecon.com" TargetMode="External"/><Relationship Id="rId29" Type="http://schemas.openxmlformats.org/officeDocument/2006/relationships/header" Target="header1.xml"/><Relationship Id="rId11" Type="http://schemas.openxmlformats.org/officeDocument/2006/relationships/image" Target="media/image4.png"/><Relationship Id="rId32" Type="http://schemas.openxmlformats.org/officeDocument/2006/relationships/footer" Target="footer2.xml"/><Relationship Id="rId37" Type="http://schemas.openxmlformats.org/officeDocument/2006/relationships/image" Target="media/image15.png"/><Relationship Id="rId40" Type="http://schemas.openxmlformats.org/officeDocument/2006/relationships/image" Target="media/image12.png"/><Relationship Id="rId45" Type="http://schemas.openxmlformats.org/officeDocument/2006/relationships/image" Target="media/image19.png"/><Relationship Id="rId53" Type="http://schemas.openxmlformats.org/officeDocument/2006/relationships/hyperlink" Target="https://www.nea.org.uk/wp-content/uploads/2020/12/EEIG_NET-ZERO_LITMUS_TEST_2019.pdf" TargetMode="External"/><Relationship Id="rId58" Type="http://schemas.openxmlformats.org/officeDocument/2006/relationships/hyperlink" Target="https://assets.publishing.service.gov.uk/media/613e4d03d3bf7f05b166a595/Analysis_of_the_National_Infrastructure_and_Construction_Pipeline_2021.pdf" TargetMode="External"/><Relationship Id="rId66" Type="http://schemas.openxmlformats.org/officeDocument/2006/relationships/footer" Target="footer3.xml"/><Relationship Id="rId5" Type="http://schemas.openxmlformats.org/officeDocument/2006/relationships/webSettings" Target="webSettings.xml"/><Relationship Id="rId61" Type="http://schemas.openxmlformats.org/officeDocument/2006/relationships/hyperlink" Target="https://www.unep.org/resources/state-finance-nature-2023" TargetMode="External"/><Relationship Id="rId19" Type="http://schemas.openxmlformats.org/officeDocument/2006/relationships/hyperlink" Target="mailto:od@camecon.com" TargetMode="External"/><Relationship Id="rId14" Type="http://schemas.openxmlformats.org/officeDocument/2006/relationships/image" Target="media/image7.png"/><Relationship Id="rId22" Type="http://schemas.openxmlformats.org/officeDocument/2006/relationships/hyperlink" Target="mailto:yr@camecon.com" TargetMode="External"/><Relationship Id="rId27" Type="http://schemas.openxmlformats.org/officeDocument/2006/relationships/hyperlink" Target="mailto:alb@camecon.com" TargetMode="External"/><Relationship Id="rId30" Type="http://schemas.openxmlformats.org/officeDocument/2006/relationships/footer" Target="footer1.xml"/><Relationship Id="rId35" Type="http://schemas.openxmlformats.org/officeDocument/2006/relationships/image" Target="media/image10.png"/><Relationship Id="rId43" Type="http://schemas.openxmlformats.org/officeDocument/2006/relationships/chart" Target="charts/chart1.xml"/><Relationship Id="rId48" Type="http://schemas.openxmlformats.org/officeDocument/2006/relationships/hyperlink" Target="https://transportforthenorth.com/wp-content/uploads/Economic-Scenarios-for-the-NPIER-Final-Report-for-Publishing.pdf" TargetMode="External"/><Relationship Id="rId56" Type="http://schemas.openxmlformats.org/officeDocument/2006/relationships/hyperlink" Target="https://researchbriefings.files.parliament.uk/documents/CDP-2023-0096/CDP-2023-0096.pdf" TargetMode="External"/><Relationship Id="rId64" Type="http://schemas.openxmlformats.org/officeDocument/2006/relationships/hyperlink" Target="https://ppi.worldbank.org/content/dam/PPI/documents/SPIReport_2017_small_interactive.pdf" TargetMode="External"/><Relationship Id="rId8" Type="http://schemas.openxmlformats.org/officeDocument/2006/relationships/image" Target="media/image1.png"/><Relationship Id="rId51" Type="http://schemas.openxmlformats.org/officeDocument/2006/relationships/hyperlink" Target="https://www.climatepolicyinitiative.org/wp-content/uploads/2023/11/Global-Landscape-of-Climate-Finance-2023.pdf" TargetMode="External"/><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hyperlink" Target="mailto:alb@camecon.com" TargetMode="External"/><Relationship Id="rId33" Type="http://schemas.openxmlformats.org/officeDocument/2006/relationships/image" Target="media/image8.png"/><Relationship Id="rId38" Type="http://schemas.openxmlformats.org/officeDocument/2006/relationships/image" Target="media/image16.png"/><Relationship Id="rId46" Type="http://schemas.openxmlformats.org/officeDocument/2006/relationships/image" Target="media/image20.png"/><Relationship Id="rId59" Type="http://schemas.openxmlformats.org/officeDocument/2006/relationships/hyperlink" Target="https://www.irena.org/Digital-content/Digital-Story/2023/Mar/Scaling-up-energy-transition-investments-to-meet-the-1-point-5-degrees-celsius-goal/detail" TargetMode="External"/><Relationship Id="rId67" Type="http://schemas.openxmlformats.org/officeDocument/2006/relationships/fontTable" Target="fontTable.xml"/><Relationship Id="rId20" Type="http://schemas.openxmlformats.org/officeDocument/2006/relationships/hyperlink" Target="mailto:yr@camecon.com" TargetMode="External"/><Relationship Id="rId41" Type="http://schemas.openxmlformats.org/officeDocument/2006/relationships/image" Target="media/image13.png"/><Relationship Id="rId54" Type="http://schemas.openxmlformats.org/officeDocument/2006/relationships/hyperlink" Target="https://www.energy-uk.org.uk/wp-content/uploads/2023/07/Clean-Growth-Gap-How-low-carbon-energy-investment-can-transform-the-UK.pdf" TargetMode="External"/><Relationship Id="rId62" Type="http://schemas.openxmlformats.org/officeDocument/2006/relationships/hyperlink" Target="https://www.gfanzero.com/netzerofinancing/"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mailto:alb@camecon.com" TargetMode="External"/><Relationship Id="rId23" Type="http://schemas.openxmlformats.org/officeDocument/2006/relationships/hyperlink" Target="mailto:alb@camecon.com" TargetMode="External"/><Relationship Id="rId28" Type="http://schemas.openxmlformats.org/officeDocument/2006/relationships/hyperlink" Target="mailto:alb@camecon.com" TargetMode="External"/><Relationship Id="rId36" Type="http://schemas.openxmlformats.org/officeDocument/2006/relationships/image" Target="media/image14.png"/><Relationship Id="rId49" Type="http://schemas.openxmlformats.org/officeDocument/2006/relationships/hyperlink" Target="https://www.theccc.org.uk/uk-action-on-climate-change/progress-snapshot/" TargetMode="External"/><Relationship Id="rId57" Type="http://schemas.openxmlformats.org/officeDocument/2006/relationships/hyperlink" Target="https://iea.blob.core.windows.net/assets/a48fd497-d479-4d21-8d76-10619ce0a982/ScalingupPrivateFinanceforCleanEnergyinEmergingandDevelopingEconomies.pdf" TargetMode="External"/><Relationship Id="rId10" Type="http://schemas.openxmlformats.org/officeDocument/2006/relationships/image" Target="media/image3.png"/><Relationship Id="rId31" Type="http://schemas.openxmlformats.org/officeDocument/2006/relationships/header" Target="header2.xml"/><Relationship Id="rId44" Type="http://schemas.openxmlformats.org/officeDocument/2006/relationships/image" Target="media/image18.png"/><Relationship Id="rId52" Type="http://schemas.openxmlformats.org/officeDocument/2006/relationships/hyperlink" Target="https://www.gov.uk/government/publications/net-zero-strategy" TargetMode="External"/><Relationship Id="rId60" Type="http://schemas.openxmlformats.org/officeDocument/2006/relationships/hyperlink" Target="https://www.theccc.org.uk/wp-content/uploads/2020/12/Sector-summary-Agriculture-land-use-land-use-change-forestry.pdf" TargetMode="External"/><Relationship Id="rId65" Type="http://schemas.openxmlformats.org/officeDocument/2006/relationships/header" Target="header3.xml"/><Relationship Id="rId4" Type="http://schemas.openxmlformats.org/officeDocument/2006/relationships/settings" Target="settings.xml"/><Relationship Id="rId9" Type="http://schemas.openxmlformats.org/officeDocument/2006/relationships/image" Target="media/image2.png"/><Relationship Id="rId13" Type="http://schemas.openxmlformats.org/officeDocument/2006/relationships/image" Target="media/image6.png"/><Relationship Id="rId18" Type="http://schemas.openxmlformats.org/officeDocument/2006/relationships/hyperlink" Target="mailto:jd@camecon.com" TargetMode="External"/><Relationship Id="rId39" Type="http://schemas.openxmlformats.org/officeDocument/2006/relationships/image" Target="media/image11.png"/></Relationships>
</file>

<file path=word/_rels/settings.xml.rels><?xml version="1.0" encoding="UTF-8" standalone="yes"?>
<Relationships xmlns="http://schemas.openxmlformats.org/package/2006/relationships"><Relationship Id="rId1" Type="http://schemas.openxmlformats.org/officeDocument/2006/relationships/attachedTemplate" Target="file:///J:\Templates\CE%20Word\NEW%20(Portrait)%20Report%20Template.dotx"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https://cambridgeeconometrics-my.sharepoint.com/personal/od_camecon_com/Documents/_CE/NPP%20public%20private%20split.xlsx" TargetMode="External"/><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4.2238705000371989E-2"/>
          <c:y val="3.0006198204816231E-3"/>
          <c:w val="0.95414278269932251"/>
          <c:h val="0.75036749077693965"/>
        </c:manualLayout>
      </c:layout>
      <c:barChart>
        <c:barDir val="col"/>
        <c:grouping val="stacked"/>
        <c:varyColors val="0"/>
        <c:ser>
          <c:idx val="0"/>
          <c:order val="0"/>
          <c:tx>
            <c:strRef>
              <c:f>Sheet2!$M$3</c:f>
              <c:strCache>
                <c:ptCount val="1"/>
                <c:pt idx="0">
                  <c:v>Commercial Financial Institutions</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mn-lt"/>
                    <a:ea typeface="+mn-ea"/>
                    <a:cs typeface="+mn-cs"/>
                  </a:defRPr>
                </a:pPr>
                <a:endParaRPr lang="en-U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Sheet2!$N$2:$P$2</c:f>
              <c:strCache>
                <c:ptCount val="3"/>
                <c:pt idx="0">
                  <c:v>2021-2025</c:v>
                </c:pt>
                <c:pt idx="1">
                  <c:v>2026-2030</c:v>
                </c:pt>
                <c:pt idx="2">
                  <c:v>2031-2040 </c:v>
                </c:pt>
              </c:strCache>
            </c:strRef>
          </c:cat>
          <c:val>
            <c:numRef>
              <c:f>Sheet2!$N$3:$P$3</c:f>
              <c:numCache>
                <c:formatCode>General</c:formatCode>
                <c:ptCount val="3"/>
                <c:pt idx="0">
                  <c:v>21</c:v>
                </c:pt>
                <c:pt idx="1">
                  <c:v>33</c:v>
                </c:pt>
                <c:pt idx="2">
                  <c:v>46</c:v>
                </c:pt>
              </c:numCache>
            </c:numRef>
          </c:val>
          <c:extLst>
            <c:ext xmlns:c16="http://schemas.microsoft.com/office/drawing/2014/chart" uri="{C3380CC4-5D6E-409C-BE32-E72D297353CC}">
              <c16:uniqueId val="{00000000-B166-4F52-A0B7-FF66C24F88FD}"/>
            </c:ext>
          </c:extLst>
        </c:ser>
        <c:ser>
          <c:idx val="1"/>
          <c:order val="1"/>
          <c:tx>
            <c:strRef>
              <c:f>Sheet2!$M$4</c:f>
              <c:strCache>
                <c:ptCount val="1"/>
                <c:pt idx="0">
                  <c:v>Corporations</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mn-lt"/>
                    <a:ea typeface="+mn-ea"/>
                    <a:cs typeface="+mn-cs"/>
                  </a:defRPr>
                </a:pPr>
                <a:endParaRPr lang="en-U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Sheet2!$N$2:$P$2</c:f>
              <c:strCache>
                <c:ptCount val="3"/>
                <c:pt idx="0">
                  <c:v>2021-2025</c:v>
                </c:pt>
                <c:pt idx="1">
                  <c:v>2026-2030</c:v>
                </c:pt>
                <c:pt idx="2">
                  <c:v>2031-2040 </c:v>
                </c:pt>
              </c:strCache>
            </c:strRef>
          </c:cat>
          <c:val>
            <c:numRef>
              <c:f>Sheet2!$N$4:$P$4</c:f>
              <c:numCache>
                <c:formatCode>General</c:formatCode>
                <c:ptCount val="3"/>
                <c:pt idx="0">
                  <c:v>70</c:v>
                </c:pt>
                <c:pt idx="1">
                  <c:v>109</c:v>
                </c:pt>
                <c:pt idx="2">
                  <c:v>139</c:v>
                </c:pt>
              </c:numCache>
            </c:numRef>
          </c:val>
          <c:extLst>
            <c:ext xmlns:c16="http://schemas.microsoft.com/office/drawing/2014/chart" uri="{C3380CC4-5D6E-409C-BE32-E72D297353CC}">
              <c16:uniqueId val="{00000001-B166-4F52-A0B7-FF66C24F88FD}"/>
            </c:ext>
          </c:extLst>
        </c:ser>
        <c:ser>
          <c:idx val="2"/>
          <c:order val="2"/>
          <c:tx>
            <c:strRef>
              <c:f>Sheet2!$M$5</c:f>
              <c:strCache>
                <c:ptCount val="1"/>
                <c:pt idx="0">
                  <c:v>Private Equity /Venture Capital funds</c:v>
                </c:pt>
              </c:strCache>
            </c:strRef>
          </c:tx>
          <c:spPr>
            <a:solidFill>
              <a:schemeClr val="accent5"/>
            </a:solidFill>
            <a:ln>
              <a:noFill/>
            </a:ln>
            <a:effectLst/>
          </c:spPr>
          <c:invertIfNegative val="0"/>
          <c:dLbls>
            <c:dLbl>
              <c:idx val="0"/>
              <c:layout>
                <c:manualLayout>
                  <c:x val="-7.9103493737640085E-2"/>
                  <c:y val="1.9606987902021384E-3"/>
                </c:manualLayout>
              </c:layout>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B166-4F52-A0B7-FF66C24F88FD}"/>
                </c:ext>
              </c:extLst>
            </c:dLbl>
            <c:dLbl>
              <c:idx val="1"/>
              <c:layout>
                <c:manualLayout>
                  <c:x val="-0.1054713249835201"/>
                  <c:y val="8.5631642983402586E-3"/>
                </c:manualLayout>
              </c:layout>
              <c:dLblPos val="ct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B166-4F52-A0B7-FF66C24F88FD}"/>
                </c:ext>
              </c:extLst>
            </c:dLbl>
            <c:dLbl>
              <c:idx val="2"/>
              <c:layout>
                <c:manualLayout>
                  <c:x val="-7.6906174467150076E-2"/>
                  <c:y val="1.225017791143454E-2"/>
                </c:manualLayout>
              </c:layout>
              <c:dLblPos val="ct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B166-4F52-A0B7-FF66C24F88FD}"/>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Sheet2!$N$2:$P$2</c:f>
              <c:strCache>
                <c:ptCount val="3"/>
                <c:pt idx="0">
                  <c:v>2021-2025</c:v>
                </c:pt>
                <c:pt idx="1">
                  <c:v>2026-2030</c:v>
                </c:pt>
                <c:pt idx="2">
                  <c:v>2031-2040 </c:v>
                </c:pt>
              </c:strCache>
            </c:strRef>
          </c:cat>
          <c:val>
            <c:numRef>
              <c:f>Sheet2!$N$5:$P$5</c:f>
              <c:numCache>
                <c:formatCode>General</c:formatCode>
                <c:ptCount val="3"/>
                <c:pt idx="0">
                  <c:v>0</c:v>
                </c:pt>
                <c:pt idx="1">
                  <c:v>2</c:v>
                </c:pt>
                <c:pt idx="2">
                  <c:v>4</c:v>
                </c:pt>
              </c:numCache>
            </c:numRef>
          </c:val>
          <c:extLst>
            <c:ext xmlns:c16="http://schemas.microsoft.com/office/drawing/2014/chart" uri="{C3380CC4-5D6E-409C-BE32-E72D297353CC}">
              <c16:uniqueId val="{00000005-B166-4F52-A0B7-FF66C24F88FD}"/>
            </c:ext>
          </c:extLst>
        </c:ser>
        <c:ser>
          <c:idx val="3"/>
          <c:order val="3"/>
          <c:tx>
            <c:strRef>
              <c:f>Sheet2!$M$6</c:f>
              <c:strCache>
                <c:ptCount val="1"/>
                <c:pt idx="0">
                  <c:v>Infrastructure funds</c:v>
                </c:pt>
              </c:strCache>
            </c:strRef>
          </c:tx>
          <c:spPr>
            <a:solidFill>
              <a:schemeClr val="accent1">
                <a:lumMod val="60000"/>
              </a:schemeClr>
            </a:solidFill>
            <a:ln>
              <a:noFill/>
            </a:ln>
            <a:effectLst/>
          </c:spPr>
          <c:invertIfNegative val="0"/>
          <c:dLbls>
            <c:dLbl>
              <c:idx val="0"/>
              <c:layout>
                <c:manualLayout>
                  <c:x val="0.1010766864425401"/>
                  <c:y val="-1.2550216937168568E-3"/>
                </c:manualLayout>
              </c:layout>
              <c:dLblPos val="ct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B166-4F52-A0B7-FF66C24F88FD}"/>
                </c:ext>
              </c:extLst>
            </c:dLbl>
            <c:dLbl>
              <c:idx val="1"/>
              <c:layout>
                <c:manualLayout>
                  <c:x val="8.7892770819600008E-2"/>
                  <c:y val="1.7009251394596029E-2"/>
                </c:manualLayout>
              </c:layout>
              <c:dLblPos val="ct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B166-4F52-A0B7-FF66C24F88FD}"/>
                </c:ext>
              </c:extLst>
            </c:dLbl>
            <c:dLbl>
              <c:idx val="2"/>
              <c:layout>
                <c:manualLayout>
                  <c:x val="0.10327400571303011"/>
                  <c:y val="2.9030554854112623E-3"/>
                </c:manualLayout>
              </c:layout>
              <c:dLblPos val="ct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B166-4F52-A0B7-FF66C24F88FD}"/>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Sheet2!$N$2:$P$2</c:f>
              <c:strCache>
                <c:ptCount val="3"/>
                <c:pt idx="0">
                  <c:v>2021-2025</c:v>
                </c:pt>
                <c:pt idx="1">
                  <c:v>2026-2030</c:v>
                </c:pt>
                <c:pt idx="2">
                  <c:v>2031-2040 </c:v>
                </c:pt>
              </c:strCache>
            </c:strRef>
          </c:cat>
          <c:val>
            <c:numRef>
              <c:f>Sheet2!$N$6:$P$6</c:f>
              <c:numCache>
                <c:formatCode>General</c:formatCode>
                <c:ptCount val="3"/>
                <c:pt idx="0">
                  <c:v>3</c:v>
                </c:pt>
                <c:pt idx="1">
                  <c:v>5</c:v>
                </c:pt>
                <c:pt idx="2">
                  <c:v>10</c:v>
                </c:pt>
              </c:numCache>
            </c:numRef>
          </c:val>
          <c:extLst>
            <c:ext xmlns:c16="http://schemas.microsoft.com/office/drawing/2014/chart" uri="{C3380CC4-5D6E-409C-BE32-E72D297353CC}">
              <c16:uniqueId val="{00000009-B166-4F52-A0B7-FF66C24F88FD}"/>
            </c:ext>
          </c:extLst>
        </c:ser>
        <c:ser>
          <c:idx val="4"/>
          <c:order val="4"/>
          <c:tx>
            <c:strRef>
              <c:f>Sheet2!$M$7</c:f>
              <c:strCache>
                <c:ptCount val="1"/>
                <c:pt idx="0">
                  <c:v>Development Financial Institutions</c:v>
                </c:pt>
              </c:strCache>
            </c:strRef>
          </c:tx>
          <c:spPr>
            <a:solidFill>
              <a:schemeClr val="accent3">
                <a:lumMod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mn-lt"/>
                    <a:ea typeface="+mn-ea"/>
                    <a:cs typeface="+mn-cs"/>
                  </a:defRPr>
                </a:pPr>
                <a:endParaRPr lang="en-U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Sheet2!$N$2:$P$2</c:f>
              <c:strCache>
                <c:ptCount val="3"/>
                <c:pt idx="0">
                  <c:v>2021-2025</c:v>
                </c:pt>
                <c:pt idx="1">
                  <c:v>2026-2030</c:v>
                </c:pt>
                <c:pt idx="2">
                  <c:v>2031-2040 </c:v>
                </c:pt>
              </c:strCache>
            </c:strRef>
          </c:cat>
          <c:val>
            <c:numRef>
              <c:f>Sheet2!$N$7:$P$7</c:f>
              <c:numCache>
                <c:formatCode>General</c:formatCode>
                <c:ptCount val="3"/>
                <c:pt idx="0">
                  <c:v>19</c:v>
                </c:pt>
                <c:pt idx="1">
                  <c:v>32</c:v>
                </c:pt>
                <c:pt idx="2">
                  <c:v>47</c:v>
                </c:pt>
              </c:numCache>
            </c:numRef>
          </c:val>
          <c:extLst>
            <c:ext xmlns:c16="http://schemas.microsoft.com/office/drawing/2014/chart" uri="{C3380CC4-5D6E-409C-BE32-E72D297353CC}">
              <c16:uniqueId val="{0000000A-B166-4F52-A0B7-FF66C24F88FD}"/>
            </c:ext>
          </c:extLst>
        </c:ser>
        <c:ser>
          <c:idx val="5"/>
          <c:order val="5"/>
          <c:tx>
            <c:strRef>
              <c:f>Sheet2!$M$8</c:f>
              <c:strCache>
                <c:ptCount val="1"/>
                <c:pt idx="0">
                  <c:v>Governments</c:v>
                </c:pt>
              </c:strCache>
            </c:strRef>
          </c:tx>
          <c:spPr>
            <a:solidFill>
              <a:schemeClr val="accent5">
                <a:lumMod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mn-lt"/>
                    <a:ea typeface="+mn-ea"/>
                    <a:cs typeface="+mn-cs"/>
                  </a:defRPr>
                </a:pPr>
                <a:endParaRPr lang="en-U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Sheet2!$N$2:$P$2</c:f>
              <c:strCache>
                <c:ptCount val="3"/>
                <c:pt idx="0">
                  <c:v>2021-2025</c:v>
                </c:pt>
                <c:pt idx="1">
                  <c:v>2026-2030</c:v>
                </c:pt>
                <c:pt idx="2">
                  <c:v>2031-2040 </c:v>
                </c:pt>
              </c:strCache>
            </c:strRef>
          </c:cat>
          <c:val>
            <c:numRef>
              <c:f>Sheet2!$N$8:$P$8</c:f>
              <c:numCache>
                <c:formatCode>General</c:formatCode>
                <c:ptCount val="3"/>
                <c:pt idx="0">
                  <c:v>16</c:v>
                </c:pt>
                <c:pt idx="1">
                  <c:v>26</c:v>
                </c:pt>
                <c:pt idx="2">
                  <c:v>29</c:v>
                </c:pt>
              </c:numCache>
            </c:numRef>
          </c:val>
          <c:extLst>
            <c:ext xmlns:c16="http://schemas.microsoft.com/office/drawing/2014/chart" uri="{C3380CC4-5D6E-409C-BE32-E72D297353CC}">
              <c16:uniqueId val="{0000000B-B166-4F52-A0B7-FF66C24F88FD}"/>
            </c:ext>
          </c:extLst>
        </c:ser>
        <c:ser>
          <c:idx val="6"/>
          <c:order val="6"/>
          <c:tx>
            <c:strRef>
              <c:f>Sheet2!$M$9</c:f>
              <c:strCache>
                <c:ptCount val="1"/>
                <c:pt idx="0">
                  <c:v>State-owned Financial Institutions</c:v>
                </c:pt>
              </c:strCache>
            </c:strRef>
          </c:tx>
          <c:spPr>
            <a:solidFill>
              <a:schemeClr val="accent1">
                <a:lumMod val="80000"/>
                <a:lumOff val="2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mn-lt"/>
                    <a:ea typeface="+mn-ea"/>
                    <a:cs typeface="+mn-cs"/>
                  </a:defRPr>
                </a:pPr>
                <a:endParaRPr lang="en-U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Sheet2!$N$2:$P$2</c:f>
              <c:strCache>
                <c:ptCount val="3"/>
                <c:pt idx="0">
                  <c:v>2021-2025</c:v>
                </c:pt>
                <c:pt idx="1">
                  <c:v>2026-2030</c:v>
                </c:pt>
                <c:pt idx="2">
                  <c:v>2031-2040 </c:v>
                </c:pt>
              </c:strCache>
            </c:strRef>
          </c:cat>
          <c:val>
            <c:numRef>
              <c:f>Sheet2!$N$9:$P$9</c:f>
              <c:numCache>
                <c:formatCode>General</c:formatCode>
                <c:ptCount val="3"/>
                <c:pt idx="0">
                  <c:v>11</c:v>
                </c:pt>
                <c:pt idx="1">
                  <c:v>17</c:v>
                </c:pt>
                <c:pt idx="2">
                  <c:v>25</c:v>
                </c:pt>
              </c:numCache>
            </c:numRef>
          </c:val>
          <c:extLst>
            <c:ext xmlns:c16="http://schemas.microsoft.com/office/drawing/2014/chart" uri="{C3380CC4-5D6E-409C-BE32-E72D297353CC}">
              <c16:uniqueId val="{0000000C-B166-4F52-A0B7-FF66C24F88FD}"/>
            </c:ext>
          </c:extLst>
        </c:ser>
        <c:dLbls>
          <c:dLblPos val="inEnd"/>
          <c:showLegendKey val="0"/>
          <c:showVal val="1"/>
          <c:showCatName val="0"/>
          <c:showSerName val="0"/>
          <c:showPercent val="0"/>
          <c:showBubbleSize val="0"/>
        </c:dLbls>
        <c:gapWidth val="150"/>
        <c:overlap val="100"/>
        <c:axId val="32380663"/>
        <c:axId val="32378143"/>
      </c:barChart>
      <c:catAx>
        <c:axId val="32380663"/>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en-US"/>
          </a:p>
        </c:txPr>
        <c:crossAx val="32378143"/>
        <c:crosses val="autoZero"/>
        <c:auto val="1"/>
        <c:lblAlgn val="ctr"/>
        <c:lblOffset val="100"/>
        <c:noMultiLvlLbl val="0"/>
      </c:catAx>
      <c:valAx>
        <c:axId val="32378143"/>
        <c:scaling>
          <c:orientation val="minMax"/>
        </c:scaling>
        <c:delete val="1"/>
        <c:axPos val="l"/>
        <c:numFmt formatCode="General" sourceLinked="1"/>
        <c:majorTickMark val="none"/>
        <c:minorTickMark val="none"/>
        <c:tickLblPos val="nextTo"/>
        <c:crossAx val="32380663"/>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Custom 3">
      <a:dk1>
        <a:srgbClr val="0B1F2C"/>
      </a:dk1>
      <a:lt1>
        <a:sysClr val="window" lastClr="FFFFFF"/>
      </a:lt1>
      <a:dk2>
        <a:srgbClr val="0070C0"/>
      </a:dk2>
      <a:lt2>
        <a:srgbClr val="AAB71D"/>
      </a:lt2>
      <a:accent1>
        <a:srgbClr val="009FE3"/>
      </a:accent1>
      <a:accent2>
        <a:srgbClr val="800080"/>
      </a:accent2>
      <a:accent3>
        <a:srgbClr val="26C0BC"/>
      </a:accent3>
      <a:accent4>
        <a:srgbClr val="C5446E"/>
      </a:accent4>
      <a:accent5>
        <a:srgbClr val="0B1F2C"/>
      </a:accent5>
      <a:accent6>
        <a:srgbClr val="909090"/>
      </a:accent6>
      <a:hlink>
        <a:srgbClr val="0000FF"/>
      </a:hlink>
      <a:folHlink>
        <a:srgbClr val="800080"/>
      </a:folHlink>
    </a:clrScheme>
    <a:fontScheme name="Cambridge Econometrics">
      <a:majorFont>
        <a:latin typeface="Kaleko 105 Round"/>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9EDE4F-B08B-41FB-8627-E729B7321D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J:\Templates\CE Word\NEW (Portrait) Report Template.dotx</Template>
  <TotalTime>1</TotalTime>
  <Pages>19</Pages>
  <Words>4621</Words>
  <Characters>26346</Characters>
  <Application>Microsoft Office Word</Application>
  <DocSecurity>0</DocSecurity>
  <Lines>219</Lines>
  <Paragraphs>61</Paragraphs>
  <ScaleCrop>false</ScaleCrop>
  <HeadingPairs>
    <vt:vector size="2" baseType="variant">
      <vt:variant>
        <vt:lpstr>Title</vt:lpstr>
      </vt:variant>
      <vt:variant>
        <vt:i4>1</vt:i4>
      </vt:variant>
    </vt:vector>
  </HeadingPairs>
  <TitlesOfParts>
    <vt:vector size="1" baseType="lpstr">
      <vt:lpstr>Public-Private Investment Splits in North of England: The Net Zero Scenario</vt:lpstr>
    </vt:vector>
  </TitlesOfParts>
  <Company/>
  <LinksUpToDate>false</LinksUpToDate>
  <CharactersWithSpaces>30906</CharactersWithSpaces>
  <SharedDoc>false</SharedDoc>
  <HLinks>
    <vt:vector size="264" baseType="variant">
      <vt:variant>
        <vt:i4>7077893</vt:i4>
      </vt:variant>
      <vt:variant>
        <vt:i4>135</vt:i4>
      </vt:variant>
      <vt:variant>
        <vt:i4>0</vt:i4>
      </vt:variant>
      <vt:variant>
        <vt:i4>5</vt:i4>
      </vt:variant>
      <vt:variant>
        <vt:lpwstr>https://ppi.worldbank.org/content/dam/PPI/documents/SPIReport_2017_small_interactive.pdf</vt:lpwstr>
      </vt:variant>
      <vt:variant>
        <vt:lpwstr/>
      </vt:variant>
      <vt:variant>
        <vt:i4>5111877</vt:i4>
      </vt:variant>
      <vt:variant>
        <vt:i4>132</vt:i4>
      </vt:variant>
      <vt:variant>
        <vt:i4>0</vt:i4>
      </vt:variant>
      <vt:variant>
        <vt:i4>5</vt:i4>
      </vt:variant>
      <vt:variant>
        <vt:lpwstr>https://www.ukib.org.uk/sites/default/files/2022-11/Natural-capital-discussion-paper.pdf</vt:lpwstr>
      </vt:variant>
      <vt:variant>
        <vt:lpwstr/>
      </vt:variant>
      <vt:variant>
        <vt:i4>8257573</vt:i4>
      </vt:variant>
      <vt:variant>
        <vt:i4>129</vt:i4>
      </vt:variant>
      <vt:variant>
        <vt:i4>0</vt:i4>
      </vt:variant>
      <vt:variant>
        <vt:i4>5</vt:i4>
      </vt:variant>
      <vt:variant>
        <vt:lpwstr>https://www.gfanzero.com/netzerofinancing/</vt:lpwstr>
      </vt:variant>
      <vt:variant>
        <vt:lpwstr/>
      </vt:variant>
      <vt:variant>
        <vt:i4>524299</vt:i4>
      </vt:variant>
      <vt:variant>
        <vt:i4>126</vt:i4>
      </vt:variant>
      <vt:variant>
        <vt:i4>0</vt:i4>
      </vt:variant>
      <vt:variant>
        <vt:i4>5</vt:i4>
      </vt:variant>
      <vt:variant>
        <vt:lpwstr>https://www.unep.org/resources/state-finance-nature-2023</vt:lpwstr>
      </vt:variant>
      <vt:variant>
        <vt:lpwstr/>
      </vt:variant>
      <vt:variant>
        <vt:i4>1376339</vt:i4>
      </vt:variant>
      <vt:variant>
        <vt:i4>123</vt:i4>
      </vt:variant>
      <vt:variant>
        <vt:i4>0</vt:i4>
      </vt:variant>
      <vt:variant>
        <vt:i4>5</vt:i4>
      </vt:variant>
      <vt:variant>
        <vt:lpwstr>https://www.theccc.org.uk/wp-content/uploads/2020/12/Sector-summary-Agriculture-land-use-land-use-change-forestry.pdf</vt:lpwstr>
      </vt:variant>
      <vt:variant>
        <vt:lpwstr/>
      </vt:variant>
      <vt:variant>
        <vt:i4>1048671</vt:i4>
      </vt:variant>
      <vt:variant>
        <vt:i4>120</vt:i4>
      </vt:variant>
      <vt:variant>
        <vt:i4>0</vt:i4>
      </vt:variant>
      <vt:variant>
        <vt:i4>5</vt:i4>
      </vt:variant>
      <vt:variant>
        <vt:lpwstr>https://www.irena.org/Digital-content/Digital-Story/2023/Mar/Scaling-up-energy-transition-investments-to-meet-the-1-point-5-degrees-celsius-goal/detail</vt:lpwstr>
      </vt:variant>
      <vt:variant>
        <vt:lpwstr>:~:text=Globally%2C%20the%20private%20sector%20committed,PV%20came%20from%20private%20finance.</vt:lpwstr>
      </vt:variant>
      <vt:variant>
        <vt:i4>5242897</vt:i4>
      </vt:variant>
      <vt:variant>
        <vt:i4>117</vt:i4>
      </vt:variant>
      <vt:variant>
        <vt:i4>0</vt:i4>
      </vt:variant>
      <vt:variant>
        <vt:i4>5</vt:i4>
      </vt:variant>
      <vt:variant>
        <vt:lpwstr>https://assets.publishing.service.gov.uk/media/613e4d03d3bf7f05b166a595/Analysis_of_the_National_Infrastructure_and_Construction_Pipeline_2021.pdf</vt:lpwstr>
      </vt:variant>
      <vt:variant>
        <vt:lpwstr/>
      </vt:variant>
      <vt:variant>
        <vt:i4>3604533</vt:i4>
      </vt:variant>
      <vt:variant>
        <vt:i4>114</vt:i4>
      </vt:variant>
      <vt:variant>
        <vt:i4>0</vt:i4>
      </vt:variant>
      <vt:variant>
        <vt:i4>5</vt:i4>
      </vt:variant>
      <vt:variant>
        <vt:lpwstr>https://iea.blob.core.windows.net/assets/a48fd497-d479-4d21-8d76-10619ce0a982/ScalingupPrivateFinanceforCleanEnergyinEmergingandDevelopingEconomies.pdf</vt:lpwstr>
      </vt:variant>
      <vt:variant>
        <vt:lpwstr/>
      </vt:variant>
      <vt:variant>
        <vt:i4>7864416</vt:i4>
      </vt:variant>
      <vt:variant>
        <vt:i4>111</vt:i4>
      </vt:variant>
      <vt:variant>
        <vt:i4>0</vt:i4>
      </vt:variant>
      <vt:variant>
        <vt:i4>5</vt:i4>
      </vt:variant>
      <vt:variant>
        <vt:lpwstr>https://researchbriefings.files.parliament.uk/documents/CDP-2023-0096/CDP-2023-0096.pdf</vt:lpwstr>
      </vt:variant>
      <vt:variant>
        <vt:lpwstr/>
      </vt:variant>
      <vt:variant>
        <vt:i4>65613</vt:i4>
      </vt:variant>
      <vt:variant>
        <vt:i4>108</vt:i4>
      </vt:variant>
      <vt:variant>
        <vt:i4>0</vt:i4>
      </vt:variant>
      <vt:variant>
        <vt:i4>5</vt:i4>
      </vt:variant>
      <vt:variant>
        <vt:lpwstr>https://www.e3g.org/wp-content/uploads/Net-zero-investment-gap-22.10.26-Final-STC.pdf</vt:lpwstr>
      </vt:variant>
      <vt:variant>
        <vt:lpwstr/>
      </vt:variant>
      <vt:variant>
        <vt:i4>7471159</vt:i4>
      </vt:variant>
      <vt:variant>
        <vt:i4>105</vt:i4>
      </vt:variant>
      <vt:variant>
        <vt:i4>0</vt:i4>
      </vt:variant>
      <vt:variant>
        <vt:i4>5</vt:i4>
      </vt:variant>
      <vt:variant>
        <vt:lpwstr>https://www.energy-uk.org.uk/wp-content/uploads/2023/07/Clean-Growth-Gap-How-low-carbon-energy-investment-can-transform-the-UK.pdf</vt:lpwstr>
      </vt:variant>
      <vt:variant>
        <vt:lpwstr/>
      </vt:variant>
      <vt:variant>
        <vt:i4>65564</vt:i4>
      </vt:variant>
      <vt:variant>
        <vt:i4>102</vt:i4>
      </vt:variant>
      <vt:variant>
        <vt:i4>0</vt:i4>
      </vt:variant>
      <vt:variant>
        <vt:i4>5</vt:i4>
      </vt:variant>
      <vt:variant>
        <vt:lpwstr>https://www.nea.org.uk/wp-content/uploads/2020/12/EEIG_NET-ZERO_LITMUS_TEST_2019.pdf</vt:lpwstr>
      </vt:variant>
      <vt:variant>
        <vt:lpwstr/>
      </vt:variant>
      <vt:variant>
        <vt:i4>589852</vt:i4>
      </vt:variant>
      <vt:variant>
        <vt:i4>99</vt:i4>
      </vt:variant>
      <vt:variant>
        <vt:i4>0</vt:i4>
      </vt:variant>
      <vt:variant>
        <vt:i4>5</vt:i4>
      </vt:variant>
      <vt:variant>
        <vt:lpwstr>https://www.gov.uk/government/publications/net-zero-strategy</vt:lpwstr>
      </vt:variant>
      <vt:variant>
        <vt:lpwstr/>
      </vt:variant>
      <vt:variant>
        <vt:i4>8192063</vt:i4>
      </vt:variant>
      <vt:variant>
        <vt:i4>96</vt:i4>
      </vt:variant>
      <vt:variant>
        <vt:i4>0</vt:i4>
      </vt:variant>
      <vt:variant>
        <vt:i4>5</vt:i4>
      </vt:variant>
      <vt:variant>
        <vt:lpwstr>https://www.climatepolicyinitiative.org/wp-content/uploads/2023/11/Global-Landscape-of-Climate-Finance-2023.pdf</vt:lpwstr>
      </vt:variant>
      <vt:variant>
        <vt:lpwstr/>
      </vt:variant>
      <vt:variant>
        <vt:i4>2949216</vt:i4>
      </vt:variant>
      <vt:variant>
        <vt:i4>93</vt:i4>
      </vt:variant>
      <vt:variant>
        <vt:i4>0</vt:i4>
      </vt:variant>
      <vt:variant>
        <vt:i4>5</vt:i4>
      </vt:variant>
      <vt:variant>
        <vt:lpwstr>https://www.theccc.org.uk/publication/sixth-carbon-budget/</vt:lpwstr>
      </vt:variant>
      <vt:variant>
        <vt:lpwstr/>
      </vt:variant>
      <vt:variant>
        <vt:i4>4587615</vt:i4>
      </vt:variant>
      <vt:variant>
        <vt:i4>90</vt:i4>
      </vt:variant>
      <vt:variant>
        <vt:i4>0</vt:i4>
      </vt:variant>
      <vt:variant>
        <vt:i4>5</vt:i4>
      </vt:variant>
      <vt:variant>
        <vt:lpwstr>https://www.theccc.org.uk/uk-action-on-climate-change/progress-snapshot/</vt:lpwstr>
      </vt:variant>
      <vt:variant>
        <vt:lpwstr/>
      </vt:variant>
      <vt:variant>
        <vt:i4>1572869</vt:i4>
      </vt:variant>
      <vt:variant>
        <vt:i4>87</vt:i4>
      </vt:variant>
      <vt:variant>
        <vt:i4>0</vt:i4>
      </vt:variant>
      <vt:variant>
        <vt:i4>5</vt:i4>
      </vt:variant>
      <vt:variant>
        <vt:lpwstr>https://www.gov.uk/government/publications/industrial-decarbonisation-strategy/industrial-decarbonisation-strategy-accessible-webpage</vt:lpwstr>
      </vt:variant>
      <vt:variant>
        <vt:lpwstr>annex-4-industry-decarbonisation-pathways-technical-annex</vt:lpwstr>
      </vt:variant>
      <vt:variant>
        <vt:i4>1441841</vt:i4>
      </vt:variant>
      <vt:variant>
        <vt:i4>44</vt:i4>
      </vt:variant>
      <vt:variant>
        <vt:i4>0</vt:i4>
      </vt:variant>
      <vt:variant>
        <vt:i4>5</vt:i4>
      </vt:variant>
      <vt:variant>
        <vt:lpwstr/>
      </vt:variant>
      <vt:variant>
        <vt:lpwstr>_Toc169011869</vt:lpwstr>
      </vt:variant>
      <vt:variant>
        <vt:i4>1441841</vt:i4>
      </vt:variant>
      <vt:variant>
        <vt:i4>38</vt:i4>
      </vt:variant>
      <vt:variant>
        <vt:i4>0</vt:i4>
      </vt:variant>
      <vt:variant>
        <vt:i4>5</vt:i4>
      </vt:variant>
      <vt:variant>
        <vt:lpwstr/>
      </vt:variant>
      <vt:variant>
        <vt:lpwstr>_Toc169011867</vt:lpwstr>
      </vt:variant>
      <vt:variant>
        <vt:i4>1441841</vt:i4>
      </vt:variant>
      <vt:variant>
        <vt:i4>32</vt:i4>
      </vt:variant>
      <vt:variant>
        <vt:i4>0</vt:i4>
      </vt:variant>
      <vt:variant>
        <vt:i4>5</vt:i4>
      </vt:variant>
      <vt:variant>
        <vt:lpwstr/>
      </vt:variant>
      <vt:variant>
        <vt:lpwstr>_Toc169011866</vt:lpwstr>
      </vt:variant>
      <vt:variant>
        <vt:i4>1441841</vt:i4>
      </vt:variant>
      <vt:variant>
        <vt:i4>26</vt:i4>
      </vt:variant>
      <vt:variant>
        <vt:i4>0</vt:i4>
      </vt:variant>
      <vt:variant>
        <vt:i4>5</vt:i4>
      </vt:variant>
      <vt:variant>
        <vt:lpwstr/>
      </vt:variant>
      <vt:variant>
        <vt:lpwstr>_Toc169011865</vt:lpwstr>
      </vt:variant>
      <vt:variant>
        <vt:i4>1441841</vt:i4>
      </vt:variant>
      <vt:variant>
        <vt:i4>20</vt:i4>
      </vt:variant>
      <vt:variant>
        <vt:i4>0</vt:i4>
      </vt:variant>
      <vt:variant>
        <vt:i4>5</vt:i4>
      </vt:variant>
      <vt:variant>
        <vt:lpwstr/>
      </vt:variant>
      <vt:variant>
        <vt:lpwstr>_Toc169011864</vt:lpwstr>
      </vt:variant>
      <vt:variant>
        <vt:i4>1441841</vt:i4>
      </vt:variant>
      <vt:variant>
        <vt:i4>14</vt:i4>
      </vt:variant>
      <vt:variant>
        <vt:i4>0</vt:i4>
      </vt:variant>
      <vt:variant>
        <vt:i4>5</vt:i4>
      </vt:variant>
      <vt:variant>
        <vt:lpwstr/>
      </vt:variant>
      <vt:variant>
        <vt:lpwstr>_Toc169011863</vt:lpwstr>
      </vt:variant>
      <vt:variant>
        <vt:i4>1441841</vt:i4>
      </vt:variant>
      <vt:variant>
        <vt:i4>8</vt:i4>
      </vt:variant>
      <vt:variant>
        <vt:i4>0</vt:i4>
      </vt:variant>
      <vt:variant>
        <vt:i4>5</vt:i4>
      </vt:variant>
      <vt:variant>
        <vt:lpwstr/>
      </vt:variant>
      <vt:variant>
        <vt:lpwstr>_Toc169011862</vt:lpwstr>
      </vt:variant>
      <vt:variant>
        <vt:i4>1441841</vt:i4>
      </vt:variant>
      <vt:variant>
        <vt:i4>2</vt:i4>
      </vt:variant>
      <vt:variant>
        <vt:i4>0</vt:i4>
      </vt:variant>
      <vt:variant>
        <vt:i4>5</vt:i4>
      </vt:variant>
      <vt:variant>
        <vt:lpwstr/>
      </vt:variant>
      <vt:variant>
        <vt:lpwstr>_Toc169011861</vt:lpwstr>
      </vt:variant>
      <vt:variant>
        <vt:i4>7405656</vt:i4>
      </vt:variant>
      <vt:variant>
        <vt:i4>36</vt:i4>
      </vt:variant>
      <vt:variant>
        <vt:i4>0</vt:i4>
      </vt:variant>
      <vt:variant>
        <vt:i4>5</vt:i4>
      </vt:variant>
      <vt:variant>
        <vt:lpwstr>mailto:yr@camecon.com</vt:lpwstr>
      </vt:variant>
      <vt:variant>
        <vt:lpwstr/>
      </vt:variant>
      <vt:variant>
        <vt:i4>7405656</vt:i4>
      </vt:variant>
      <vt:variant>
        <vt:i4>33</vt:i4>
      </vt:variant>
      <vt:variant>
        <vt:i4>0</vt:i4>
      </vt:variant>
      <vt:variant>
        <vt:i4>5</vt:i4>
      </vt:variant>
      <vt:variant>
        <vt:lpwstr>mailto:yr@camecon.com</vt:lpwstr>
      </vt:variant>
      <vt:variant>
        <vt:lpwstr/>
      </vt:variant>
      <vt:variant>
        <vt:i4>7405656</vt:i4>
      </vt:variant>
      <vt:variant>
        <vt:i4>30</vt:i4>
      </vt:variant>
      <vt:variant>
        <vt:i4>0</vt:i4>
      </vt:variant>
      <vt:variant>
        <vt:i4>5</vt:i4>
      </vt:variant>
      <vt:variant>
        <vt:lpwstr>mailto:yr@camecon.com</vt:lpwstr>
      </vt:variant>
      <vt:variant>
        <vt:lpwstr/>
      </vt:variant>
      <vt:variant>
        <vt:i4>7405656</vt:i4>
      </vt:variant>
      <vt:variant>
        <vt:i4>27</vt:i4>
      </vt:variant>
      <vt:variant>
        <vt:i4>0</vt:i4>
      </vt:variant>
      <vt:variant>
        <vt:i4>5</vt:i4>
      </vt:variant>
      <vt:variant>
        <vt:lpwstr>mailto:yr@camecon.com</vt:lpwstr>
      </vt:variant>
      <vt:variant>
        <vt:lpwstr/>
      </vt:variant>
      <vt:variant>
        <vt:i4>5111877</vt:i4>
      </vt:variant>
      <vt:variant>
        <vt:i4>24</vt:i4>
      </vt:variant>
      <vt:variant>
        <vt:i4>0</vt:i4>
      </vt:variant>
      <vt:variant>
        <vt:i4>5</vt:i4>
      </vt:variant>
      <vt:variant>
        <vt:lpwstr>https://www.ukib.org.uk/sites/default/files/2022-11/Natural-capital-discussion-paper.pdf</vt:lpwstr>
      </vt:variant>
      <vt:variant>
        <vt:lpwstr/>
      </vt:variant>
      <vt:variant>
        <vt:i4>2162747</vt:i4>
      </vt:variant>
      <vt:variant>
        <vt:i4>21</vt:i4>
      </vt:variant>
      <vt:variant>
        <vt:i4>0</vt:i4>
      </vt:variant>
      <vt:variant>
        <vt:i4>5</vt:i4>
      </vt:variant>
      <vt:variant>
        <vt:lpwstr>https://www.pwc.com/gx/en/issues/esg/nature-and-biodiversity/closing-the-nature-investment-gap.html</vt:lpwstr>
      </vt:variant>
      <vt:variant>
        <vt:lpwstr/>
      </vt:variant>
      <vt:variant>
        <vt:i4>6815859</vt:i4>
      </vt:variant>
      <vt:variant>
        <vt:i4>18</vt:i4>
      </vt:variant>
      <vt:variant>
        <vt:i4>0</vt:i4>
      </vt:variant>
      <vt:variant>
        <vt:i4>5</vt:i4>
      </vt:variant>
      <vt:variant>
        <vt:lpwstr>https://assets.bbhub.io/company/sites/63/2021/10/NZFRs-Nature-Brief.pdf</vt:lpwstr>
      </vt:variant>
      <vt:variant>
        <vt:lpwstr/>
      </vt:variant>
      <vt:variant>
        <vt:i4>7405656</vt:i4>
      </vt:variant>
      <vt:variant>
        <vt:i4>15</vt:i4>
      </vt:variant>
      <vt:variant>
        <vt:i4>0</vt:i4>
      </vt:variant>
      <vt:variant>
        <vt:i4>5</vt:i4>
      </vt:variant>
      <vt:variant>
        <vt:lpwstr>mailto:yr@camecon.com</vt:lpwstr>
      </vt:variant>
      <vt:variant>
        <vt:lpwstr/>
      </vt:variant>
      <vt:variant>
        <vt:i4>7077964</vt:i4>
      </vt:variant>
      <vt:variant>
        <vt:i4>12</vt:i4>
      </vt:variant>
      <vt:variant>
        <vt:i4>0</vt:i4>
      </vt:variant>
      <vt:variant>
        <vt:i4>5</vt:i4>
      </vt:variant>
      <vt:variant>
        <vt:lpwstr>mailto:alb@camecon.com</vt:lpwstr>
      </vt:variant>
      <vt:variant>
        <vt:lpwstr/>
      </vt:variant>
      <vt:variant>
        <vt:i4>7405656</vt:i4>
      </vt:variant>
      <vt:variant>
        <vt:i4>9</vt:i4>
      </vt:variant>
      <vt:variant>
        <vt:i4>0</vt:i4>
      </vt:variant>
      <vt:variant>
        <vt:i4>5</vt:i4>
      </vt:variant>
      <vt:variant>
        <vt:lpwstr>mailto:yr@camecon.com</vt:lpwstr>
      </vt:variant>
      <vt:variant>
        <vt:lpwstr/>
      </vt:variant>
      <vt:variant>
        <vt:i4>7405656</vt:i4>
      </vt:variant>
      <vt:variant>
        <vt:i4>6</vt:i4>
      </vt:variant>
      <vt:variant>
        <vt:i4>0</vt:i4>
      </vt:variant>
      <vt:variant>
        <vt:i4>5</vt:i4>
      </vt:variant>
      <vt:variant>
        <vt:lpwstr>mailto:yr@camecon.com</vt:lpwstr>
      </vt:variant>
      <vt:variant>
        <vt:lpwstr/>
      </vt:variant>
      <vt:variant>
        <vt:i4>7077964</vt:i4>
      </vt:variant>
      <vt:variant>
        <vt:i4>3</vt:i4>
      </vt:variant>
      <vt:variant>
        <vt:i4>0</vt:i4>
      </vt:variant>
      <vt:variant>
        <vt:i4>5</vt:i4>
      </vt:variant>
      <vt:variant>
        <vt:lpwstr>mailto:alb@camecon.com</vt:lpwstr>
      </vt:variant>
      <vt:variant>
        <vt:lpwstr/>
      </vt:variant>
      <vt:variant>
        <vt:i4>7405656</vt:i4>
      </vt:variant>
      <vt:variant>
        <vt:i4>0</vt:i4>
      </vt:variant>
      <vt:variant>
        <vt:i4>0</vt:i4>
      </vt:variant>
      <vt:variant>
        <vt:i4>5</vt:i4>
      </vt:variant>
      <vt:variant>
        <vt:lpwstr>mailto:yr@camecon.com</vt:lpwstr>
      </vt:variant>
      <vt:variant>
        <vt:lpwstr/>
      </vt:variant>
      <vt:variant>
        <vt:i4>7077964</vt:i4>
      </vt:variant>
      <vt:variant>
        <vt:i4>15</vt:i4>
      </vt:variant>
      <vt:variant>
        <vt:i4>0</vt:i4>
      </vt:variant>
      <vt:variant>
        <vt:i4>5</vt:i4>
      </vt:variant>
      <vt:variant>
        <vt:lpwstr>mailto:alb@camecon.com</vt:lpwstr>
      </vt:variant>
      <vt:variant>
        <vt:lpwstr/>
      </vt:variant>
      <vt:variant>
        <vt:i4>7077964</vt:i4>
      </vt:variant>
      <vt:variant>
        <vt:i4>12</vt:i4>
      </vt:variant>
      <vt:variant>
        <vt:i4>0</vt:i4>
      </vt:variant>
      <vt:variant>
        <vt:i4>5</vt:i4>
      </vt:variant>
      <vt:variant>
        <vt:lpwstr>mailto:alb@camecon.com</vt:lpwstr>
      </vt:variant>
      <vt:variant>
        <vt:lpwstr/>
      </vt:variant>
      <vt:variant>
        <vt:i4>7405656</vt:i4>
      </vt:variant>
      <vt:variant>
        <vt:i4>9</vt:i4>
      </vt:variant>
      <vt:variant>
        <vt:i4>0</vt:i4>
      </vt:variant>
      <vt:variant>
        <vt:i4>5</vt:i4>
      </vt:variant>
      <vt:variant>
        <vt:lpwstr>mailto:yr@camecon.com</vt:lpwstr>
      </vt:variant>
      <vt:variant>
        <vt:lpwstr/>
      </vt:variant>
      <vt:variant>
        <vt:i4>6750286</vt:i4>
      </vt:variant>
      <vt:variant>
        <vt:i4>6</vt:i4>
      </vt:variant>
      <vt:variant>
        <vt:i4>0</vt:i4>
      </vt:variant>
      <vt:variant>
        <vt:i4>5</vt:i4>
      </vt:variant>
      <vt:variant>
        <vt:lpwstr>mailto:od@camecon.com</vt:lpwstr>
      </vt:variant>
      <vt:variant>
        <vt:lpwstr/>
      </vt:variant>
      <vt:variant>
        <vt:i4>6422606</vt:i4>
      </vt:variant>
      <vt:variant>
        <vt:i4>3</vt:i4>
      </vt:variant>
      <vt:variant>
        <vt:i4>0</vt:i4>
      </vt:variant>
      <vt:variant>
        <vt:i4>5</vt:i4>
      </vt:variant>
      <vt:variant>
        <vt:lpwstr>mailto:jd@camecon.com</vt:lpwstr>
      </vt:variant>
      <vt:variant>
        <vt:lpwstr/>
      </vt:variant>
      <vt:variant>
        <vt:i4>7077964</vt:i4>
      </vt:variant>
      <vt:variant>
        <vt:i4>0</vt:i4>
      </vt:variant>
      <vt:variant>
        <vt:i4>0</vt:i4>
      </vt:variant>
      <vt:variant>
        <vt:i4>5</vt:i4>
      </vt:variant>
      <vt:variant>
        <vt:lpwstr>mailto:alb@camecon.com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Public-Private Investment Splits in North of England: The Net Zero Scenario</dc:title>
  <dc:subject/>
  <dc:creator>Ornella Dellaccio</dc:creator>
  <cp:keywords/>
  <cp:lastModifiedBy>Joe Dadomo</cp:lastModifiedBy>
  <cp:revision>2</cp:revision>
  <dcterms:created xsi:type="dcterms:W3CDTF">2025-05-28T15:08:00Z</dcterms:created>
  <dcterms:modified xsi:type="dcterms:W3CDTF">2025-05-28T15:08:00Z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2023-09-20T00:00:00Z</vt:filetime>
  </property>
  <property fmtid="{D5CDD505-2E9C-101B-9397-08002B2CF9AE}" pid="3" name="Creator">
    <vt:lpwstr>Adobe InDesign 18.5 (Macintosh)</vt:lpwstr>
  </property>
  <property fmtid="{D5CDD505-2E9C-101B-9397-08002B2CF9AE}" pid="4" name="LastSaved">
    <vt:filetime>2023-09-20T00:00:00Z</vt:filetime>
  </property>
  <property fmtid="{D5CDD505-2E9C-101B-9397-08002B2CF9AE}" pid="5" name="Producer">
    <vt:lpwstr>Adobe PDF Library 17.0</vt:lpwstr>
  </property>
</Properties>
</file>