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02B599" w14:textId="2B065E49" w:rsidR="005F345E" w:rsidRPr="001A5EBC" w:rsidRDefault="00837612" w:rsidP="00106894">
      <w:pPr>
        <w:pStyle w:val="BodyText"/>
      </w:pPr>
      <w:r w:rsidRPr="001A5EBC">
        <w:rPr>
          <w:rFonts w:ascii="Times New Roman"/>
          <w:noProof/>
          <w:sz w:val="21"/>
        </w:rPr>
        <mc:AlternateContent>
          <mc:Choice Requires="wps">
            <w:drawing>
              <wp:anchor distT="0" distB="0" distL="114300" distR="114300" simplePos="0" relativeHeight="251657222" behindDoc="0" locked="0" layoutInCell="1" allowOverlap="1" wp14:anchorId="62A18D1A" wp14:editId="2D715BAC">
                <wp:simplePos x="0" y="0"/>
                <wp:positionH relativeFrom="page">
                  <wp:posOffset>930910</wp:posOffset>
                </wp:positionH>
                <wp:positionV relativeFrom="page">
                  <wp:posOffset>932815</wp:posOffset>
                </wp:positionV>
                <wp:extent cx="6201410" cy="1965960"/>
                <wp:effectExtent l="0" t="0" r="8890" b="15240"/>
                <wp:wrapNone/>
                <wp:docPr id="1538938901" name="Text Box 2"/>
                <wp:cNvGraphicFramePr/>
                <a:graphic xmlns:a="http://schemas.openxmlformats.org/drawingml/2006/main">
                  <a:graphicData uri="http://schemas.microsoft.com/office/word/2010/wordprocessingShape">
                    <wps:wsp>
                      <wps:cNvSpPr txBox="1"/>
                      <wps:spPr>
                        <a:xfrm>
                          <a:off x="0" y="0"/>
                          <a:ext cx="6201410" cy="1965960"/>
                        </a:xfrm>
                        <a:prstGeom prst="rect">
                          <a:avLst/>
                        </a:prstGeom>
                        <a:noFill/>
                        <a:ln w="6350">
                          <a:noFill/>
                        </a:ln>
                      </wps:spPr>
                      <wps:txbx>
                        <w:txbxContent>
                          <w:p w14:paraId="1E772897" w14:textId="30D28C6B" w:rsidR="00E20EB1" w:rsidRPr="001A5EBC" w:rsidRDefault="00837612" w:rsidP="00E20EB1">
                            <w:pPr>
                              <w:pStyle w:val="Title"/>
                            </w:pPr>
                            <w:sdt>
                              <w:sdtPr>
                                <w:alias w:val="Title"/>
                                <w:tag w:val=""/>
                                <w:id w:val="-266927404"/>
                                <w:dataBinding w:prefixMappings="xmlns:ns0='http://purl.org/dc/elements/1.1/' xmlns:ns1='http://schemas.openxmlformats.org/package/2006/metadata/core-properties' " w:xpath="/ns1:coreProperties[1]/ns0:title[1]" w:storeItemID="{6C3C8BC8-F283-45AE-878A-BAB7291924A1}"/>
                                <w:text/>
                              </w:sdtPr>
                              <w:sdtEndPr/>
                              <w:sdtContent>
                                <w:r w:rsidR="00D4356A" w:rsidRPr="001A5EBC">
                                  <w:t>Public-Private Investment Splits in North of England</w:t>
                                </w:r>
                                <w:r w:rsidR="00495CB7">
                                  <w:t xml:space="preserve">: </w:t>
                                </w:r>
                                <w:r w:rsidR="002F776E">
                                  <w:t xml:space="preserve">The </w:t>
                                </w:r>
                                <w:r w:rsidR="00D4356A" w:rsidRPr="001A5EBC">
                                  <w:t>Net Zero Scenario</w:t>
                                </w:r>
                              </w:sdtContent>
                            </w:sdt>
                          </w:p>
                          <w:p w14:paraId="392C359B" w14:textId="2911849A" w:rsidR="00FF314A" w:rsidRPr="001A5EBC" w:rsidRDefault="00024C92" w:rsidP="00E20EB1">
                            <w:pPr>
                              <w:pStyle w:val="Title"/>
                              <w:rPr>
                                <w:sz w:val="44"/>
                                <w:szCs w:val="46"/>
                              </w:rPr>
                            </w:pPr>
                            <w:r w:rsidRPr="001A5EBC">
                              <w:rPr>
                                <w:sz w:val="44"/>
                                <w:szCs w:val="46"/>
                              </w:rPr>
                              <w:t>Technical</w:t>
                            </w:r>
                            <w:r w:rsidR="00FF314A" w:rsidRPr="001A5EBC">
                              <w:rPr>
                                <w:spacing w:val="-3"/>
                                <w:sz w:val="44"/>
                                <w:szCs w:val="46"/>
                              </w:rPr>
                              <w:t xml:space="preserve"> </w:t>
                            </w:r>
                            <w:r w:rsidR="00495CB7">
                              <w:rPr>
                                <w:sz w:val="44"/>
                                <w:szCs w:val="46"/>
                              </w:rPr>
                              <w:t>R</w:t>
                            </w:r>
                            <w:r w:rsidR="00FF314A" w:rsidRPr="001A5EBC">
                              <w:rPr>
                                <w:sz w:val="44"/>
                                <w:szCs w:val="46"/>
                              </w:rPr>
                              <w:t>eport</w:t>
                            </w:r>
                            <w:r w:rsidR="00FF314A" w:rsidRPr="001A5EBC">
                              <w:rPr>
                                <w:spacing w:val="-2"/>
                                <w:sz w:val="44"/>
                                <w:szCs w:val="46"/>
                              </w:rPr>
                              <w:t xml:space="preserve"> </w:t>
                            </w:r>
                            <w:r w:rsidR="00FF314A" w:rsidRPr="001A5EBC">
                              <w:rPr>
                                <w:sz w:val="44"/>
                                <w:szCs w:val="46"/>
                              </w:rPr>
                              <w:t>–</w:t>
                            </w:r>
                            <w:r w:rsidR="00FF314A" w:rsidRPr="001A5EBC">
                              <w:rPr>
                                <w:spacing w:val="-2"/>
                                <w:sz w:val="44"/>
                                <w:szCs w:val="46"/>
                              </w:rPr>
                              <w:t xml:space="preserve"> </w:t>
                            </w:r>
                            <w:r w:rsidR="00E20EB1" w:rsidRPr="001A5EBC">
                              <w:rPr>
                                <w:sz w:val="44"/>
                                <w:szCs w:val="46"/>
                              </w:rPr>
                              <w:t>June</w:t>
                            </w:r>
                            <w:r w:rsidR="00FF314A" w:rsidRPr="001A5EBC">
                              <w:rPr>
                                <w:spacing w:val="-2"/>
                                <w:sz w:val="44"/>
                                <w:szCs w:val="46"/>
                              </w:rPr>
                              <w:t xml:space="preserve"> </w:t>
                            </w:r>
                            <w:r w:rsidR="00FF314A" w:rsidRPr="001A5EBC">
                              <w:rPr>
                                <w:spacing w:val="-4"/>
                                <w:sz w:val="44"/>
                                <w:szCs w:val="46"/>
                              </w:rPr>
                              <w:t>202</w:t>
                            </w:r>
                            <w:r w:rsidRPr="001A5EBC">
                              <w:rPr>
                                <w:spacing w:val="-4"/>
                                <w:sz w:val="44"/>
                                <w:szCs w:val="46"/>
                              </w:rPr>
                              <w:t>4</w:t>
                            </w:r>
                          </w:p>
                          <w:p w14:paraId="70114BC7" w14:textId="77777777" w:rsidR="005710E1" w:rsidRPr="001A5EBC" w:rsidRDefault="005710E1" w:rsidP="00BA0BB4"/>
                          <w:p w14:paraId="629514A4" w14:textId="77777777" w:rsidR="005710E1" w:rsidRPr="001A5EBC" w:rsidRDefault="005710E1" w:rsidP="00BA0BB4">
                            <w:pPr>
                              <w:pStyle w:val="Subtitle"/>
                            </w:pPr>
                            <w:r w:rsidRPr="001A5EBC">
                              <w:t>Final report – August 2023</w:t>
                            </w:r>
                          </w:p>
                          <w:p w14:paraId="0C45C175" w14:textId="77777777" w:rsidR="005710E1" w:rsidRPr="001A5EBC" w:rsidRDefault="005710E1" w:rsidP="00106894">
                            <w:pPr>
                              <w:pStyle w:val="BodyText"/>
                            </w:pPr>
                          </w:p>
                          <w:p w14:paraId="6B1B4BDD" w14:textId="77777777" w:rsidR="005710E1" w:rsidRPr="001A5EBC" w:rsidRDefault="005710E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A18D1A" id="_x0000_t202" coordsize="21600,21600" o:spt="202" path="m,l,21600r21600,l21600,xe">
                <v:stroke joinstyle="miter"/>
                <v:path gradientshapeok="t" o:connecttype="rect"/>
              </v:shapetype>
              <v:shape id="Text Box 2" o:spid="_x0000_s1026" type="#_x0000_t202" style="position:absolute;margin-left:73.3pt;margin-top:73.45pt;width:488.3pt;height:154.8pt;z-index:251657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" filled="f" stroked="f" strokeweight=".5pt">
                <v:textbox inset="0,0,0,0">
                  <w:txbxContent>
                    <w:p w14:paraId="1E772897" w14:textId="30D28C6B" w:rsidR="00E20EB1" w:rsidRPr="001A5EBC" w:rsidRDefault="00837612" w:rsidP="00E20EB1">
                      <w:pPr>
                        <w:pStyle w:val="Title"/>
                      </w:pPr>
                      <w:sdt>
                        <w:sdtPr>
                          <w:alias w:val="Title"/>
                          <w:tag w:val=""/>
                          <w:id w:val="-266927404"/>
                          <w:dataBinding w:prefixMappings="xmlns:ns0='http://purl.org/dc/elements/1.1/' xmlns:ns1='http://schemas.openxmlformats.org/package/2006/metadata/core-properties' " w:xpath="/ns1:coreProperties[1]/ns0:title[1]" w:storeItemID="{6C3C8BC8-F283-45AE-878A-BAB7291924A1}"/>
                          <w:text/>
                        </w:sdtPr>
                        <w:sdtEndPr/>
                        <w:sdtContent>
                          <w:r w:rsidR="00D4356A" w:rsidRPr="001A5EBC">
                            <w:t>Public-Private Investment Splits in North of England</w:t>
                          </w:r>
                          <w:r w:rsidR="00495CB7">
                            <w:t xml:space="preserve">: </w:t>
                          </w:r>
                          <w:r w:rsidR="002F776E">
                            <w:t xml:space="preserve">The </w:t>
                          </w:r>
                          <w:r w:rsidR="00D4356A" w:rsidRPr="001A5EBC">
                            <w:t>Net Zero Scenario</w:t>
                          </w:r>
                        </w:sdtContent>
                      </w:sdt>
                    </w:p>
                    <w:p w14:paraId="392C359B" w14:textId="2911849A" w:rsidR="00FF314A" w:rsidRPr="001A5EBC" w:rsidRDefault="00024C92" w:rsidP="00E20EB1">
                      <w:pPr>
                        <w:pStyle w:val="Title"/>
                        <w:rPr>
                          <w:sz w:val="44"/>
                          <w:szCs w:val="46"/>
                        </w:rPr>
                      </w:pPr>
                      <w:r w:rsidRPr="001A5EBC">
                        <w:rPr>
                          <w:sz w:val="44"/>
                          <w:szCs w:val="46"/>
                        </w:rPr>
                        <w:t>Technical</w:t>
                      </w:r>
                      <w:r w:rsidR="00FF314A" w:rsidRPr="001A5EBC">
                        <w:rPr>
                          <w:spacing w:val="-3"/>
                          <w:sz w:val="44"/>
                          <w:szCs w:val="46"/>
                        </w:rPr>
                        <w:t xml:space="preserve"> </w:t>
                      </w:r>
                      <w:r w:rsidR="00495CB7">
                        <w:rPr>
                          <w:sz w:val="44"/>
                          <w:szCs w:val="46"/>
                        </w:rPr>
                        <w:t>R</w:t>
                      </w:r>
                      <w:r w:rsidR="00FF314A" w:rsidRPr="001A5EBC">
                        <w:rPr>
                          <w:sz w:val="44"/>
                          <w:szCs w:val="46"/>
                        </w:rPr>
                        <w:t>eport</w:t>
                      </w:r>
                      <w:r w:rsidR="00FF314A" w:rsidRPr="001A5EBC">
                        <w:rPr>
                          <w:spacing w:val="-2"/>
                          <w:sz w:val="44"/>
                          <w:szCs w:val="46"/>
                        </w:rPr>
                        <w:t xml:space="preserve"> </w:t>
                      </w:r>
                      <w:r w:rsidR="00FF314A" w:rsidRPr="001A5EBC">
                        <w:rPr>
                          <w:sz w:val="44"/>
                          <w:szCs w:val="46"/>
                        </w:rPr>
                        <w:t>–</w:t>
                      </w:r>
                      <w:r w:rsidR="00FF314A" w:rsidRPr="001A5EBC">
                        <w:rPr>
                          <w:spacing w:val="-2"/>
                          <w:sz w:val="44"/>
                          <w:szCs w:val="46"/>
                        </w:rPr>
                        <w:t xml:space="preserve"> </w:t>
                      </w:r>
                      <w:r w:rsidR="00E20EB1" w:rsidRPr="001A5EBC">
                        <w:rPr>
                          <w:sz w:val="44"/>
                          <w:szCs w:val="46"/>
                        </w:rPr>
                        <w:t>June</w:t>
                      </w:r>
                      <w:r w:rsidR="00FF314A" w:rsidRPr="001A5EBC">
                        <w:rPr>
                          <w:spacing w:val="-2"/>
                          <w:sz w:val="44"/>
                          <w:szCs w:val="46"/>
                        </w:rPr>
                        <w:t xml:space="preserve"> </w:t>
                      </w:r>
                      <w:r w:rsidR="00FF314A" w:rsidRPr="001A5EBC">
                        <w:rPr>
                          <w:spacing w:val="-4"/>
                          <w:sz w:val="44"/>
                          <w:szCs w:val="46"/>
                        </w:rPr>
                        <w:t>202</w:t>
                      </w:r>
                      <w:r w:rsidRPr="001A5EBC">
                        <w:rPr>
                          <w:spacing w:val="-4"/>
                          <w:sz w:val="44"/>
                          <w:szCs w:val="46"/>
                        </w:rPr>
                        <w:t>4</w:t>
                      </w:r>
                    </w:p>
                    <w:p w14:paraId="70114BC7" w14:textId="77777777" w:rsidR="005710E1" w:rsidRPr="001A5EBC" w:rsidRDefault="005710E1" w:rsidP="00BA0BB4"/>
                    <w:p w14:paraId="629514A4" w14:textId="77777777" w:rsidR="005710E1" w:rsidRPr="001A5EBC" w:rsidRDefault="005710E1" w:rsidP="00BA0BB4">
                      <w:pPr>
                        <w:pStyle w:val="Subtitle"/>
                      </w:pPr>
                      <w:r w:rsidRPr="001A5EBC">
                        <w:t>Final report – August 2023</w:t>
                      </w:r>
                    </w:p>
                    <w:p w14:paraId="0C45C175" w14:textId="77777777" w:rsidR="005710E1" w:rsidRPr="001A5EBC" w:rsidRDefault="005710E1" w:rsidP="00106894">
                      <w:pPr>
                        <w:pStyle w:val="BodyText"/>
                      </w:pPr>
                    </w:p>
                    <w:p w14:paraId="6B1B4BDD" w14:textId="77777777" w:rsidR="005710E1" w:rsidRPr="001A5EBC" w:rsidRDefault="005710E1"/>
                  </w:txbxContent>
                </v:textbox>
                <w10:wrap anchorx="page" anchory="page"/>
              </v:shape>
            </w:pict>
          </mc:Fallback>
        </mc:AlternateContent>
      </w:r>
      <w:r w:rsidRPr="001A5EBC">
        <w:rPr>
          <w:noProof/>
        </w:rPr>
        <w:drawing>
          <wp:anchor distT="0" distB="0" distL="114300" distR="114300" simplePos="0" relativeHeight="251657223" behindDoc="0" locked="0" layoutInCell="1" allowOverlap="1" wp14:anchorId="5652505D" wp14:editId="39633191">
            <wp:simplePos x="0" y="0"/>
            <wp:positionH relativeFrom="page">
              <wp:posOffset>955040</wp:posOffset>
            </wp:positionH>
            <wp:positionV relativeFrom="margin">
              <wp:posOffset>2162810</wp:posOffset>
            </wp:positionV>
            <wp:extent cx="1873250" cy="758825"/>
            <wp:effectExtent l="0" t="0" r="0" b="3175"/>
            <wp:wrapNone/>
            <wp:docPr id="984989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89168"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873250" cy="758825"/>
                    </a:xfrm>
                    <a:prstGeom prst="rect">
                      <a:avLst/>
                    </a:prstGeom>
                    <a:noFill/>
                  </pic:spPr>
                </pic:pic>
              </a:graphicData>
            </a:graphic>
            <wp14:sizeRelH relativeFrom="margin">
              <wp14:pctWidth>0</wp14:pctWidth>
            </wp14:sizeRelH>
            <wp14:sizeRelV relativeFrom="margin">
              <wp14:pctHeight>0</wp14:pctHeight>
            </wp14:sizeRelV>
          </wp:anchor>
        </w:drawing>
      </w:r>
      <w:r w:rsidRPr="001A5EBC">
        <w:rPr>
          <w:noProof/>
        </w:rPr>
        <mc:AlternateContent>
          <mc:Choice Requires="wpg">
            <w:drawing>
              <wp:anchor distT="0" distB="0" distL="0" distR="0" simplePos="0" relativeHeight="251657221" behindDoc="1" locked="0" layoutInCell="1" allowOverlap="1" wp14:anchorId="2863EC70" wp14:editId="3CEBB3F2">
                <wp:simplePos x="0" y="0"/>
                <wp:positionH relativeFrom="page">
                  <wp:posOffset>573319</wp:posOffset>
                </wp:positionH>
                <wp:positionV relativeFrom="page">
                  <wp:posOffset>685268</wp:posOffset>
                </wp:positionV>
                <wp:extent cx="6492875" cy="3923030"/>
                <wp:effectExtent l="0" t="0" r="0" b="1270"/>
                <wp:wrapNone/>
                <wp:docPr id="102761025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2875" cy="3923030"/>
                          <a:chOff x="526503" y="6048502"/>
                          <a:chExt cx="6493510" cy="3923665"/>
                        </a:xfrm>
                      </wpg:grpSpPr>
                      <wps:wsp>
                        <wps:cNvPr id="1822466291" name="Graphic 3"/>
                        <wps:cNvSpPr/>
                        <wps:spPr>
                          <a:xfrm>
                            <a:off x="526503" y="6048502"/>
                            <a:ext cx="6493510" cy="3923665"/>
                          </a:xfrm>
                          <a:custGeom>
                            <a:avLst/>
                            <a:gdLst/>
                            <a:ahLst/>
                            <a:cxnLst/>
                            <a:rect l="l" t="t" r="r" b="b"/>
                            <a:pathLst>
                              <a:path w="6493510" h="3923665">
                                <a:moveTo>
                                  <a:pt x="6493497" y="0"/>
                                </a:moveTo>
                                <a:lnTo>
                                  <a:pt x="0" y="0"/>
                                </a:lnTo>
                                <a:lnTo>
                                  <a:pt x="0" y="3923487"/>
                                </a:lnTo>
                                <a:lnTo>
                                  <a:pt x="6493497" y="3923487"/>
                                </a:lnTo>
                                <a:lnTo>
                                  <a:pt x="6493497" y="0"/>
                                </a:lnTo>
                                <a:close/>
                              </a:path>
                            </a:pathLst>
                          </a:custGeom>
                          <a:solidFill>
                            <a:srgbClr val="0C1F2D"/>
                          </a:solidFill>
                        </wps:spPr>
                        <wps:bodyPr wrap="square" lIns="0" tIns="0" rIns="0" bIns="0" rtlCol="0">
                          <a:prstTxWarp prst="textNoShape">
                            <a:avLst/>
                          </a:prstTxWarp>
                          <a:noAutofit/>
                        </wps:bodyPr>
                      </wps:wsp>
                      <pic:pic xmlns:pic="http://schemas.openxmlformats.org/drawingml/2006/picture">
                        <pic:nvPicPr>
                          <pic:cNvPr id="84711817" name="Image 4"/>
                          <pic:cNvPicPr/>
                        </pic:nvPicPr>
                        <pic:blipFill>
                          <a:blip r:embed="rId9" cstate="print"/>
                          <a:stretch>
                            <a:fillRect/>
                          </a:stretch>
                        </pic:blipFill>
                        <pic:spPr>
                          <a:xfrm>
                            <a:off x="5184261" y="9525034"/>
                            <a:ext cx="1081203" cy="87409"/>
                          </a:xfrm>
                          <a:prstGeom prst="rect">
                            <a:avLst/>
                          </a:prstGeom>
                        </pic:spPr>
                      </pic:pic>
                      <pic:pic xmlns:pic="http://schemas.openxmlformats.org/drawingml/2006/picture">
                        <pic:nvPicPr>
                          <pic:cNvPr id="1320221054" name="Image 5"/>
                          <pic:cNvPicPr/>
                        </pic:nvPicPr>
                        <pic:blipFill>
                          <a:blip r:embed="rId10" cstate="print"/>
                          <a:stretch>
                            <a:fillRect/>
                          </a:stretch>
                        </pic:blipFill>
                        <pic:spPr>
                          <a:xfrm>
                            <a:off x="4673244" y="8774696"/>
                            <a:ext cx="412826" cy="825588"/>
                          </a:xfrm>
                          <a:prstGeom prst="rect">
                            <a:avLst/>
                          </a:prstGeom>
                        </pic:spPr>
                      </pic:pic>
                      <pic:pic xmlns:pic="http://schemas.openxmlformats.org/drawingml/2006/picture">
                        <pic:nvPicPr>
                          <pic:cNvPr id="1282777539" name="Image 6"/>
                          <pic:cNvPicPr/>
                        </pic:nvPicPr>
                        <pic:blipFill>
                          <a:blip r:embed="rId11" cstate="print"/>
                          <a:stretch>
                            <a:fillRect/>
                          </a:stretch>
                        </pic:blipFill>
                        <pic:spPr>
                          <a:xfrm>
                            <a:off x="5166239" y="9022011"/>
                            <a:ext cx="1498041" cy="383628"/>
                          </a:xfrm>
                          <a:prstGeom prst="rect">
                            <a:avLst/>
                          </a:prstGeom>
                        </pic:spPr>
                      </pic:pic>
                      <wps:wsp>
                        <wps:cNvPr id="1232692016" name="Graphic 7"/>
                        <wps:cNvSpPr/>
                        <wps:spPr>
                          <a:xfrm>
                            <a:off x="863993" y="8268179"/>
                            <a:ext cx="5800725" cy="6350"/>
                          </a:xfrm>
                          <a:custGeom>
                            <a:avLst/>
                            <a:gdLst/>
                            <a:ahLst/>
                            <a:cxnLst/>
                            <a:rect l="l" t="t" r="r" b="b"/>
                            <a:pathLst>
                              <a:path w="5800725" h="6350">
                                <a:moveTo>
                                  <a:pt x="0" y="0"/>
                                </a:moveTo>
                                <a:lnTo>
                                  <a:pt x="5800280" y="5994"/>
                                </a:lnTo>
                              </a:path>
                            </a:pathLst>
                          </a:custGeom>
                          <a:ln w="12700">
                            <a:solidFill>
                              <a:srgbClr val="009FE3"/>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618062" id="Group 2" o:spid="_x0000_s1026" style="position:absolute;margin-left:45.15pt;margin-top:53.95pt;width:511.25pt;height:308.9pt;z-index:-251659259;mso-wrap-distance-left:0;mso-wrap-distance-right:0;mso-position-horizontal-relative:page;mso-position-vertical-relative:page;mso-width-relative:margin;mso-height-relative:margin" coordorigin="5265,60485" coordsize="64935,392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">
                <v:shape id="Graphic 3" o:spid="_x0000_s1027" style="position:absolute;left:5265;top:60485;width:64935;height:39236;visibility:visible;mso-wrap-style:square;v-text-anchor:top" coordsize="6493510,3923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" path="m6493497,l,,,3923487r6493497,l6493497,xe" fillcolor="#0c1f2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51842;top:95250;width:10812;height:8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">
                  <v:imagedata r:id="rId12" o:title=""/>
                </v:shape>
                <v:shape id="Image 5" o:spid="_x0000_s1029" type="#_x0000_t75" style="position:absolute;left:46732;top:87746;width:4128;height:82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">
                  <v:imagedata r:id="rId13" o:title=""/>
                </v:shape>
                <v:shape id="Image 6" o:spid="_x0000_s1030" type="#_x0000_t75" style="position:absolute;left:51662;top:90220;width:14980;height:38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">
                  <v:imagedata r:id="rId14" o:title=""/>
                </v:shape>
                <v:shape id="Graphic 7" o:spid="_x0000_s1031" style="position:absolute;left:8639;top:82681;width:58008;height:64;visibility:visible;mso-wrap-style:square;v-text-anchor:top" coordsize="5800725,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" path="m,l5800280,5994e" filled="f" strokecolor="#009fe3" strokeweight="1pt">
                  <v:path arrowok="t"/>
                </v:shape>
                <w10:wrap anchorx="page" anchory="page"/>
              </v:group>
            </w:pict>
          </mc:Fallback>
        </mc:AlternateContent>
      </w:r>
      <w:r w:rsidR="005F345E" w:rsidRPr="001A5EBC">
        <w:tab/>
      </w:r>
    </w:p>
    <w:sdt>
      <w:sdtPr>
        <w:id w:val="1403564960"/>
        <w:docPartObj>
          <w:docPartGallery w:val="Cover Pages"/>
          <w:docPartUnique/>
        </w:docPartObj>
      </w:sdtPr>
      <w:sdtEndPr/>
      <w:sdtContent>
        <w:p w14:paraId="0CFD6BBA" w14:textId="7D94473A" w:rsidR="005710E1" w:rsidRPr="001A5EBC" w:rsidRDefault="005710E1" w:rsidP="00106894">
          <w:pPr>
            <w:pStyle w:val="BodyText"/>
          </w:pPr>
        </w:p>
        <w:p w14:paraId="711A85F0" w14:textId="6C7BE7EC" w:rsidR="005710E1" w:rsidRPr="001A5EBC" w:rsidRDefault="00837612">
          <w:pPr>
            <w:sectPr w:rsidR="005710E1" w:rsidRPr="001A5EBC" w:rsidSect="0004725A">
              <w:pgSz w:w="11910" w:h="16840"/>
              <w:pgMar w:top="2155" w:right="680" w:bottom="1361" w:left="686" w:header="539" w:footer="369" w:gutter="0"/>
              <w:cols w:space="720"/>
              <w:docGrid w:linePitch="272"/>
            </w:sectPr>
          </w:pPr>
        </w:p>
      </w:sdtContent>
    </w:sdt>
    <w:p w14:paraId="219135B3" w14:textId="1958D9E5" w:rsidR="000628A0" w:rsidRPr="001A5EBC" w:rsidRDefault="000628A0" w:rsidP="000628A0">
      <w:pPr>
        <w:pStyle w:val="BodyText"/>
      </w:pPr>
      <w:r w:rsidRPr="001A5EBC">
        <w:rPr>
          <w:noProof/>
        </w:rPr>
        <w:lastRenderedPageBreak/>
        <mc:AlternateContent>
          <mc:Choice Requires="wps">
            <w:drawing>
              <wp:anchor distT="0" distB="0" distL="114300" distR="114300" simplePos="0" relativeHeight="251657216" behindDoc="0" locked="0" layoutInCell="1" allowOverlap="1" wp14:anchorId="68A74979" wp14:editId="40B025C5">
                <wp:simplePos x="0" y="0"/>
                <wp:positionH relativeFrom="column">
                  <wp:posOffset>5261</wp:posOffset>
                </wp:positionH>
                <wp:positionV relativeFrom="margin">
                  <wp:posOffset>7171418</wp:posOffset>
                </wp:positionV>
                <wp:extent cx="6674485" cy="1271270"/>
                <wp:effectExtent l="0" t="0" r="12065" b="5080"/>
                <wp:wrapNone/>
                <wp:docPr id="564055683" name="Text Box 7"/>
                <wp:cNvGraphicFramePr/>
                <a:graphic xmlns:a="http://schemas.openxmlformats.org/drawingml/2006/main">
                  <a:graphicData uri="http://schemas.microsoft.com/office/word/2010/wordprocessingShape">
                    <wps:wsp>
                      <wps:cNvSpPr txBox="1"/>
                      <wps:spPr>
                        <a:xfrm>
                          <a:off x="0" y="0"/>
                          <a:ext cx="6674485" cy="1271270"/>
                        </a:xfrm>
                        <a:prstGeom prst="rect">
                          <a:avLst/>
                        </a:prstGeom>
                        <a:noFill/>
                        <a:ln w="6350">
                          <a:noFill/>
                        </a:ln>
                      </wps:spPr>
                      <wps:txbx>
                        <w:txbxContent>
                          <w:p w14:paraId="07215629" w14:textId="77777777" w:rsidR="000628A0" w:rsidRPr="001A5EBC" w:rsidRDefault="000628A0" w:rsidP="000628A0">
                            <w:pPr>
                              <w:spacing w:after="0"/>
                              <w:rPr>
                                <w:color w:val="FFFFFF" w:themeColor="background1"/>
                                <w:sz w:val="16"/>
                                <w:szCs w:val="16"/>
                              </w:rPr>
                            </w:pPr>
                            <w:r w:rsidRPr="001A5EBC">
                              <w:rPr>
                                <w:color w:val="FFFFFF" w:themeColor="background1"/>
                                <w:sz w:val="16"/>
                                <w:szCs w:val="16"/>
                              </w:rPr>
                              <w:t>Cambridge Econometrics’ mission is to provide clear and useful insights, based on rigorous and independent economic analysis, to address the complex challenges facing society.</w:t>
                            </w:r>
                          </w:p>
                          <w:p w14:paraId="24F31CE4" w14:textId="77777777" w:rsidR="000628A0" w:rsidRPr="001A5EBC" w:rsidRDefault="000628A0" w:rsidP="000628A0">
                            <w:pPr>
                              <w:rPr>
                                <w:rFonts w:asciiTheme="majorHAnsi" w:hAnsiTheme="majorHAnsi"/>
                                <w:color w:val="009FE3" w:themeColor="accent1"/>
                                <w:sz w:val="16"/>
                                <w:szCs w:val="16"/>
                              </w:rPr>
                            </w:pPr>
                            <w:r w:rsidRPr="001A5EBC">
                              <w:rPr>
                                <w:rFonts w:asciiTheme="majorHAnsi" w:hAnsiTheme="majorHAnsi"/>
                                <w:color w:val="009FE3" w:themeColor="accent1"/>
                                <w:sz w:val="16"/>
                                <w:szCs w:val="16"/>
                              </w:rPr>
                              <w:t>www.camecon.com</w:t>
                            </w:r>
                          </w:p>
                          <w:p w14:paraId="1DA820EF" w14:textId="30683F6E" w:rsidR="000628A0" w:rsidRPr="001A5EBC" w:rsidRDefault="000628A0" w:rsidP="000628A0">
                            <w:pPr>
                              <w:spacing w:after="0"/>
                              <w:rPr>
                                <w:color w:val="FFFFFF" w:themeColor="background1"/>
                                <w:sz w:val="16"/>
                                <w:szCs w:val="16"/>
                              </w:rPr>
                            </w:pPr>
                            <w:r w:rsidRPr="001A5EBC">
                              <w:rPr>
                                <w:color w:val="FFFFFF" w:themeColor="background1"/>
                                <w:sz w:val="16"/>
                                <w:szCs w:val="16"/>
                              </w:rPr>
                              <w:t>Cambridge Econometrics Limited is owned by a charitable body,</w:t>
                            </w:r>
                            <w:r w:rsidR="008D0567">
                              <w:rPr>
                                <w:color w:val="FFFFFF" w:themeColor="background1"/>
                                <w:sz w:val="16"/>
                                <w:szCs w:val="16"/>
                              </w:rPr>
                              <w:t xml:space="preserve"> </w:t>
                            </w:r>
                            <w:r w:rsidRPr="001A5EBC">
                              <w:rPr>
                                <w:color w:val="FFFFFF" w:themeColor="background1"/>
                                <w:sz w:val="16"/>
                                <w:szCs w:val="16"/>
                              </w:rPr>
                              <w:t xml:space="preserve">the Cambridge Trust for New Thinking in Economics. </w:t>
                            </w:r>
                          </w:p>
                          <w:p w14:paraId="56043CF3" w14:textId="77777777" w:rsidR="000628A0" w:rsidRPr="001A5EBC" w:rsidRDefault="000628A0" w:rsidP="000628A0">
                            <w:pPr>
                              <w:spacing w:after="120"/>
                              <w:rPr>
                                <w:rFonts w:asciiTheme="majorHAnsi" w:hAnsiTheme="majorHAnsi"/>
                                <w:color w:val="009FE3" w:themeColor="accent1"/>
                                <w:sz w:val="16"/>
                                <w:szCs w:val="16"/>
                              </w:rPr>
                            </w:pPr>
                            <w:r w:rsidRPr="001A5EBC">
                              <w:rPr>
                                <w:rFonts w:asciiTheme="majorHAnsi" w:hAnsiTheme="majorHAnsi"/>
                                <w:color w:val="009FE3" w:themeColor="accent1"/>
                                <w:sz w:val="16"/>
                                <w:szCs w:val="16"/>
                              </w:rPr>
                              <w:t>www.neweconomicthinking.org</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74979" id="Text Box 7" o:spid="_x0000_s1027" type="#_x0000_t202" style="position:absolute;margin-left:.4pt;margin-top:564.7pt;width:525.55pt;height:100.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" filled="f" stroked="f" strokeweight=".5pt">
                <v:textbox inset="0,0,0,0">
                  <w:txbxContent>
                    <w:p w14:paraId="07215629" w14:textId="77777777" w:rsidR="000628A0" w:rsidRPr="001A5EBC" w:rsidRDefault="000628A0" w:rsidP="000628A0">
                      <w:pPr>
                        <w:spacing w:after="0"/>
                        <w:rPr>
                          <w:color w:val="FFFFFF" w:themeColor="background1"/>
                          <w:sz w:val="16"/>
                          <w:szCs w:val="16"/>
                        </w:rPr>
                      </w:pPr>
                      <w:r w:rsidRPr="001A5EBC">
                        <w:rPr>
                          <w:color w:val="FFFFFF" w:themeColor="background1"/>
                          <w:sz w:val="16"/>
                          <w:szCs w:val="16"/>
                        </w:rPr>
                        <w:t>Cambridge Econometrics’ mission is to provide clear and useful insights, based on rigorous and independent economic analysis, to address the complex challenges facing society.</w:t>
                      </w:r>
                    </w:p>
                    <w:p w14:paraId="24F31CE4" w14:textId="77777777" w:rsidR="000628A0" w:rsidRPr="001A5EBC" w:rsidRDefault="000628A0" w:rsidP="000628A0">
                      <w:pPr>
                        <w:rPr>
                          <w:rFonts w:asciiTheme="majorHAnsi" w:hAnsiTheme="majorHAnsi"/>
                          <w:color w:val="009FE3" w:themeColor="accent1"/>
                          <w:sz w:val="16"/>
                          <w:szCs w:val="16"/>
                        </w:rPr>
                      </w:pPr>
                      <w:r w:rsidRPr="001A5EBC">
                        <w:rPr>
                          <w:rFonts w:asciiTheme="majorHAnsi" w:hAnsiTheme="majorHAnsi"/>
                          <w:color w:val="009FE3" w:themeColor="accent1"/>
                          <w:sz w:val="16"/>
                          <w:szCs w:val="16"/>
                        </w:rPr>
                        <w:t>www.camecon.com</w:t>
                      </w:r>
                    </w:p>
                    <w:p w14:paraId="1DA820EF" w14:textId="30683F6E" w:rsidR="000628A0" w:rsidRPr="001A5EBC" w:rsidRDefault="000628A0" w:rsidP="000628A0">
                      <w:pPr>
                        <w:spacing w:after="0"/>
                        <w:rPr>
                          <w:color w:val="FFFFFF" w:themeColor="background1"/>
                          <w:sz w:val="16"/>
                          <w:szCs w:val="16"/>
                        </w:rPr>
                      </w:pPr>
                      <w:r w:rsidRPr="001A5EBC">
                        <w:rPr>
                          <w:color w:val="FFFFFF" w:themeColor="background1"/>
                          <w:sz w:val="16"/>
                          <w:szCs w:val="16"/>
                        </w:rPr>
                        <w:t>Cambridge Econometrics Limited is owned by a charitable body,</w:t>
                      </w:r>
                      <w:r w:rsidR="008D0567">
                        <w:rPr>
                          <w:color w:val="FFFFFF" w:themeColor="background1"/>
                          <w:sz w:val="16"/>
                          <w:szCs w:val="16"/>
                        </w:rPr>
                        <w:t xml:space="preserve"> </w:t>
                      </w:r>
                      <w:r w:rsidRPr="001A5EBC">
                        <w:rPr>
                          <w:color w:val="FFFFFF" w:themeColor="background1"/>
                          <w:sz w:val="16"/>
                          <w:szCs w:val="16"/>
                        </w:rPr>
                        <w:t xml:space="preserve">the Cambridge Trust for New Thinking in Economics. </w:t>
                      </w:r>
                    </w:p>
                    <w:p w14:paraId="56043CF3" w14:textId="77777777" w:rsidR="000628A0" w:rsidRPr="001A5EBC" w:rsidRDefault="000628A0" w:rsidP="000628A0">
                      <w:pPr>
                        <w:spacing w:after="120"/>
                        <w:rPr>
                          <w:rFonts w:asciiTheme="majorHAnsi" w:hAnsiTheme="majorHAnsi"/>
                          <w:color w:val="009FE3" w:themeColor="accent1"/>
                          <w:sz w:val="16"/>
                          <w:szCs w:val="16"/>
                        </w:rPr>
                      </w:pPr>
                      <w:r w:rsidRPr="001A5EBC">
                        <w:rPr>
                          <w:rFonts w:asciiTheme="majorHAnsi" w:hAnsiTheme="majorHAnsi"/>
                          <w:color w:val="009FE3" w:themeColor="accent1"/>
                          <w:sz w:val="16"/>
                          <w:szCs w:val="16"/>
                        </w:rPr>
                        <w:t>www.neweconomicthinking.org</w:t>
                      </w:r>
                    </w:p>
                  </w:txbxContent>
                </v:textbox>
                <w10:wrap anchory="margin"/>
              </v:shape>
            </w:pict>
          </mc:Fallback>
        </mc:AlternateContent>
      </w:r>
      <w:r w:rsidRPr="001A5EBC">
        <w:rPr>
          <w:noProof/>
        </w:rPr>
        <mc:AlternateContent>
          <mc:Choice Requires="wps">
            <w:drawing>
              <wp:anchor distT="0" distB="0" distL="114300" distR="114300" simplePos="0" relativeHeight="251657218" behindDoc="0" locked="0" layoutInCell="1" allowOverlap="1" wp14:anchorId="4236B517" wp14:editId="794A2F9D">
                <wp:simplePos x="0" y="0"/>
                <wp:positionH relativeFrom="page">
                  <wp:posOffset>3853543</wp:posOffset>
                </wp:positionH>
                <wp:positionV relativeFrom="page">
                  <wp:posOffset>2432957</wp:posOffset>
                </wp:positionV>
                <wp:extent cx="3703955" cy="4057015"/>
                <wp:effectExtent l="0" t="0" r="0" b="635"/>
                <wp:wrapNone/>
                <wp:docPr id="974387172" name="Rectangle 8"/>
                <wp:cNvGraphicFramePr/>
                <a:graphic xmlns:a="http://schemas.openxmlformats.org/drawingml/2006/main">
                  <a:graphicData uri="http://schemas.microsoft.com/office/word/2010/wordprocessingShape">
                    <wps:wsp>
                      <wps:cNvSpPr/>
                      <wps:spPr>
                        <a:xfrm>
                          <a:off x="0" y="0"/>
                          <a:ext cx="3703955" cy="4057015"/>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81D40A" w14:textId="77777777" w:rsidR="000628A0" w:rsidRPr="001A5EBC" w:rsidRDefault="000628A0" w:rsidP="000628A0">
                            <w:pPr>
                              <w:pStyle w:val="StandardHeading16ptBlack"/>
                            </w:pPr>
                            <w:r w:rsidRPr="001A5EBC">
                              <w:t>Contributors</w:t>
                            </w:r>
                          </w:p>
                          <w:p w14:paraId="36B2D2FB" w14:textId="2ACED4AD" w:rsidR="00024C92" w:rsidRPr="001A5EBC" w:rsidRDefault="00E20EB1" w:rsidP="000628A0">
                            <w:pPr>
                              <w:spacing w:after="120"/>
                            </w:pPr>
                            <w:r w:rsidRPr="001A5EBC">
                              <w:t>Adam Brown</w:t>
                            </w:r>
                            <w:r w:rsidR="00024C92" w:rsidRPr="001A5EBC">
                              <w:t xml:space="preserve"> </w:t>
                            </w:r>
                            <w:r w:rsidR="000628A0" w:rsidRPr="001A5EBC">
                              <w:t xml:space="preserve"> </w:t>
                            </w:r>
                          </w:p>
                          <w:p w14:paraId="671CD360" w14:textId="5018B213" w:rsidR="00024C92" w:rsidRPr="001A5EBC" w:rsidRDefault="00E20EB1" w:rsidP="000628A0">
                            <w:pPr>
                              <w:spacing w:after="120"/>
                            </w:pPr>
                            <w:hyperlink r:id="rId15" w:history="1">
                              <w:r w:rsidRPr="001A5EBC">
                                <w:rPr>
                                  <w:rStyle w:val="Hyperlink"/>
                                </w:rPr>
                                <w:t>alb@camecon.com</w:t>
                              </w:r>
                            </w:hyperlink>
                            <w:r w:rsidRPr="001A5EBC">
                              <w:t xml:space="preserve"> </w:t>
                            </w:r>
                          </w:p>
                          <w:p w14:paraId="1CA4A7FC" w14:textId="5CE3542F" w:rsidR="008E658C" w:rsidRPr="001A5EBC" w:rsidRDefault="008E658C" w:rsidP="000628A0">
                            <w:pPr>
                              <w:spacing w:after="120"/>
                            </w:pPr>
                            <w:r w:rsidRPr="001A5EBC">
                              <w:t>Jen Dicks</w:t>
                            </w:r>
                          </w:p>
                          <w:p w14:paraId="65553784" w14:textId="6F1130F6" w:rsidR="008E658C" w:rsidRPr="001A5EBC" w:rsidRDefault="008E658C" w:rsidP="000628A0">
                            <w:pPr>
                              <w:spacing w:after="120"/>
                            </w:pPr>
                            <w:hyperlink r:id="rId16" w:history="1">
                              <w:r w:rsidRPr="001A5EBC">
                                <w:rPr>
                                  <w:rStyle w:val="Hyperlink"/>
                                </w:rPr>
                                <w:t>jd@camecon.com</w:t>
                              </w:r>
                            </w:hyperlink>
                            <w:r w:rsidRPr="001A5EBC">
                              <w:t xml:space="preserve"> </w:t>
                            </w:r>
                          </w:p>
                          <w:p w14:paraId="20B05F33" w14:textId="7EF3B968" w:rsidR="000628A0" w:rsidRPr="001A5EBC" w:rsidRDefault="000628A0" w:rsidP="000628A0">
                            <w:pPr>
                              <w:spacing w:after="120"/>
                            </w:pPr>
                            <w:r w:rsidRPr="001A5EBC">
                              <w:t>(Cambridge Econometrics)</w:t>
                            </w:r>
                          </w:p>
                          <w:p w14:paraId="2940D9A8" w14:textId="1DC88A6C" w:rsidR="000628A0" w:rsidRPr="001A5EBC" w:rsidRDefault="000628A0" w:rsidP="000628A0"/>
                        </w:txbxContent>
                      </wps:txbx>
                      <wps:bodyPr rot="0" spcFirstLastPara="0" vertOverflow="overflow" horzOverflow="overflow" vert="horz" wrap="square" lIns="216000" tIns="216000" rIns="1224000" bIns="21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6B517" id="Rectangle 8" o:spid="_x0000_s1028" style="position:absolute;margin-left:303.45pt;margin-top:191.55pt;width:291.65pt;height:319.45pt;z-index:251657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" fillcolor="#009fe3 [3204]" stroked="f" strokeweight="2pt">
                <v:textbox inset="6mm,6mm,34mm,6mm">
                  <w:txbxContent>
                    <w:p w14:paraId="4581D40A" w14:textId="77777777" w:rsidR="000628A0" w:rsidRPr="001A5EBC" w:rsidRDefault="000628A0" w:rsidP="000628A0">
                      <w:pPr>
                        <w:pStyle w:val="StandardHeading16ptBlack"/>
                      </w:pPr>
                      <w:r w:rsidRPr="001A5EBC">
                        <w:t>Contributors</w:t>
                      </w:r>
                    </w:p>
                    <w:p w14:paraId="36B2D2FB" w14:textId="2ACED4AD" w:rsidR="00024C92" w:rsidRPr="001A5EBC" w:rsidRDefault="00E20EB1" w:rsidP="000628A0">
                      <w:pPr>
                        <w:spacing w:after="120"/>
                      </w:pPr>
                      <w:r w:rsidRPr="001A5EBC">
                        <w:t>Adam Brown</w:t>
                      </w:r>
                      <w:r w:rsidR="00024C92" w:rsidRPr="001A5EBC">
                        <w:t xml:space="preserve"> </w:t>
                      </w:r>
                      <w:r w:rsidR="000628A0" w:rsidRPr="001A5EBC">
                        <w:t xml:space="preserve"> </w:t>
                      </w:r>
                    </w:p>
                    <w:p w14:paraId="671CD360" w14:textId="5018B213" w:rsidR="00024C92" w:rsidRPr="001A5EBC" w:rsidRDefault="00E20EB1" w:rsidP="000628A0">
                      <w:pPr>
                        <w:spacing w:after="120"/>
                      </w:pPr>
                      <w:hyperlink r:id="rId17" w:history="1">
                        <w:r w:rsidRPr="001A5EBC">
                          <w:rPr>
                            <w:rStyle w:val="Hyperlink"/>
                          </w:rPr>
                          <w:t>alb@camecon.com</w:t>
                        </w:r>
                      </w:hyperlink>
                      <w:r w:rsidRPr="001A5EBC">
                        <w:t xml:space="preserve"> </w:t>
                      </w:r>
                    </w:p>
                    <w:p w14:paraId="1CA4A7FC" w14:textId="5CE3542F" w:rsidR="008E658C" w:rsidRPr="001A5EBC" w:rsidRDefault="008E658C" w:rsidP="000628A0">
                      <w:pPr>
                        <w:spacing w:after="120"/>
                      </w:pPr>
                      <w:r w:rsidRPr="001A5EBC">
                        <w:t>Jen Dicks</w:t>
                      </w:r>
                    </w:p>
                    <w:p w14:paraId="65553784" w14:textId="6F1130F6" w:rsidR="008E658C" w:rsidRPr="001A5EBC" w:rsidRDefault="008E658C" w:rsidP="000628A0">
                      <w:pPr>
                        <w:spacing w:after="120"/>
                      </w:pPr>
                      <w:hyperlink r:id="rId18" w:history="1">
                        <w:r w:rsidRPr="001A5EBC">
                          <w:rPr>
                            <w:rStyle w:val="Hyperlink"/>
                          </w:rPr>
                          <w:t>jd@camecon.com</w:t>
                        </w:r>
                      </w:hyperlink>
                      <w:r w:rsidRPr="001A5EBC">
                        <w:t xml:space="preserve"> </w:t>
                      </w:r>
                    </w:p>
                    <w:p w14:paraId="20B05F33" w14:textId="7EF3B968" w:rsidR="000628A0" w:rsidRPr="001A5EBC" w:rsidRDefault="000628A0" w:rsidP="000628A0">
                      <w:pPr>
                        <w:spacing w:after="120"/>
                      </w:pPr>
                      <w:r w:rsidRPr="001A5EBC">
                        <w:t>(Cambridge Econometrics)</w:t>
                      </w:r>
                    </w:p>
                    <w:p w14:paraId="2940D9A8" w14:textId="1DC88A6C" w:rsidR="000628A0" w:rsidRPr="001A5EBC" w:rsidRDefault="000628A0" w:rsidP="000628A0"/>
                  </w:txbxContent>
                </v:textbox>
                <w10:wrap anchorx="page" anchory="page"/>
              </v:rect>
            </w:pict>
          </mc:Fallback>
        </mc:AlternateContent>
      </w:r>
      <w:r w:rsidRPr="001A5EBC">
        <w:rPr>
          <w:noProof/>
        </w:rPr>
        <mc:AlternateContent>
          <mc:Choice Requires="wps">
            <w:drawing>
              <wp:anchor distT="0" distB="0" distL="114300" distR="114300" simplePos="0" relativeHeight="251657217" behindDoc="0" locked="0" layoutInCell="1" allowOverlap="1" wp14:anchorId="45505AAF" wp14:editId="686CA519">
                <wp:simplePos x="0" y="0"/>
                <wp:positionH relativeFrom="page">
                  <wp:posOffset>0</wp:posOffset>
                </wp:positionH>
                <wp:positionV relativeFrom="page">
                  <wp:posOffset>2434590</wp:posOffset>
                </wp:positionV>
                <wp:extent cx="3704400" cy="4057200"/>
                <wp:effectExtent l="0" t="0" r="0" b="635"/>
                <wp:wrapNone/>
                <wp:docPr id="868711271" name="Rectangle 8"/>
                <wp:cNvGraphicFramePr/>
                <a:graphic xmlns:a="http://schemas.openxmlformats.org/drawingml/2006/main">
                  <a:graphicData uri="http://schemas.microsoft.com/office/word/2010/wordprocessingShape">
                    <wps:wsp>
                      <wps:cNvSpPr/>
                      <wps:spPr>
                        <a:xfrm>
                          <a:off x="0" y="0"/>
                          <a:ext cx="3704400" cy="40572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EC56BD" w14:textId="50EECBCD" w:rsidR="00024C92" w:rsidRPr="001A5EBC" w:rsidRDefault="000628A0" w:rsidP="00E20EB1">
                            <w:pPr>
                              <w:pStyle w:val="StandardHeading16ptBlack"/>
                            </w:pPr>
                            <w:r w:rsidRPr="001A5EBC">
                              <w:t>Authors</w:t>
                            </w:r>
                            <w:r w:rsidR="00024C92" w:rsidRPr="001A5EBC">
                              <w:t xml:space="preserve">  </w:t>
                            </w:r>
                          </w:p>
                          <w:p w14:paraId="3E73B60B" w14:textId="77777777" w:rsidR="00E20EB1" w:rsidRPr="001A5EBC" w:rsidRDefault="00024C92" w:rsidP="00024C92">
                            <w:pPr>
                              <w:spacing w:after="120"/>
                            </w:pPr>
                            <w:r w:rsidRPr="001A5EBC">
                              <w:t xml:space="preserve">Ornella Dellaccio </w:t>
                            </w:r>
                            <w:hyperlink r:id="rId19" w:history="1">
                              <w:r w:rsidR="00DC1C92" w:rsidRPr="001A5EBC">
                                <w:rPr>
                                  <w:rStyle w:val="Hyperlink"/>
                                </w:rPr>
                                <w:t>od@camecon.com</w:t>
                              </w:r>
                            </w:hyperlink>
                            <w:r w:rsidRPr="001A5EBC">
                              <w:t xml:space="preserve"> </w:t>
                            </w:r>
                          </w:p>
                          <w:p w14:paraId="21FFA6F9" w14:textId="4BA58E8B" w:rsidR="000628A0" w:rsidRPr="001A5EBC" w:rsidRDefault="00E20EB1" w:rsidP="00024C92">
                            <w:pPr>
                              <w:spacing w:after="120"/>
                            </w:pPr>
                            <w:r w:rsidRPr="001A5EBC">
                              <w:t xml:space="preserve">Yshabella Reyes </w:t>
                            </w:r>
                            <w:hyperlink r:id="rId20" w:history="1">
                              <w:r w:rsidRPr="001A5EBC">
                                <w:rPr>
                                  <w:rStyle w:val="Hyperlink"/>
                                </w:rPr>
                                <w:t>yr@camecon.com</w:t>
                              </w:r>
                            </w:hyperlink>
                            <w:r w:rsidRPr="001A5EBC">
                              <w:t xml:space="preserve"> </w:t>
                            </w:r>
                            <w:r w:rsidR="000628A0" w:rsidRPr="001A5EBC">
                              <w:br/>
                              <w:t>(Cambridge Econometrics)</w:t>
                            </w:r>
                          </w:p>
                          <w:p w14:paraId="67B55CDF" w14:textId="01C66331" w:rsidR="000628A0" w:rsidRPr="001A5EBC" w:rsidRDefault="000628A0" w:rsidP="00024C92"/>
                        </w:txbxContent>
                      </wps:txbx>
                      <wps:bodyPr rot="0" spcFirstLastPara="0" vertOverflow="overflow" horzOverflow="overflow" vert="horz" wrap="square" lIns="1332000" tIns="216000" rIns="216000" bIns="21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05AAF" id="_x0000_s1029" style="position:absolute;margin-left:0;margin-top:191.7pt;width:291.7pt;height:319.45pt;z-index:251657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" fillcolor="#009fe3 [3204]" stroked="f" strokeweight="2pt">
                <v:textbox inset="37mm,6mm,6mm,6mm">
                  <w:txbxContent>
                    <w:p w14:paraId="78EC56BD" w14:textId="50EECBCD" w:rsidR="00024C92" w:rsidRPr="001A5EBC" w:rsidRDefault="000628A0" w:rsidP="00E20EB1">
                      <w:pPr>
                        <w:pStyle w:val="StandardHeading16ptBlack"/>
                      </w:pPr>
                      <w:r w:rsidRPr="001A5EBC">
                        <w:t>Authors</w:t>
                      </w:r>
                      <w:r w:rsidR="00024C92" w:rsidRPr="001A5EBC">
                        <w:t xml:space="preserve">  </w:t>
                      </w:r>
                    </w:p>
                    <w:p w14:paraId="3E73B60B" w14:textId="77777777" w:rsidR="00E20EB1" w:rsidRPr="001A5EBC" w:rsidRDefault="00024C92" w:rsidP="00024C92">
                      <w:pPr>
                        <w:spacing w:after="120"/>
                      </w:pPr>
                      <w:r w:rsidRPr="001A5EBC">
                        <w:t xml:space="preserve">Ornella Dellaccio </w:t>
                      </w:r>
                      <w:hyperlink r:id="rId21" w:history="1">
                        <w:r w:rsidR="00DC1C92" w:rsidRPr="001A5EBC">
                          <w:rPr>
                            <w:rStyle w:val="Hyperlink"/>
                          </w:rPr>
                          <w:t>od@camecon.com</w:t>
                        </w:r>
                      </w:hyperlink>
                      <w:r w:rsidRPr="001A5EBC">
                        <w:t xml:space="preserve"> </w:t>
                      </w:r>
                    </w:p>
                    <w:p w14:paraId="21FFA6F9" w14:textId="4BA58E8B" w:rsidR="000628A0" w:rsidRPr="001A5EBC" w:rsidRDefault="00E20EB1" w:rsidP="00024C92">
                      <w:pPr>
                        <w:spacing w:after="120"/>
                      </w:pPr>
                      <w:r w:rsidRPr="001A5EBC">
                        <w:t xml:space="preserve">Yshabella Reyes </w:t>
                      </w:r>
                      <w:hyperlink r:id="rId22" w:history="1">
                        <w:r w:rsidRPr="001A5EBC">
                          <w:rPr>
                            <w:rStyle w:val="Hyperlink"/>
                          </w:rPr>
                          <w:t>yr@camecon.com</w:t>
                        </w:r>
                      </w:hyperlink>
                      <w:r w:rsidRPr="001A5EBC">
                        <w:t xml:space="preserve"> </w:t>
                      </w:r>
                      <w:r w:rsidR="000628A0" w:rsidRPr="001A5EBC">
                        <w:br/>
                        <w:t>(Cambridge Econometrics)</w:t>
                      </w:r>
                    </w:p>
                    <w:p w14:paraId="67B55CDF" w14:textId="01C66331" w:rsidR="000628A0" w:rsidRPr="001A5EBC" w:rsidRDefault="000628A0" w:rsidP="00024C92"/>
                  </w:txbxContent>
                </v:textbox>
                <w10:wrap anchorx="page" anchory="page"/>
              </v:rect>
            </w:pict>
          </mc:Fallback>
        </mc:AlternateContent>
      </w:r>
    </w:p>
    <w:p w14:paraId="5AC5C64E" w14:textId="697A266C" w:rsidR="000628A0" w:rsidRPr="001A5EBC" w:rsidRDefault="00024C92" w:rsidP="000628A0">
      <w:pPr>
        <w:pStyle w:val="BodyText"/>
      </w:pPr>
      <w:r w:rsidRPr="001A5EBC">
        <w:rPr>
          <w:noProof/>
        </w:rPr>
        <mc:AlternateContent>
          <mc:Choice Requires="wps">
            <w:drawing>
              <wp:anchor distT="0" distB="0" distL="114300" distR="114300" simplePos="0" relativeHeight="251657220" behindDoc="0" locked="0" layoutInCell="1" allowOverlap="1" wp14:anchorId="711C9C73" wp14:editId="21266E3B">
                <wp:simplePos x="0" y="0"/>
                <wp:positionH relativeFrom="page">
                  <wp:posOffset>3856383</wp:posOffset>
                </wp:positionH>
                <wp:positionV relativeFrom="page">
                  <wp:posOffset>6660018</wp:posOffset>
                </wp:positionV>
                <wp:extent cx="3703955" cy="1003852"/>
                <wp:effectExtent l="0" t="0" r="0" b="6350"/>
                <wp:wrapNone/>
                <wp:docPr id="1593977583" name="Rectangle 8"/>
                <wp:cNvGraphicFramePr/>
                <a:graphic xmlns:a="http://schemas.openxmlformats.org/drawingml/2006/main">
                  <a:graphicData uri="http://schemas.microsoft.com/office/word/2010/wordprocessingShape">
                    <wps:wsp>
                      <wps:cNvSpPr/>
                      <wps:spPr>
                        <a:xfrm>
                          <a:off x="0" y="0"/>
                          <a:ext cx="3703955" cy="1003852"/>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28EC4B" w14:textId="77777777" w:rsidR="000628A0" w:rsidRPr="001A5EBC" w:rsidRDefault="000628A0" w:rsidP="000628A0">
                            <w:pPr>
                              <w:pStyle w:val="StandardHeadingBlack"/>
                              <w:spacing w:before="0" w:after="120"/>
                              <w:rPr>
                                <w:sz w:val="32"/>
                                <w:szCs w:val="32"/>
                              </w:rPr>
                            </w:pPr>
                            <w:r w:rsidRPr="001A5EBC">
                              <w:rPr>
                                <w:sz w:val="32"/>
                                <w:szCs w:val="32"/>
                              </w:rPr>
                              <w:t>Contact person</w:t>
                            </w:r>
                          </w:p>
                          <w:p w14:paraId="13D4A99C" w14:textId="77777777" w:rsidR="00E20EB1" w:rsidRPr="001A5EBC" w:rsidRDefault="00E20EB1" w:rsidP="00024C92">
                            <w:pPr>
                              <w:spacing w:after="0"/>
                            </w:pPr>
                            <w:r w:rsidRPr="001A5EBC">
                              <w:t>Adam Brown</w:t>
                            </w:r>
                          </w:p>
                          <w:p w14:paraId="5BFDB710" w14:textId="1CB39AA0" w:rsidR="000628A0" w:rsidRPr="001A5EBC" w:rsidRDefault="00E20EB1" w:rsidP="00024C92">
                            <w:pPr>
                              <w:spacing w:after="0"/>
                            </w:pPr>
                            <w:hyperlink r:id="rId23" w:history="1">
                              <w:r w:rsidRPr="001A5EBC">
                                <w:rPr>
                                  <w:rStyle w:val="Hyperlink"/>
                                </w:rPr>
                                <w:t>alb@camecon.com</w:t>
                              </w:r>
                            </w:hyperlink>
                          </w:p>
                        </w:txbxContent>
                      </wps:txbx>
                      <wps:bodyPr rot="0" spcFirstLastPara="0" vertOverflow="overflow" horzOverflow="overflow" vert="horz" wrap="square" lIns="216000" tIns="216000" rIns="133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C9C73" id="_x0000_s1030" style="position:absolute;margin-left:303.65pt;margin-top:524.4pt;width:291.65pt;height:79.05pt;z-index:251657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" fillcolor="#009fe3 [3204]" stroked="f" strokeweight="2pt">
                <v:textbox inset="6mm,6mm,37mm,2mm">
                  <w:txbxContent>
                    <w:p w14:paraId="2B28EC4B" w14:textId="77777777" w:rsidR="000628A0" w:rsidRPr="001A5EBC" w:rsidRDefault="000628A0" w:rsidP="000628A0">
                      <w:pPr>
                        <w:pStyle w:val="StandardHeadingBlack"/>
                        <w:spacing w:before="0" w:after="120"/>
                        <w:rPr>
                          <w:sz w:val="32"/>
                          <w:szCs w:val="32"/>
                        </w:rPr>
                      </w:pPr>
                      <w:r w:rsidRPr="001A5EBC">
                        <w:rPr>
                          <w:sz w:val="32"/>
                          <w:szCs w:val="32"/>
                        </w:rPr>
                        <w:t>Contact person</w:t>
                      </w:r>
                    </w:p>
                    <w:p w14:paraId="13D4A99C" w14:textId="77777777" w:rsidR="00E20EB1" w:rsidRPr="001A5EBC" w:rsidRDefault="00E20EB1" w:rsidP="00024C92">
                      <w:pPr>
                        <w:spacing w:after="0"/>
                      </w:pPr>
                      <w:r w:rsidRPr="001A5EBC">
                        <w:t>Adam Brown</w:t>
                      </w:r>
                    </w:p>
                    <w:p w14:paraId="5BFDB710" w14:textId="1CB39AA0" w:rsidR="000628A0" w:rsidRPr="001A5EBC" w:rsidRDefault="00AF2DEF" w:rsidP="00024C92">
                      <w:pPr>
                        <w:spacing w:after="0"/>
                      </w:pPr>
                      <w:hyperlink r:id="rId26" w:history="1">
                        <w:r w:rsidR="00E20EB1" w:rsidRPr="001A5EBC">
                          <w:rPr>
                            <w:rStyle w:val="Hyperlink"/>
                          </w:rPr>
                          <w:t>alb@camecon.com</w:t>
                        </w:r>
                      </w:hyperlink>
                    </w:p>
                  </w:txbxContent>
                </v:textbox>
                <w10:wrap anchorx="page" anchory="page"/>
              </v:rect>
            </w:pict>
          </mc:Fallback>
        </mc:AlternateContent>
      </w:r>
      <w:r w:rsidRPr="001A5EBC">
        <w:rPr>
          <w:noProof/>
        </w:rPr>
        <mc:AlternateContent>
          <mc:Choice Requires="wps">
            <w:drawing>
              <wp:anchor distT="0" distB="0" distL="114300" distR="114300" simplePos="0" relativeHeight="251657219" behindDoc="0" locked="0" layoutInCell="1" allowOverlap="1" wp14:anchorId="3710688D" wp14:editId="1DCADB5C">
                <wp:simplePos x="0" y="0"/>
                <wp:positionH relativeFrom="page">
                  <wp:align>left</wp:align>
                </wp:positionH>
                <wp:positionV relativeFrom="page">
                  <wp:posOffset>6660017</wp:posOffset>
                </wp:positionV>
                <wp:extent cx="3703955" cy="1023730"/>
                <wp:effectExtent l="0" t="0" r="0" b="5080"/>
                <wp:wrapNone/>
                <wp:docPr id="226447099" name="Rectangle 8"/>
                <wp:cNvGraphicFramePr/>
                <a:graphic xmlns:a="http://schemas.openxmlformats.org/drawingml/2006/main">
                  <a:graphicData uri="http://schemas.microsoft.com/office/word/2010/wordprocessingShape">
                    <wps:wsp>
                      <wps:cNvSpPr/>
                      <wps:spPr>
                        <a:xfrm>
                          <a:off x="0" y="0"/>
                          <a:ext cx="3703955" cy="102373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D2FC5C" w14:textId="77777777" w:rsidR="000628A0" w:rsidRPr="001A5EBC" w:rsidRDefault="000628A0" w:rsidP="000628A0">
                            <w:pPr>
                              <w:pStyle w:val="StandardHeadingBlack"/>
                              <w:spacing w:before="0" w:after="120"/>
                              <w:rPr>
                                <w:sz w:val="32"/>
                                <w:szCs w:val="32"/>
                              </w:rPr>
                            </w:pPr>
                            <w:r w:rsidRPr="001A5EBC">
                              <w:rPr>
                                <w:sz w:val="32"/>
                                <w:szCs w:val="32"/>
                              </w:rPr>
                              <w:t>Project director</w:t>
                            </w:r>
                          </w:p>
                          <w:p w14:paraId="61FBB0D5" w14:textId="003EA4FD" w:rsidR="00024C92" w:rsidRPr="001A5EBC" w:rsidRDefault="00E20EB1" w:rsidP="00024C92">
                            <w:pPr>
                              <w:spacing w:after="0"/>
                            </w:pPr>
                            <w:r w:rsidRPr="001A5EBC">
                              <w:t>Adam Brown</w:t>
                            </w:r>
                          </w:p>
                          <w:p w14:paraId="05282BF8" w14:textId="2037AFAA" w:rsidR="000628A0" w:rsidRPr="001A5EBC" w:rsidRDefault="00E20EB1" w:rsidP="00024C92">
                            <w:pPr>
                              <w:spacing w:after="0"/>
                            </w:pPr>
                            <w:hyperlink r:id="rId27" w:history="1">
                              <w:r w:rsidRPr="001A5EBC">
                                <w:rPr>
                                  <w:rStyle w:val="Hyperlink"/>
                                </w:rPr>
                                <w:t>alb@camecon.com</w:t>
                              </w:r>
                            </w:hyperlink>
                            <w:r w:rsidR="00024C92" w:rsidRPr="001A5EBC">
                              <w:t xml:space="preserve"> </w:t>
                            </w:r>
                          </w:p>
                        </w:txbxContent>
                      </wps:txbx>
                      <wps:bodyPr rot="0" spcFirstLastPara="0" vertOverflow="overflow" horzOverflow="overflow" vert="horz" wrap="square" lIns="1332000" tIns="216000" rIns="21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0688D" id="_x0000_s1031" style="position:absolute;margin-left:0;margin-top:524.4pt;width:291.65pt;height:80.6pt;z-index:25165721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" fillcolor="#009fe3 [3204]" stroked="f" strokeweight="2pt">
                <v:textbox inset="37mm,6mm,6mm,2mm">
                  <w:txbxContent>
                    <w:p w14:paraId="3CD2FC5C" w14:textId="77777777" w:rsidR="000628A0" w:rsidRPr="001A5EBC" w:rsidRDefault="000628A0" w:rsidP="000628A0">
                      <w:pPr>
                        <w:pStyle w:val="StandardHeadingBlack"/>
                        <w:spacing w:before="0" w:after="120"/>
                        <w:rPr>
                          <w:sz w:val="32"/>
                          <w:szCs w:val="32"/>
                        </w:rPr>
                      </w:pPr>
                      <w:r w:rsidRPr="001A5EBC">
                        <w:rPr>
                          <w:sz w:val="32"/>
                          <w:szCs w:val="32"/>
                        </w:rPr>
                        <w:t>Project director</w:t>
                      </w:r>
                    </w:p>
                    <w:p w14:paraId="61FBB0D5" w14:textId="003EA4FD" w:rsidR="00024C92" w:rsidRPr="001A5EBC" w:rsidRDefault="00E20EB1" w:rsidP="00024C92">
                      <w:pPr>
                        <w:spacing w:after="0"/>
                      </w:pPr>
                      <w:r w:rsidRPr="001A5EBC">
                        <w:t>Adam Brown</w:t>
                      </w:r>
                    </w:p>
                    <w:p w14:paraId="05282BF8" w14:textId="2037AFAA" w:rsidR="000628A0" w:rsidRPr="001A5EBC" w:rsidRDefault="00E20EB1" w:rsidP="00024C92">
                      <w:pPr>
                        <w:spacing w:after="0"/>
                      </w:pPr>
                      <w:hyperlink r:id="rId28" w:history="1">
                        <w:r w:rsidRPr="001A5EBC">
                          <w:rPr>
                            <w:rStyle w:val="Hyperlink"/>
                          </w:rPr>
                          <w:t>alb@camecon.com</w:t>
                        </w:r>
                      </w:hyperlink>
                      <w:r w:rsidR="00024C92" w:rsidRPr="001A5EBC">
                        <w:t xml:space="preserve"> </w:t>
                      </w:r>
                    </w:p>
                  </w:txbxContent>
                </v:textbox>
                <w10:wrap anchorx="page" anchory="page"/>
              </v:rect>
            </w:pict>
          </mc:Fallback>
        </mc:AlternateContent>
      </w:r>
    </w:p>
    <w:p w14:paraId="7055739A" w14:textId="77777777" w:rsidR="000628A0" w:rsidRPr="001A5EBC" w:rsidRDefault="000628A0" w:rsidP="000628A0">
      <w:pPr>
        <w:rPr>
          <w:sz w:val="16"/>
        </w:rPr>
        <w:sectPr w:rsidR="000628A0" w:rsidRPr="001A5EBC" w:rsidSect="0004725A">
          <w:headerReference w:type="default" r:id="rId29"/>
          <w:footerReference w:type="default" r:id="rId30"/>
          <w:pgSz w:w="11910" w:h="16840"/>
          <w:pgMar w:top="2155" w:right="680" w:bottom="1361" w:left="686" w:header="539" w:footer="369" w:gutter="0"/>
          <w:pgNumType w:start="0"/>
          <w:cols w:space="720"/>
          <w:docGrid w:linePitch="299"/>
        </w:sectPr>
      </w:pPr>
    </w:p>
    <w:p w14:paraId="3D79E36F" w14:textId="59840973" w:rsidR="00F84948" w:rsidRPr="001A5EBC" w:rsidRDefault="00D43CB8" w:rsidP="00F23C64">
      <w:pPr>
        <w:pStyle w:val="StandardHeadingBlack"/>
      </w:pPr>
      <w:r w:rsidRPr="001A5EBC">
        <w:lastRenderedPageBreak/>
        <w:t>Contents</w:t>
      </w:r>
    </w:p>
    <w:p w14:paraId="752C0949" w14:textId="68C8295E" w:rsidR="005A543F" w:rsidRPr="001A5EBC" w:rsidRDefault="008064F8">
      <w:pPr>
        <w:pStyle w:val="TOC1"/>
        <w:tabs>
          <w:tab w:val="right" w:pos="10534"/>
        </w:tabs>
        <w:rPr>
          <w:rFonts w:eastAsiaTheme="minorEastAsia"/>
          <w:noProof/>
          <w:kern w:val="2"/>
          <w:sz w:val="24"/>
          <w:szCs w:val="24"/>
          <w:lang w:eastAsia="en-GB"/>
          <w14:ligatures w14:val="standardContextual"/>
        </w:rPr>
      </w:pPr>
      <w:r w:rsidRPr="001A5EBC">
        <w:fldChar w:fldCharType="begin"/>
      </w:r>
      <w:r w:rsidRPr="001A5EBC">
        <w:instrText xml:space="preserve"> TOC \h \z \t "Heading 1,1,Heading 5,1" </w:instrText>
      </w:r>
      <w:r w:rsidRPr="001A5EBC">
        <w:fldChar w:fldCharType="separate"/>
      </w:r>
      <w:hyperlink w:anchor="_Toc169011861" w:history="1">
        <w:r w:rsidR="005A543F" w:rsidRPr="001A5EBC">
          <w:rPr>
            <w:rStyle w:val="Hyperlink"/>
            <w:noProof/>
          </w:rPr>
          <w:t>1.</w:t>
        </w:r>
        <w:r w:rsidR="005A543F" w:rsidRPr="001A5EBC">
          <w:rPr>
            <w:rFonts w:eastAsiaTheme="minorEastAsia"/>
            <w:noProof/>
            <w:kern w:val="2"/>
            <w:sz w:val="24"/>
            <w:szCs w:val="24"/>
            <w:lang w:eastAsia="en-GB"/>
            <w14:ligatures w14:val="standardContextual"/>
          </w:rPr>
          <w:tab/>
        </w:r>
        <w:r w:rsidR="005A543F" w:rsidRPr="001A5EBC">
          <w:rPr>
            <w:rStyle w:val="Hyperlink"/>
            <w:noProof/>
          </w:rPr>
          <w:t xml:space="preserve">Background and </w:t>
        </w:r>
        <w:r w:rsidR="00495CB7">
          <w:rPr>
            <w:rStyle w:val="Hyperlink"/>
            <w:noProof/>
          </w:rPr>
          <w:t>A</w:t>
        </w:r>
        <w:r w:rsidR="005A543F" w:rsidRPr="001A5EBC">
          <w:rPr>
            <w:rStyle w:val="Hyperlink"/>
            <w:noProof/>
          </w:rPr>
          <w:t xml:space="preserve">im of the </w:t>
        </w:r>
        <w:r w:rsidR="00495CB7">
          <w:rPr>
            <w:rStyle w:val="Hyperlink"/>
            <w:noProof/>
          </w:rPr>
          <w:t>S</w:t>
        </w:r>
        <w:r w:rsidR="005A543F" w:rsidRPr="001A5EBC">
          <w:rPr>
            <w:rStyle w:val="Hyperlink"/>
            <w:noProof/>
          </w:rPr>
          <w:t>tudy</w:t>
        </w:r>
        <w:r w:rsidR="005A543F" w:rsidRPr="001A5EBC">
          <w:rPr>
            <w:noProof/>
            <w:webHidden/>
          </w:rPr>
          <w:tab/>
        </w:r>
        <w:r w:rsidR="005A543F" w:rsidRPr="001A5EBC">
          <w:rPr>
            <w:noProof/>
            <w:webHidden/>
          </w:rPr>
          <w:fldChar w:fldCharType="begin"/>
        </w:r>
        <w:r w:rsidR="005A543F" w:rsidRPr="001A5EBC">
          <w:rPr>
            <w:noProof/>
            <w:webHidden/>
          </w:rPr>
          <w:instrText xml:space="preserve"> PAGEREF _Toc169011861 \h </w:instrText>
        </w:r>
        <w:r w:rsidR="005A543F" w:rsidRPr="001A5EBC">
          <w:rPr>
            <w:noProof/>
            <w:webHidden/>
          </w:rPr>
        </w:r>
        <w:r w:rsidR="005A543F" w:rsidRPr="001A5EBC">
          <w:rPr>
            <w:noProof/>
            <w:webHidden/>
          </w:rPr>
          <w:fldChar w:fldCharType="separate"/>
        </w:r>
        <w:r w:rsidR="009E362B">
          <w:rPr>
            <w:noProof/>
            <w:webHidden/>
          </w:rPr>
          <w:t>2</w:t>
        </w:r>
        <w:r w:rsidR="005A543F" w:rsidRPr="001A5EBC">
          <w:rPr>
            <w:noProof/>
            <w:webHidden/>
          </w:rPr>
          <w:fldChar w:fldCharType="end"/>
        </w:r>
      </w:hyperlink>
    </w:p>
    <w:p w14:paraId="356D2098" w14:textId="56D1F746" w:rsidR="005A543F" w:rsidRPr="001A5EBC" w:rsidRDefault="005A543F">
      <w:pPr>
        <w:pStyle w:val="TOC1"/>
        <w:tabs>
          <w:tab w:val="right" w:pos="10534"/>
        </w:tabs>
        <w:rPr>
          <w:rFonts w:eastAsiaTheme="minorEastAsia"/>
          <w:noProof/>
          <w:kern w:val="2"/>
          <w:sz w:val="24"/>
          <w:szCs w:val="24"/>
          <w:lang w:eastAsia="en-GB"/>
          <w14:ligatures w14:val="standardContextual"/>
        </w:rPr>
      </w:pPr>
      <w:hyperlink w:anchor="_Toc169011862" w:history="1">
        <w:r w:rsidRPr="001A5EBC">
          <w:rPr>
            <w:rStyle w:val="Hyperlink"/>
            <w:noProof/>
          </w:rPr>
          <w:t>2.</w:t>
        </w:r>
        <w:r w:rsidRPr="001A5EBC">
          <w:rPr>
            <w:rFonts w:eastAsiaTheme="minorEastAsia"/>
            <w:noProof/>
            <w:kern w:val="2"/>
            <w:sz w:val="24"/>
            <w:szCs w:val="24"/>
            <w:lang w:eastAsia="en-GB"/>
            <w14:ligatures w14:val="standardContextual"/>
          </w:rPr>
          <w:tab/>
        </w:r>
        <w:r w:rsidRPr="001A5EBC">
          <w:rPr>
            <w:rStyle w:val="Hyperlink"/>
            <w:noProof/>
          </w:rPr>
          <w:t>Energy</w:t>
        </w:r>
        <w:r w:rsidRPr="001A5EBC">
          <w:rPr>
            <w:noProof/>
            <w:webHidden/>
          </w:rPr>
          <w:tab/>
        </w:r>
        <w:r w:rsidRPr="001A5EBC">
          <w:rPr>
            <w:noProof/>
            <w:webHidden/>
          </w:rPr>
          <w:fldChar w:fldCharType="begin"/>
        </w:r>
        <w:r w:rsidRPr="001A5EBC">
          <w:rPr>
            <w:noProof/>
            <w:webHidden/>
          </w:rPr>
          <w:instrText xml:space="preserve"> PAGEREF _Toc169011862 \h </w:instrText>
        </w:r>
        <w:r w:rsidRPr="001A5EBC">
          <w:rPr>
            <w:noProof/>
            <w:webHidden/>
          </w:rPr>
        </w:r>
        <w:r w:rsidRPr="001A5EBC">
          <w:rPr>
            <w:noProof/>
            <w:webHidden/>
          </w:rPr>
          <w:fldChar w:fldCharType="separate"/>
        </w:r>
        <w:r w:rsidR="009E362B">
          <w:rPr>
            <w:noProof/>
            <w:webHidden/>
          </w:rPr>
          <w:t>3</w:t>
        </w:r>
        <w:r w:rsidRPr="001A5EBC">
          <w:rPr>
            <w:noProof/>
            <w:webHidden/>
          </w:rPr>
          <w:fldChar w:fldCharType="end"/>
        </w:r>
      </w:hyperlink>
    </w:p>
    <w:p w14:paraId="3688306D" w14:textId="5921C760" w:rsidR="005A543F" w:rsidRPr="001A5EBC" w:rsidRDefault="005A543F">
      <w:pPr>
        <w:pStyle w:val="TOC1"/>
        <w:tabs>
          <w:tab w:val="right" w:pos="10534"/>
        </w:tabs>
        <w:rPr>
          <w:rFonts w:eastAsiaTheme="minorEastAsia"/>
          <w:noProof/>
          <w:kern w:val="2"/>
          <w:sz w:val="24"/>
          <w:szCs w:val="24"/>
          <w:lang w:eastAsia="en-GB"/>
          <w14:ligatures w14:val="standardContextual"/>
        </w:rPr>
      </w:pPr>
      <w:hyperlink w:anchor="_Toc169011863" w:history="1">
        <w:r w:rsidRPr="001A5EBC">
          <w:rPr>
            <w:rStyle w:val="Hyperlink"/>
            <w:noProof/>
          </w:rPr>
          <w:t>3.</w:t>
        </w:r>
        <w:r w:rsidRPr="001A5EBC">
          <w:rPr>
            <w:rFonts w:eastAsiaTheme="minorEastAsia"/>
            <w:noProof/>
            <w:kern w:val="2"/>
            <w:sz w:val="24"/>
            <w:szCs w:val="24"/>
            <w:lang w:eastAsia="en-GB"/>
            <w14:ligatures w14:val="standardContextual"/>
          </w:rPr>
          <w:tab/>
        </w:r>
        <w:r w:rsidRPr="001A5EBC">
          <w:rPr>
            <w:rStyle w:val="Hyperlink"/>
            <w:noProof/>
          </w:rPr>
          <w:t xml:space="preserve">Built </w:t>
        </w:r>
        <w:r w:rsidR="00495CB7">
          <w:rPr>
            <w:rStyle w:val="Hyperlink"/>
            <w:noProof/>
          </w:rPr>
          <w:t>E</w:t>
        </w:r>
        <w:r w:rsidRPr="001A5EBC">
          <w:rPr>
            <w:rStyle w:val="Hyperlink"/>
            <w:noProof/>
          </w:rPr>
          <w:t>nvironment</w:t>
        </w:r>
        <w:r w:rsidRPr="001A5EBC">
          <w:rPr>
            <w:noProof/>
            <w:webHidden/>
          </w:rPr>
          <w:tab/>
        </w:r>
        <w:r w:rsidRPr="001A5EBC">
          <w:rPr>
            <w:noProof/>
            <w:webHidden/>
          </w:rPr>
          <w:fldChar w:fldCharType="begin"/>
        </w:r>
        <w:r w:rsidRPr="001A5EBC">
          <w:rPr>
            <w:noProof/>
            <w:webHidden/>
          </w:rPr>
          <w:instrText xml:space="preserve"> PAGEREF _Toc169011863 \h </w:instrText>
        </w:r>
        <w:r w:rsidRPr="001A5EBC">
          <w:rPr>
            <w:noProof/>
            <w:webHidden/>
          </w:rPr>
        </w:r>
        <w:r w:rsidRPr="001A5EBC">
          <w:rPr>
            <w:noProof/>
            <w:webHidden/>
          </w:rPr>
          <w:fldChar w:fldCharType="separate"/>
        </w:r>
        <w:r w:rsidR="009E362B">
          <w:rPr>
            <w:noProof/>
            <w:webHidden/>
          </w:rPr>
          <w:t>5</w:t>
        </w:r>
        <w:r w:rsidRPr="001A5EBC">
          <w:rPr>
            <w:noProof/>
            <w:webHidden/>
          </w:rPr>
          <w:fldChar w:fldCharType="end"/>
        </w:r>
      </w:hyperlink>
    </w:p>
    <w:p w14:paraId="21B68AD5" w14:textId="7C0659E9" w:rsidR="005A543F" w:rsidRPr="001A5EBC" w:rsidRDefault="005A543F">
      <w:pPr>
        <w:pStyle w:val="TOC1"/>
        <w:tabs>
          <w:tab w:val="right" w:pos="10534"/>
        </w:tabs>
        <w:rPr>
          <w:rFonts w:eastAsiaTheme="minorEastAsia"/>
          <w:noProof/>
          <w:kern w:val="2"/>
          <w:sz w:val="24"/>
          <w:szCs w:val="24"/>
          <w:lang w:eastAsia="en-GB"/>
          <w14:ligatures w14:val="standardContextual"/>
        </w:rPr>
      </w:pPr>
      <w:hyperlink w:anchor="_Toc169011864" w:history="1">
        <w:r w:rsidRPr="001A5EBC">
          <w:rPr>
            <w:rStyle w:val="Hyperlink"/>
            <w:noProof/>
          </w:rPr>
          <w:t>4.</w:t>
        </w:r>
        <w:r w:rsidRPr="001A5EBC">
          <w:rPr>
            <w:rFonts w:eastAsiaTheme="minorEastAsia"/>
            <w:noProof/>
            <w:kern w:val="2"/>
            <w:sz w:val="24"/>
            <w:szCs w:val="24"/>
            <w:lang w:eastAsia="en-GB"/>
            <w14:ligatures w14:val="standardContextual"/>
          </w:rPr>
          <w:tab/>
        </w:r>
        <w:r w:rsidRPr="001A5EBC">
          <w:rPr>
            <w:rStyle w:val="Hyperlink"/>
            <w:noProof/>
          </w:rPr>
          <w:t>Transport</w:t>
        </w:r>
        <w:r w:rsidRPr="001A5EBC">
          <w:rPr>
            <w:noProof/>
            <w:webHidden/>
          </w:rPr>
          <w:tab/>
        </w:r>
        <w:r w:rsidRPr="001A5EBC">
          <w:rPr>
            <w:noProof/>
            <w:webHidden/>
          </w:rPr>
          <w:fldChar w:fldCharType="begin"/>
        </w:r>
        <w:r w:rsidRPr="001A5EBC">
          <w:rPr>
            <w:noProof/>
            <w:webHidden/>
          </w:rPr>
          <w:instrText xml:space="preserve"> PAGEREF _Toc169011864 \h </w:instrText>
        </w:r>
        <w:r w:rsidRPr="001A5EBC">
          <w:rPr>
            <w:noProof/>
            <w:webHidden/>
          </w:rPr>
        </w:r>
        <w:r w:rsidRPr="001A5EBC">
          <w:rPr>
            <w:noProof/>
            <w:webHidden/>
          </w:rPr>
          <w:fldChar w:fldCharType="separate"/>
        </w:r>
        <w:r w:rsidR="009E362B">
          <w:rPr>
            <w:noProof/>
            <w:webHidden/>
          </w:rPr>
          <w:t>7</w:t>
        </w:r>
        <w:r w:rsidRPr="001A5EBC">
          <w:rPr>
            <w:noProof/>
            <w:webHidden/>
          </w:rPr>
          <w:fldChar w:fldCharType="end"/>
        </w:r>
      </w:hyperlink>
    </w:p>
    <w:p w14:paraId="72F8E0EC" w14:textId="6261A6DC" w:rsidR="005A543F" w:rsidRPr="001A5EBC" w:rsidRDefault="005A543F">
      <w:pPr>
        <w:pStyle w:val="TOC1"/>
        <w:tabs>
          <w:tab w:val="right" w:pos="10534"/>
        </w:tabs>
        <w:rPr>
          <w:rFonts w:eastAsiaTheme="minorEastAsia"/>
          <w:noProof/>
          <w:kern w:val="2"/>
          <w:sz w:val="24"/>
          <w:szCs w:val="24"/>
          <w:lang w:eastAsia="en-GB"/>
          <w14:ligatures w14:val="standardContextual"/>
        </w:rPr>
      </w:pPr>
      <w:hyperlink w:anchor="_Toc169011865" w:history="1">
        <w:r w:rsidRPr="001A5EBC">
          <w:rPr>
            <w:rStyle w:val="Hyperlink"/>
            <w:noProof/>
          </w:rPr>
          <w:t>5.</w:t>
        </w:r>
        <w:r w:rsidRPr="001A5EBC">
          <w:rPr>
            <w:rFonts w:eastAsiaTheme="minorEastAsia"/>
            <w:noProof/>
            <w:kern w:val="2"/>
            <w:sz w:val="24"/>
            <w:szCs w:val="24"/>
            <w:lang w:eastAsia="en-GB"/>
            <w14:ligatures w14:val="standardContextual"/>
          </w:rPr>
          <w:tab/>
        </w:r>
        <w:r w:rsidRPr="001A5EBC">
          <w:rPr>
            <w:rStyle w:val="Hyperlink"/>
            <w:noProof/>
          </w:rPr>
          <w:t>Industry</w:t>
        </w:r>
        <w:r w:rsidRPr="001A5EBC">
          <w:rPr>
            <w:noProof/>
            <w:webHidden/>
          </w:rPr>
          <w:tab/>
        </w:r>
        <w:r w:rsidRPr="001A5EBC">
          <w:rPr>
            <w:noProof/>
            <w:webHidden/>
          </w:rPr>
          <w:fldChar w:fldCharType="begin"/>
        </w:r>
        <w:r w:rsidRPr="001A5EBC">
          <w:rPr>
            <w:noProof/>
            <w:webHidden/>
          </w:rPr>
          <w:instrText xml:space="preserve"> PAGEREF _Toc169011865 \h </w:instrText>
        </w:r>
        <w:r w:rsidRPr="001A5EBC">
          <w:rPr>
            <w:noProof/>
            <w:webHidden/>
          </w:rPr>
        </w:r>
        <w:r w:rsidRPr="001A5EBC">
          <w:rPr>
            <w:noProof/>
            <w:webHidden/>
          </w:rPr>
          <w:fldChar w:fldCharType="separate"/>
        </w:r>
        <w:r w:rsidR="009E362B">
          <w:rPr>
            <w:noProof/>
            <w:webHidden/>
          </w:rPr>
          <w:t>10</w:t>
        </w:r>
        <w:r w:rsidRPr="001A5EBC">
          <w:rPr>
            <w:noProof/>
            <w:webHidden/>
          </w:rPr>
          <w:fldChar w:fldCharType="end"/>
        </w:r>
      </w:hyperlink>
    </w:p>
    <w:p w14:paraId="50D9ABE1" w14:textId="6CD34870" w:rsidR="005A543F" w:rsidRPr="001A5EBC" w:rsidRDefault="005A543F">
      <w:pPr>
        <w:pStyle w:val="TOC1"/>
        <w:tabs>
          <w:tab w:val="right" w:pos="10534"/>
        </w:tabs>
        <w:rPr>
          <w:rFonts w:eastAsiaTheme="minorEastAsia"/>
          <w:noProof/>
          <w:kern w:val="2"/>
          <w:sz w:val="24"/>
          <w:szCs w:val="24"/>
          <w:lang w:eastAsia="en-GB"/>
          <w14:ligatures w14:val="standardContextual"/>
        </w:rPr>
      </w:pPr>
      <w:hyperlink w:anchor="_Toc169011866" w:history="1">
        <w:r w:rsidRPr="001A5EBC">
          <w:rPr>
            <w:rStyle w:val="Hyperlink"/>
            <w:noProof/>
          </w:rPr>
          <w:t>6.</w:t>
        </w:r>
        <w:r w:rsidRPr="001A5EBC">
          <w:rPr>
            <w:rFonts w:eastAsiaTheme="minorEastAsia"/>
            <w:noProof/>
            <w:kern w:val="2"/>
            <w:sz w:val="24"/>
            <w:szCs w:val="24"/>
            <w:lang w:eastAsia="en-GB"/>
            <w14:ligatures w14:val="standardContextual"/>
          </w:rPr>
          <w:tab/>
        </w:r>
        <w:r w:rsidRPr="001A5EBC">
          <w:rPr>
            <w:rStyle w:val="Hyperlink"/>
            <w:noProof/>
          </w:rPr>
          <w:t>Land</w:t>
        </w:r>
        <w:r w:rsidRPr="001A5EBC">
          <w:rPr>
            <w:noProof/>
            <w:webHidden/>
          </w:rPr>
          <w:tab/>
        </w:r>
        <w:r w:rsidRPr="001A5EBC">
          <w:rPr>
            <w:noProof/>
            <w:webHidden/>
          </w:rPr>
          <w:fldChar w:fldCharType="begin"/>
        </w:r>
        <w:r w:rsidRPr="001A5EBC">
          <w:rPr>
            <w:noProof/>
            <w:webHidden/>
          </w:rPr>
          <w:instrText xml:space="preserve"> PAGEREF _Toc169011866 \h </w:instrText>
        </w:r>
        <w:r w:rsidRPr="001A5EBC">
          <w:rPr>
            <w:noProof/>
            <w:webHidden/>
          </w:rPr>
        </w:r>
        <w:r w:rsidRPr="001A5EBC">
          <w:rPr>
            <w:noProof/>
            <w:webHidden/>
          </w:rPr>
          <w:fldChar w:fldCharType="separate"/>
        </w:r>
        <w:r w:rsidR="009E362B">
          <w:rPr>
            <w:noProof/>
            <w:webHidden/>
          </w:rPr>
          <w:t>12</w:t>
        </w:r>
        <w:r w:rsidRPr="001A5EBC">
          <w:rPr>
            <w:noProof/>
            <w:webHidden/>
          </w:rPr>
          <w:fldChar w:fldCharType="end"/>
        </w:r>
      </w:hyperlink>
    </w:p>
    <w:p w14:paraId="27D0EE68" w14:textId="38FC1A31" w:rsidR="005A543F" w:rsidRPr="001A5EBC" w:rsidRDefault="005A543F" w:rsidP="005A543F">
      <w:pPr>
        <w:pStyle w:val="TOC1"/>
        <w:tabs>
          <w:tab w:val="right" w:pos="10534"/>
        </w:tabs>
        <w:rPr>
          <w:rFonts w:eastAsiaTheme="minorEastAsia"/>
          <w:noProof/>
          <w:kern w:val="2"/>
          <w:sz w:val="24"/>
          <w:szCs w:val="24"/>
          <w:lang w:eastAsia="en-GB"/>
          <w14:ligatures w14:val="standardContextual"/>
        </w:rPr>
      </w:pPr>
      <w:hyperlink w:anchor="_Toc169011867" w:history="1">
        <w:r w:rsidRPr="001A5EBC">
          <w:rPr>
            <w:rStyle w:val="Hyperlink"/>
            <w:noProof/>
          </w:rPr>
          <w:t>7.</w:t>
        </w:r>
        <w:r w:rsidRPr="001A5EBC">
          <w:rPr>
            <w:rFonts w:eastAsiaTheme="minorEastAsia"/>
            <w:noProof/>
            <w:kern w:val="2"/>
            <w:sz w:val="24"/>
            <w:szCs w:val="24"/>
            <w:lang w:eastAsia="en-GB"/>
            <w14:ligatures w14:val="standardContextual"/>
          </w:rPr>
          <w:tab/>
        </w:r>
        <w:r w:rsidRPr="001A5EBC">
          <w:rPr>
            <w:rStyle w:val="Hyperlink"/>
            <w:noProof/>
          </w:rPr>
          <w:t>Conclusions</w:t>
        </w:r>
        <w:r w:rsidRPr="001A5EBC">
          <w:rPr>
            <w:noProof/>
            <w:webHidden/>
          </w:rPr>
          <w:tab/>
        </w:r>
        <w:r w:rsidRPr="001A5EBC">
          <w:rPr>
            <w:noProof/>
            <w:webHidden/>
          </w:rPr>
          <w:fldChar w:fldCharType="begin"/>
        </w:r>
        <w:r w:rsidRPr="001A5EBC">
          <w:rPr>
            <w:noProof/>
            <w:webHidden/>
          </w:rPr>
          <w:instrText xml:space="preserve"> PAGEREF _Toc169011867 \h </w:instrText>
        </w:r>
        <w:r w:rsidRPr="001A5EBC">
          <w:rPr>
            <w:noProof/>
            <w:webHidden/>
          </w:rPr>
        </w:r>
        <w:r w:rsidRPr="001A5EBC">
          <w:rPr>
            <w:noProof/>
            <w:webHidden/>
          </w:rPr>
          <w:fldChar w:fldCharType="separate"/>
        </w:r>
        <w:r w:rsidR="009E362B">
          <w:rPr>
            <w:noProof/>
            <w:webHidden/>
          </w:rPr>
          <w:t>14</w:t>
        </w:r>
        <w:r w:rsidRPr="001A5EBC">
          <w:rPr>
            <w:noProof/>
            <w:webHidden/>
          </w:rPr>
          <w:fldChar w:fldCharType="end"/>
        </w:r>
      </w:hyperlink>
    </w:p>
    <w:p w14:paraId="1556C435" w14:textId="2E589F7A" w:rsidR="005A543F" w:rsidRPr="001A5EBC" w:rsidRDefault="005A543F">
      <w:pPr>
        <w:pStyle w:val="TOC1"/>
        <w:tabs>
          <w:tab w:val="right" w:pos="10534"/>
        </w:tabs>
        <w:rPr>
          <w:rFonts w:eastAsiaTheme="minorEastAsia"/>
          <w:noProof/>
          <w:kern w:val="2"/>
          <w:sz w:val="24"/>
          <w:szCs w:val="24"/>
          <w:lang w:eastAsia="en-GB"/>
          <w14:ligatures w14:val="standardContextual"/>
        </w:rPr>
      </w:pPr>
      <w:hyperlink w:anchor="_Toc169011869" w:history="1">
        <w:r w:rsidRPr="001A5EBC">
          <w:rPr>
            <w:rStyle w:val="Hyperlink"/>
            <w:noProof/>
          </w:rPr>
          <w:t>8.</w:t>
        </w:r>
        <w:r w:rsidRPr="001A5EBC">
          <w:rPr>
            <w:rFonts w:eastAsiaTheme="minorEastAsia"/>
            <w:noProof/>
            <w:kern w:val="2"/>
            <w:sz w:val="24"/>
            <w:szCs w:val="24"/>
            <w:lang w:eastAsia="en-GB"/>
            <w14:ligatures w14:val="standardContextual"/>
          </w:rPr>
          <w:tab/>
        </w:r>
        <w:r w:rsidRPr="001A5EBC">
          <w:rPr>
            <w:rStyle w:val="Hyperlink"/>
            <w:noProof/>
          </w:rPr>
          <w:t>References</w:t>
        </w:r>
        <w:r w:rsidRPr="001A5EBC">
          <w:rPr>
            <w:noProof/>
            <w:webHidden/>
          </w:rPr>
          <w:tab/>
        </w:r>
        <w:r w:rsidRPr="001A5EBC">
          <w:rPr>
            <w:noProof/>
            <w:webHidden/>
          </w:rPr>
          <w:fldChar w:fldCharType="begin"/>
        </w:r>
        <w:r w:rsidRPr="001A5EBC">
          <w:rPr>
            <w:noProof/>
            <w:webHidden/>
          </w:rPr>
          <w:instrText xml:space="preserve"> PAGEREF _Toc169011869 \h </w:instrText>
        </w:r>
        <w:r w:rsidRPr="001A5EBC">
          <w:rPr>
            <w:noProof/>
            <w:webHidden/>
          </w:rPr>
        </w:r>
        <w:r w:rsidRPr="001A5EBC">
          <w:rPr>
            <w:noProof/>
            <w:webHidden/>
          </w:rPr>
          <w:fldChar w:fldCharType="separate"/>
        </w:r>
        <w:r w:rsidR="009E362B">
          <w:rPr>
            <w:noProof/>
            <w:webHidden/>
          </w:rPr>
          <w:t>16</w:t>
        </w:r>
        <w:r w:rsidRPr="001A5EBC">
          <w:rPr>
            <w:noProof/>
            <w:webHidden/>
          </w:rPr>
          <w:fldChar w:fldCharType="end"/>
        </w:r>
      </w:hyperlink>
    </w:p>
    <w:p w14:paraId="7EDB1D48" w14:textId="43078E68" w:rsidR="00F84948" w:rsidRPr="001A5EBC" w:rsidRDefault="008064F8" w:rsidP="0004725A">
      <w:pPr>
        <w:pStyle w:val="BodyText"/>
        <w:sectPr w:rsidR="00F84948" w:rsidRPr="001A5EBC" w:rsidSect="0004725A">
          <w:headerReference w:type="default" r:id="rId31"/>
          <w:footerReference w:type="default" r:id="rId32"/>
          <w:pgSz w:w="11910" w:h="16840"/>
          <w:pgMar w:top="2155" w:right="680" w:bottom="1361" w:left="686" w:header="539" w:footer="512" w:gutter="0"/>
          <w:cols w:space="720"/>
        </w:sectPr>
      </w:pPr>
      <w:r w:rsidRPr="001A5EBC">
        <w:rPr>
          <w:sz w:val="28"/>
          <w:szCs w:val="28"/>
        </w:rPr>
        <w:fldChar w:fldCharType="end"/>
      </w:r>
    </w:p>
    <w:p w14:paraId="1E58C447" w14:textId="7ABD88B2" w:rsidR="00F84948" w:rsidRPr="001A5EBC" w:rsidRDefault="0004725A" w:rsidP="001E1429">
      <w:pPr>
        <w:pStyle w:val="Heading1"/>
        <w:numPr>
          <w:ilvl w:val="0"/>
          <w:numId w:val="47"/>
        </w:numPr>
      </w:pPr>
      <w:bookmarkStart w:id="0" w:name="_Toc169011861"/>
      <w:r w:rsidRPr="001A5EBC">
        <w:lastRenderedPageBreak/>
        <w:t xml:space="preserve">Background and </w:t>
      </w:r>
      <w:r w:rsidR="00495CB7">
        <w:t>A</w:t>
      </w:r>
      <w:r w:rsidRPr="001A5EBC">
        <w:t xml:space="preserve">im of the </w:t>
      </w:r>
      <w:r w:rsidR="00495CB7">
        <w:t>S</w:t>
      </w:r>
      <w:r w:rsidRPr="001A5EBC">
        <w:t>tudy</w:t>
      </w:r>
      <w:bookmarkEnd w:id="0"/>
    </w:p>
    <w:p w14:paraId="49142249" w14:textId="23EA3B2E" w:rsidR="00BF5BC5" w:rsidRPr="001A5EBC" w:rsidRDefault="00BF5BC5" w:rsidP="00BF5BC5">
      <w:pPr>
        <w:jc w:val="both"/>
      </w:pPr>
      <w:r w:rsidRPr="001A5EBC">
        <w:t>In</w:t>
      </w:r>
      <w:r w:rsidR="00D50820">
        <w:t xml:space="preserve"> </w:t>
      </w:r>
      <w:r w:rsidRPr="001A5EBC">
        <w:t>2023 Cambridge Econometrics produced a set of modelled</w:t>
      </w:r>
      <w:r w:rsidR="00677F00">
        <w:t xml:space="preserve"> scenarios</w:t>
      </w:r>
      <w:r w:rsidRPr="001A5EBC">
        <w:t xml:space="preserve"> </w:t>
      </w:r>
      <w:r w:rsidR="007A0E4A" w:rsidRPr="001A5EBC">
        <w:t>describing</w:t>
      </w:r>
      <w:r w:rsidRPr="001A5EBC">
        <w:t xml:space="preserve"> the</w:t>
      </w:r>
      <w:r w:rsidR="00495CB7">
        <w:t xml:space="preserve"> </w:t>
      </w:r>
      <w:r w:rsidRPr="001A5EBC">
        <w:t xml:space="preserve">future evolution of the </w:t>
      </w:r>
      <w:r w:rsidRPr="00677F00">
        <w:t>North of England between 2025 and 2050</w:t>
      </w:r>
      <w:r w:rsidR="00677F00">
        <w:t xml:space="preserve"> (Cambridge Econometrics, 2023)</w:t>
      </w:r>
      <w:r w:rsidR="00677F00" w:rsidRPr="00677F00">
        <w:t xml:space="preserve">. </w:t>
      </w:r>
      <w:r w:rsidRPr="00677F00">
        <w:t>To do this, we took investment figures from the UK Gov</w:t>
      </w:r>
      <w:r w:rsidR="00892347" w:rsidRPr="00677F00">
        <w:t>ernment</w:t>
      </w:r>
      <w:r w:rsidR="00495CB7" w:rsidRPr="00677F00">
        <w:t>’s</w:t>
      </w:r>
      <w:r w:rsidRPr="00677F00">
        <w:t xml:space="preserve"> “Build Back Greener” Net Zero plan</w:t>
      </w:r>
      <w:r w:rsidR="00EB20A3" w:rsidRPr="00677F00">
        <w:t xml:space="preserve"> (HM </w:t>
      </w:r>
      <w:r w:rsidR="00CE092F" w:rsidRPr="00677F00">
        <w:t>Government, 2021)</w:t>
      </w:r>
      <w:r w:rsidRPr="00677F00">
        <w:t xml:space="preserve"> for each component</w:t>
      </w:r>
      <w:r w:rsidR="00DC70E6" w:rsidRPr="00677F00">
        <w:t xml:space="preserve"> of Net Zero</w:t>
      </w:r>
      <w:r w:rsidR="00495CB7" w:rsidRPr="00677F00">
        <w:t xml:space="preserve">, </w:t>
      </w:r>
      <w:r w:rsidRPr="00677F00">
        <w:t>broadly described as</w:t>
      </w:r>
      <w:r w:rsidR="00495CB7" w:rsidRPr="00677F00">
        <w:t>:</w:t>
      </w:r>
      <w:r w:rsidRPr="00677F00">
        <w:t xml:space="preserve"> Energy, Buil</w:t>
      </w:r>
      <w:r w:rsidR="00DC70E6" w:rsidRPr="00677F00">
        <w:t>t</w:t>
      </w:r>
      <w:r w:rsidRPr="00677F00">
        <w:t xml:space="preserve"> Environment,</w:t>
      </w:r>
      <w:r w:rsidR="001F12A9" w:rsidRPr="00677F00">
        <w:t xml:space="preserve"> </w:t>
      </w:r>
      <w:r w:rsidRPr="00677F00">
        <w:t>Transport, Industry</w:t>
      </w:r>
      <w:r w:rsidR="00677F00" w:rsidRPr="00677F00">
        <w:t>,</w:t>
      </w:r>
      <w:r w:rsidRPr="00677F00">
        <w:t xml:space="preserve"> and Land</w:t>
      </w:r>
      <w:r w:rsidR="00495CB7" w:rsidRPr="00677F00">
        <w:t xml:space="preserve">. We then </w:t>
      </w:r>
      <w:r w:rsidR="0041303A" w:rsidRPr="00677F00">
        <w:t>distributed</w:t>
      </w:r>
      <w:r w:rsidR="009A2207" w:rsidRPr="00677F00">
        <w:t xml:space="preserve"> these figures</w:t>
      </w:r>
      <w:r w:rsidRPr="00677F00">
        <w:t xml:space="preserve"> over the </w:t>
      </w:r>
      <w:r w:rsidR="00495CB7" w:rsidRPr="00677F00">
        <w:t>25-year</w:t>
      </w:r>
      <w:r w:rsidRPr="00677F00">
        <w:t xml:space="preserve"> period</w:t>
      </w:r>
      <w:r w:rsidR="002A25D8" w:rsidRPr="00677F00">
        <w:t xml:space="preserve"> with a suitable ramp-up </w:t>
      </w:r>
      <w:r w:rsidR="00732999" w:rsidRPr="00677F00">
        <w:t xml:space="preserve">phase </w:t>
      </w:r>
      <w:r w:rsidRPr="00677F00">
        <w:t>and estimated, using a range of heuristics, how much of this investment would</w:t>
      </w:r>
      <w:r w:rsidR="002A25D8" w:rsidRPr="00732999">
        <w:t xml:space="preserve"> </w:t>
      </w:r>
      <w:r w:rsidR="00732999" w:rsidRPr="00732999">
        <w:t>be</w:t>
      </w:r>
      <w:r w:rsidRPr="00732999">
        <w:t xml:space="preserve"> spent in the North of England and </w:t>
      </w:r>
      <w:r w:rsidR="00732999">
        <w:t xml:space="preserve">into </w:t>
      </w:r>
      <w:r w:rsidRPr="00732999">
        <w:t xml:space="preserve">which </w:t>
      </w:r>
      <w:r w:rsidR="005B23DF" w:rsidRPr="00732999">
        <w:t xml:space="preserve">of its </w:t>
      </w:r>
      <w:r w:rsidRPr="00732999">
        <w:t>economic sectors.</w:t>
      </w:r>
    </w:p>
    <w:p w14:paraId="187DF9C2" w14:textId="37B93B61" w:rsidR="00BF5BC5" w:rsidRPr="00677F00" w:rsidRDefault="00BF5BC5" w:rsidP="00BF5BC5">
      <w:pPr>
        <w:jc w:val="both"/>
      </w:pPr>
      <w:r w:rsidRPr="001A5EBC">
        <w:t xml:space="preserve">The resulting figures were </w:t>
      </w:r>
      <w:r w:rsidR="00140D5F" w:rsidRPr="001A5EBC">
        <w:t xml:space="preserve">used as </w:t>
      </w:r>
      <w:r w:rsidRPr="001A5EBC">
        <w:t xml:space="preserve">input </w:t>
      </w:r>
      <w:r w:rsidR="00732999">
        <w:t>for</w:t>
      </w:r>
      <w:r w:rsidRPr="001A5EBC">
        <w:t xml:space="preserve"> </w:t>
      </w:r>
      <w:r w:rsidR="00140D5F" w:rsidRPr="001A5EBC">
        <w:t>the “Net Zero” scenario</w:t>
      </w:r>
      <w:r w:rsidRPr="001A5EBC">
        <w:t xml:space="preserve"> </w:t>
      </w:r>
      <w:r w:rsidR="00140D5F" w:rsidRPr="001A5EBC">
        <w:t>in</w:t>
      </w:r>
      <w:r w:rsidR="007A0E4A" w:rsidRPr="001A5EBC">
        <w:t xml:space="preserve"> our Local Economy Forecasting Model</w:t>
      </w:r>
      <w:r w:rsidR="00140D5F" w:rsidRPr="001A5EBC">
        <w:t xml:space="preserve"> </w:t>
      </w:r>
      <w:r w:rsidR="007A0E4A" w:rsidRPr="00677F00">
        <w:t>(</w:t>
      </w:r>
      <w:r w:rsidR="00140D5F" w:rsidRPr="00677F00">
        <w:t>LEFM</w:t>
      </w:r>
      <w:r w:rsidR="007A0E4A" w:rsidRPr="00677F00">
        <w:t>)</w:t>
      </w:r>
      <w:r w:rsidRPr="00677F00">
        <w:t>,</w:t>
      </w:r>
      <w:r w:rsidR="00140D5F" w:rsidRPr="00677F00">
        <w:t xml:space="preserve"> and as a component of the later “New Transformational” Scenario</w:t>
      </w:r>
      <w:r w:rsidR="00732999" w:rsidRPr="00677F00">
        <w:t>,</w:t>
      </w:r>
      <w:r w:rsidR="00140D5F" w:rsidRPr="00677F00">
        <w:t xml:space="preserve"> which brought in other </w:t>
      </w:r>
      <w:r w:rsidR="007A0E4A" w:rsidRPr="00677F00">
        <w:t xml:space="preserve">policy </w:t>
      </w:r>
      <w:r w:rsidR="00140D5F" w:rsidRPr="00677F00">
        <w:t>elements.</w:t>
      </w:r>
      <w:r w:rsidRPr="00677F00">
        <w:t xml:space="preserve"> </w:t>
      </w:r>
      <w:r w:rsidR="00140D5F" w:rsidRPr="00677F00">
        <w:t>T</w:t>
      </w:r>
      <w:r w:rsidRPr="00677F00">
        <w:t xml:space="preserve">he outputs of </w:t>
      </w:r>
      <w:r w:rsidR="00140D5F" w:rsidRPr="00677F00">
        <w:t>the modelling estimated</w:t>
      </w:r>
      <w:r w:rsidRPr="00677F00">
        <w:t xml:space="preserve"> </w:t>
      </w:r>
      <w:r w:rsidR="00732999" w:rsidRPr="00677F00">
        <w:t>the</w:t>
      </w:r>
      <w:r w:rsidRPr="00677F00">
        <w:t xml:space="preserve"> </w:t>
      </w:r>
      <w:r w:rsidR="007A0E4A" w:rsidRPr="00677F00">
        <w:t>investment</w:t>
      </w:r>
      <w:r w:rsidR="00732999" w:rsidRPr="00677F00">
        <w:t>’s economic and social impacts</w:t>
      </w:r>
      <w:r w:rsidR="00140D5F" w:rsidRPr="00677F00">
        <w:t xml:space="preserve"> over time</w:t>
      </w:r>
      <w:r w:rsidR="00732999" w:rsidRPr="00677F00">
        <w:t>,</w:t>
      </w:r>
      <w:r w:rsidR="005B23DF" w:rsidRPr="00677F00">
        <w:t xml:space="preserve"> </w:t>
      </w:r>
      <w:r w:rsidR="00732999" w:rsidRPr="00677F00">
        <w:t xml:space="preserve">including </w:t>
      </w:r>
      <w:r w:rsidR="005B23DF" w:rsidRPr="00677F00">
        <w:t xml:space="preserve">impact on </w:t>
      </w:r>
      <w:r w:rsidRPr="00677F00">
        <w:t xml:space="preserve">GDP, employment, productivity, </w:t>
      </w:r>
      <w:r w:rsidR="00140D5F" w:rsidRPr="00677F00">
        <w:t>wages</w:t>
      </w:r>
      <w:r w:rsidR="00732999" w:rsidRPr="00677F00">
        <w:t>,</w:t>
      </w:r>
      <w:r w:rsidR="00203CE3" w:rsidRPr="00677F00">
        <w:t xml:space="preserve"> etc.,</w:t>
      </w:r>
      <w:r w:rsidR="00732999" w:rsidRPr="00677F00">
        <w:t xml:space="preserve"> as well as</w:t>
      </w:r>
      <w:r w:rsidRPr="00677F00">
        <w:t xml:space="preserve"> the environmental impacts</w:t>
      </w:r>
      <w:r w:rsidR="00732999" w:rsidRPr="00677F00">
        <w:t xml:space="preserve"> in terms of reduced emissions</w:t>
      </w:r>
      <w:r w:rsidRPr="00677F00">
        <w:t>. As part of th</w:t>
      </w:r>
      <w:r w:rsidR="00BC28D6" w:rsidRPr="00677F00">
        <w:t xml:space="preserve">is </w:t>
      </w:r>
      <w:r w:rsidRPr="00677F00">
        <w:t xml:space="preserve">work, we </w:t>
      </w:r>
      <w:r w:rsidR="00BC28D6" w:rsidRPr="00677F00">
        <w:t xml:space="preserve">also </w:t>
      </w:r>
      <w:r w:rsidRPr="00677F00">
        <w:t xml:space="preserve">calculated the public-private share of investment </w:t>
      </w:r>
      <w:r w:rsidR="00BC28D6" w:rsidRPr="00677F00">
        <w:t xml:space="preserve">for </w:t>
      </w:r>
      <w:r w:rsidRPr="00677F00">
        <w:t xml:space="preserve">each Net Zero component. Although this wasn’t required </w:t>
      </w:r>
      <w:r w:rsidR="00E8407D" w:rsidRPr="00677F00">
        <w:t>as a model input</w:t>
      </w:r>
      <w:r w:rsidRPr="00677F00">
        <w:t xml:space="preserve">, it was </w:t>
      </w:r>
      <w:r w:rsidR="00E8407D" w:rsidRPr="00677F00">
        <w:t>necessary</w:t>
      </w:r>
      <w:r w:rsidRPr="00677F00">
        <w:t xml:space="preserve"> </w:t>
      </w:r>
      <w:r w:rsidR="00BC28D6" w:rsidRPr="00677F00">
        <w:t>for</w:t>
      </w:r>
      <w:r w:rsidRPr="00677F00">
        <w:t xml:space="preserve"> estimat</w:t>
      </w:r>
      <w:r w:rsidR="00BC28D6" w:rsidRPr="00677F00">
        <w:t>ing</w:t>
      </w:r>
      <w:r w:rsidRPr="00677F00">
        <w:t xml:space="preserve"> public cost and</w:t>
      </w:r>
      <w:r w:rsidR="00BC28D6" w:rsidRPr="00677F00">
        <w:t xml:space="preserve"> thus</w:t>
      </w:r>
      <w:r w:rsidR="00E8407D" w:rsidRPr="00677F00">
        <w:t xml:space="preserve"> </w:t>
      </w:r>
      <w:r w:rsidRPr="00677F00">
        <w:t>B</w:t>
      </w:r>
      <w:r w:rsidR="003B0DAC" w:rsidRPr="00677F00">
        <w:t>enefit-</w:t>
      </w:r>
      <w:r w:rsidRPr="00677F00">
        <w:t>C</w:t>
      </w:r>
      <w:r w:rsidR="003B0DAC" w:rsidRPr="00677F00">
        <w:t>ost</w:t>
      </w:r>
      <w:r w:rsidR="00BC28D6" w:rsidRPr="00677F00">
        <w:t xml:space="preserve"> </w:t>
      </w:r>
      <w:r w:rsidRPr="00677F00">
        <w:t>R</w:t>
      </w:r>
      <w:r w:rsidR="003B0DAC" w:rsidRPr="00677F00">
        <w:t>atio</w:t>
      </w:r>
      <w:r w:rsidRPr="00677F00">
        <w:t>s</w:t>
      </w:r>
      <w:r w:rsidR="005B23DF" w:rsidRPr="00677F00">
        <w:t xml:space="preserve"> (BCR)</w:t>
      </w:r>
      <w:r w:rsidRPr="00677F00">
        <w:t xml:space="preserve"> </w:t>
      </w:r>
      <w:r w:rsidR="00BC28D6" w:rsidRPr="00677F00">
        <w:t>for the scenario.</w:t>
      </w:r>
      <w:r w:rsidR="00203CE3" w:rsidRPr="00677F00">
        <w:t xml:space="preserve"> </w:t>
      </w:r>
      <w:r w:rsidR="00BC28D6" w:rsidRPr="00677F00">
        <w:t xml:space="preserve">This </w:t>
      </w:r>
      <w:r w:rsidR="00203CE3" w:rsidRPr="00677F00">
        <w:t xml:space="preserve">allows us </w:t>
      </w:r>
      <w:r w:rsidR="00BC28D6" w:rsidRPr="00677F00">
        <w:t xml:space="preserve">to understand the extent to which </w:t>
      </w:r>
      <w:r w:rsidR="005B23DF" w:rsidRPr="00677F00">
        <w:t xml:space="preserve">investments </w:t>
      </w:r>
      <w:r w:rsidRPr="00677F00">
        <w:t>would “pay for themselves” over the long</w:t>
      </w:r>
      <w:r w:rsidR="00F52110" w:rsidRPr="00677F00">
        <w:t xml:space="preserve"> </w:t>
      </w:r>
      <w:r w:rsidRPr="00677F00">
        <w:t>run.</w:t>
      </w:r>
    </w:p>
    <w:p w14:paraId="133CC551" w14:textId="6F63AAB9" w:rsidR="00203CE3" w:rsidRPr="00677F00" w:rsidRDefault="00BF5BC5" w:rsidP="00BF5BC5">
      <w:pPr>
        <w:jc w:val="both"/>
      </w:pPr>
      <w:r w:rsidRPr="00677F00">
        <w:t xml:space="preserve">Given time and resource constraints, we applied the </w:t>
      </w:r>
      <w:r w:rsidR="00203CE3" w:rsidRPr="00677F00">
        <w:t>P</w:t>
      </w:r>
      <w:r w:rsidRPr="00677F00">
        <w:t xml:space="preserve">roportionality </w:t>
      </w:r>
      <w:r w:rsidR="00203CE3" w:rsidRPr="00677F00">
        <w:t>P</w:t>
      </w:r>
      <w:r w:rsidRPr="00677F00">
        <w:t>rinciple</w:t>
      </w:r>
      <w:r w:rsidR="00203CE3" w:rsidRPr="00677F00">
        <w:t xml:space="preserve">: we </w:t>
      </w:r>
      <w:r w:rsidRPr="00677F00">
        <w:t>broadly estimat</w:t>
      </w:r>
      <w:r w:rsidR="00203CE3" w:rsidRPr="00677F00">
        <w:t>ed</w:t>
      </w:r>
      <w:r w:rsidRPr="00677F00">
        <w:t xml:space="preserve"> the likely necessary public sector contributions into individual sub-components </w:t>
      </w:r>
      <w:r w:rsidR="00710CCA" w:rsidRPr="00677F00">
        <w:t>of each decarboni</w:t>
      </w:r>
      <w:r w:rsidR="001A5EBC" w:rsidRPr="00677F00">
        <w:t>s</w:t>
      </w:r>
      <w:r w:rsidR="00710CCA" w:rsidRPr="00677F00">
        <w:t xml:space="preserve">ation </w:t>
      </w:r>
      <w:r w:rsidRPr="00677F00">
        <w:t>(</w:t>
      </w:r>
      <w:r w:rsidR="00417170" w:rsidRPr="00677F00">
        <w:t>e.g.</w:t>
      </w:r>
      <w:r w:rsidRPr="00677F00">
        <w:t xml:space="preserve"> </w:t>
      </w:r>
      <w:r w:rsidR="009D4FEA" w:rsidRPr="00677F00">
        <w:t xml:space="preserve">costs of </w:t>
      </w:r>
      <w:r w:rsidRPr="00677F00">
        <w:t xml:space="preserve">grid upgrading, or </w:t>
      </w:r>
      <w:r w:rsidR="009D4FEA" w:rsidRPr="00677F00">
        <w:t xml:space="preserve">incentives for </w:t>
      </w:r>
      <w:r w:rsidRPr="00677F00">
        <w:t>heat pump rollout) and then add</w:t>
      </w:r>
      <w:r w:rsidR="00203CE3" w:rsidRPr="00677F00">
        <w:t>ed</w:t>
      </w:r>
      <w:r w:rsidRPr="00677F00">
        <w:t xml:space="preserve"> these together to give an overall </w:t>
      </w:r>
      <w:r w:rsidR="009D4FEA" w:rsidRPr="00677F00">
        <w:t xml:space="preserve">estimate of </w:t>
      </w:r>
      <w:r w:rsidR="005B23DF" w:rsidRPr="00677F00">
        <w:t xml:space="preserve">the </w:t>
      </w:r>
      <w:r w:rsidRPr="00677F00">
        <w:t>public sector contribution.</w:t>
      </w:r>
      <w:r w:rsidR="009D4FEA" w:rsidRPr="00677F00">
        <w:t xml:space="preserve"> </w:t>
      </w:r>
      <w:r w:rsidR="00203CE3" w:rsidRPr="00677F00">
        <w:t xml:space="preserve">This approach is </w:t>
      </w:r>
      <w:r w:rsidR="005777E0" w:rsidRPr="00677F00">
        <w:t xml:space="preserve">deliberately conservative </w:t>
      </w:r>
      <w:r w:rsidR="00203CE3" w:rsidRPr="00677F00">
        <w:t>to</w:t>
      </w:r>
      <w:r w:rsidR="00F93CBC" w:rsidRPr="00677F00">
        <w:t xml:space="preserve"> avoid overplaying the economic impacts and BCR</w:t>
      </w:r>
      <w:r w:rsidR="00203CE3" w:rsidRPr="00677F00">
        <w:t>. T</w:t>
      </w:r>
      <w:r w:rsidR="009D4FEA" w:rsidRPr="00677F00">
        <w:t xml:space="preserve">he final figure </w:t>
      </w:r>
      <w:r w:rsidR="000A486A" w:rsidRPr="00677F00">
        <w:t xml:space="preserve">estimated was a 45:55 public to private ratio, </w:t>
      </w:r>
      <w:r w:rsidR="00203CE3" w:rsidRPr="00677F00">
        <w:t>or</w:t>
      </w:r>
      <w:r w:rsidR="000A486A" w:rsidRPr="00677F00">
        <w:t xml:space="preserve"> expressed another way, </w:t>
      </w:r>
      <w:r w:rsidR="00AF3732" w:rsidRPr="00677F00">
        <w:t>a 1.22 leverage ratio</w:t>
      </w:r>
      <w:r w:rsidR="00203CE3" w:rsidRPr="00677F00">
        <w:t xml:space="preserve"> (</w:t>
      </w:r>
      <w:r w:rsidR="00AF3732" w:rsidRPr="00677F00">
        <w:t>for every £ the public sector invested, the private sector would invest £1.22)</w:t>
      </w:r>
      <w:r w:rsidR="005B23DF" w:rsidRPr="00677F00">
        <w:t>.</w:t>
      </w:r>
    </w:p>
    <w:p w14:paraId="50DBEEE7" w14:textId="77777777" w:rsidR="002F776E" w:rsidRDefault="00BF5BC5" w:rsidP="00BF5BC5">
      <w:pPr>
        <w:jc w:val="both"/>
      </w:pPr>
      <w:r w:rsidRPr="00677F00">
        <w:t xml:space="preserve">The aim of this </w:t>
      </w:r>
      <w:r w:rsidR="005B23DF" w:rsidRPr="00677F00">
        <w:t xml:space="preserve">new </w:t>
      </w:r>
      <w:r w:rsidR="00417170" w:rsidRPr="00677F00">
        <w:t>study</w:t>
      </w:r>
      <w:r w:rsidRPr="00677F00">
        <w:t xml:space="preserve"> is to re-examine these assumptions in </w:t>
      </w:r>
      <w:r w:rsidR="00203CE3" w:rsidRPr="00677F00">
        <w:t>considerably</w:t>
      </w:r>
      <w:r w:rsidRPr="00677F00">
        <w:t xml:space="preserve"> more detail, by </w:t>
      </w:r>
      <w:r w:rsidR="005B23DF" w:rsidRPr="00677F00">
        <w:t>examining</w:t>
      </w:r>
      <w:r w:rsidRPr="00677F00">
        <w:t xml:space="preserve"> both the overall public-private split and the split over time</w:t>
      </w:r>
      <w:r w:rsidR="009D4FEA" w:rsidRPr="00677F00">
        <w:t>.</w:t>
      </w:r>
      <w:r w:rsidR="009D4FEA" w:rsidRPr="00677F00" w:rsidDel="009D4FEA">
        <w:t xml:space="preserve"> </w:t>
      </w:r>
      <w:r w:rsidR="00203CE3" w:rsidRPr="00677F00">
        <w:t>T</w:t>
      </w:r>
      <w:r w:rsidR="00AF3732" w:rsidRPr="00677F00">
        <w:t>his will not affect the overall scale of the investment</w:t>
      </w:r>
      <w:r w:rsidR="00AF3732" w:rsidRPr="001A5EBC">
        <w:t xml:space="preserve"> required or the sectors involved</w:t>
      </w:r>
      <w:r w:rsidR="00203CE3">
        <w:t>, and so</w:t>
      </w:r>
      <w:r w:rsidR="00AF3732" w:rsidRPr="001A5EBC">
        <w:t xml:space="preserve"> will</w:t>
      </w:r>
      <w:r w:rsidR="00203CE3">
        <w:t xml:space="preserve"> </w:t>
      </w:r>
      <w:r w:rsidR="00AF3732" w:rsidRPr="001A5EBC">
        <w:t xml:space="preserve">not impact the model results, the economic impact </w:t>
      </w:r>
      <w:r w:rsidR="005B23DF" w:rsidRPr="001A5EBC">
        <w:t xml:space="preserve">estimated for </w:t>
      </w:r>
      <w:r w:rsidR="00AF3732" w:rsidRPr="001A5EBC">
        <w:t>the North</w:t>
      </w:r>
      <w:r w:rsidR="005B23DF" w:rsidRPr="001A5EBC">
        <w:t xml:space="preserve"> of England</w:t>
      </w:r>
      <w:r w:rsidR="00AF3732" w:rsidRPr="001A5EBC">
        <w:t xml:space="preserve">, or </w:t>
      </w:r>
      <w:r w:rsidR="005B23DF" w:rsidRPr="001A5EBC">
        <w:t xml:space="preserve">the </w:t>
      </w:r>
      <w:r w:rsidR="00AF3732" w:rsidRPr="001A5EBC">
        <w:t>pathway to Net Zero. However</w:t>
      </w:r>
      <w:r w:rsidR="00203CE3">
        <w:t>,</w:t>
      </w:r>
      <w:r w:rsidR="00AF3732" w:rsidRPr="001A5EBC">
        <w:t xml:space="preserve"> it will impact the likely estimated cost to the public sector and resulting </w:t>
      </w:r>
      <w:r w:rsidR="00C96507">
        <w:t>BCR</w:t>
      </w:r>
      <w:r w:rsidR="00AF3732" w:rsidRPr="001A5EBC">
        <w:t>.</w:t>
      </w:r>
      <w:r w:rsidR="002F776E">
        <w:t xml:space="preserve"> </w:t>
      </w:r>
    </w:p>
    <w:p w14:paraId="73974792" w14:textId="58550634" w:rsidR="00AF3732" w:rsidRPr="001A5EBC" w:rsidRDefault="00AF3732" w:rsidP="00BF5BC5">
      <w:pPr>
        <w:jc w:val="both"/>
      </w:pPr>
      <w:r w:rsidRPr="001A5EBC">
        <w:t>In the following sections</w:t>
      </w:r>
      <w:r w:rsidR="00203CE3">
        <w:t xml:space="preserve"> </w:t>
      </w:r>
      <w:r w:rsidRPr="001A5EBC">
        <w:t>we discuss the evidence for each of the five broad decarboni</w:t>
      </w:r>
      <w:r w:rsidR="001A5EBC" w:rsidRPr="001A5EBC">
        <w:t>s</w:t>
      </w:r>
      <w:r w:rsidRPr="001A5EBC">
        <w:t>ation areas in turn,</w:t>
      </w:r>
      <w:r w:rsidR="00203CE3">
        <w:t xml:space="preserve"> </w:t>
      </w:r>
      <w:r w:rsidR="00CA7F85">
        <w:t xml:space="preserve">and </w:t>
      </w:r>
      <w:r w:rsidR="00203CE3">
        <w:t>then</w:t>
      </w:r>
      <w:r w:rsidRPr="001A5EBC">
        <w:t xml:space="preserve"> conclud</w:t>
      </w:r>
      <w:r w:rsidR="00203CE3">
        <w:t>e</w:t>
      </w:r>
      <w:r w:rsidRPr="001A5EBC">
        <w:t xml:space="preserve"> by using these updated estimates to provide an overall estimate of public-private sector investment ratios.</w:t>
      </w:r>
    </w:p>
    <w:p w14:paraId="467C7718" w14:textId="77777777" w:rsidR="00BF5BC5" w:rsidRPr="001A5EBC" w:rsidRDefault="00BF5BC5" w:rsidP="003A7A44">
      <w:pPr>
        <w:jc w:val="both"/>
      </w:pPr>
    </w:p>
    <w:p w14:paraId="05679BFA" w14:textId="57C5264A" w:rsidR="0004725A" w:rsidRPr="001A5EBC" w:rsidRDefault="00155C68" w:rsidP="001E1429">
      <w:pPr>
        <w:pStyle w:val="Heading1"/>
        <w:numPr>
          <w:ilvl w:val="0"/>
          <w:numId w:val="47"/>
        </w:numPr>
      </w:pPr>
      <w:bookmarkStart w:id="1" w:name="_Toc169011862"/>
      <w:r w:rsidRPr="001A5EBC">
        <w:lastRenderedPageBreak/>
        <w:t>Energy</w:t>
      </w:r>
      <w:bookmarkEnd w:id="1"/>
    </w:p>
    <w:p w14:paraId="6C42E59B" w14:textId="74F19796" w:rsidR="008E6598" w:rsidRPr="001A5EBC" w:rsidRDefault="00155C68" w:rsidP="008E6598">
      <w:pPr>
        <w:pStyle w:val="Heading2"/>
      </w:pPr>
      <w:r w:rsidRPr="001A5EBC">
        <w:t xml:space="preserve">Evidence </w:t>
      </w:r>
      <w:r w:rsidR="002F776E">
        <w:t>R</w:t>
      </w:r>
      <w:r w:rsidRPr="001A5EBC">
        <w:t>eviewed</w:t>
      </w:r>
    </w:p>
    <w:p w14:paraId="6439D001" w14:textId="6098F7C2" w:rsidR="0092022B" w:rsidRPr="001A5EBC" w:rsidRDefault="00EA62BA" w:rsidP="00EA62BA">
      <w:pPr>
        <w:pStyle w:val="BodyText"/>
      </w:pPr>
      <w:r w:rsidRPr="001A5EBC">
        <w:t>In 2019</w:t>
      </w:r>
      <w:r w:rsidR="002F776E">
        <w:t xml:space="preserve"> n</w:t>
      </w:r>
      <w:r w:rsidRPr="001A5EBC">
        <w:t xml:space="preserve">et UK </w:t>
      </w:r>
      <w:r w:rsidR="00CF4CD0" w:rsidRPr="001A5EBC">
        <w:t>greenhouse gas (GHG)</w:t>
      </w:r>
      <w:r w:rsidRPr="001A5EBC">
        <w:t xml:space="preserve"> emissions from the energy sector </w:t>
      </w:r>
      <w:r w:rsidR="00C80B21" w:rsidRPr="001A5EBC">
        <w:t xml:space="preserve">reached </w:t>
      </w:r>
      <w:r w:rsidRPr="001A5EBC">
        <w:t>58 MtCO2e</w:t>
      </w:r>
      <w:r w:rsidR="002F776E">
        <w:t xml:space="preserve">, </w:t>
      </w:r>
      <w:r w:rsidRPr="001A5EBC">
        <w:t>account</w:t>
      </w:r>
      <w:r w:rsidR="002F776E">
        <w:t>ing</w:t>
      </w:r>
      <w:r w:rsidRPr="001A5EBC">
        <w:t xml:space="preserve"> for 11% of total net UK GHG emissions</w:t>
      </w:r>
      <w:r w:rsidR="00B4517B" w:rsidRPr="001A5EBC">
        <w:t xml:space="preserve"> (DESNZ, 2022)</w:t>
      </w:r>
      <w:r w:rsidRPr="001A5EBC">
        <w:t xml:space="preserve">. </w:t>
      </w:r>
      <w:r w:rsidR="0092022B" w:rsidRPr="001A5EBC">
        <w:t xml:space="preserve">Achieving a </w:t>
      </w:r>
      <w:r w:rsidR="002F776E">
        <w:t>n</w:t>
      </w:r>
      <w:r w:rsidR="0092022B" w:rsidRPr="001A5EBC">
        <w:t>et</w:t>
      </w:r>
      <w:r w:rsidR="002F776E">
        <w:t xml:space="preserve"> ze</w:t>
      </w:r>
      <w:r w:rsidR="0092022B" w:rsidRPr="001A5EBC">
        <w:t xml:space="preserve">ro </w:t>
      </w:r>
      <w:r w:rsidR="00A952E5" w:rsidRPr="001A5EBC">
        <w:t>energy sector, as highlighted in the Net</w:t>
      </w:r>
      <w:r w:rsidR="0009255E">
        <w:t xml:space="preserve"> </w:t>
      </w:r>
      <w:r w:rsidR="00A952E5" w:rsidRPr="001A5EBC">
        <w:t>Zero Strategy</w:t>
      </w:r>
      <w:r w:rsidR="00A031ED" w:rsidRPr="001A5EBC">
        <w:t xml:space="preserve"> (DESNZ, 2022)</w:t>
      </w:r>
      <w:r w:rsidR="00A952E5" w:rsidRPr="001A5EBC">
        <w:t xml:space="preserve">, requires </w:t>
      </w:r>
      <w:r w:rsidR="0059371D" w:rsidRPr="001A5EBC">
        <w:t>substantial decarbonisation of the power sector</w:t>
      </w:r>
      <w:r w:rsidR="002F776E">
        <w:t xml:space="preserve"> </w:t>
      </w:r>
      <w:r w:rsidR="00EE765B" w:rsidRPr="001A5EBC">
        <w:t>through a</w:t>
      </w:r>
      <w:r w:rsidR="00801325" w:rsidRPr="001A5EBC">
        <w:t xml:space="preserve"> shift from</w:t>
      </w:r>
      <w:r w:rsidR="00EE765B" w:rsidRPr="001A5EBC">
        <w:t xml:space="preserve"> the use of</w:t>
      </w:r>
      <w:r w:rsidR="00801325" w:rsidRPr="001A5EBC">
        <w:t xml:space="preserve"> fossil fuel</w:t>
      </w:r>
      <w:r w:rsidR="00787078" w:rsidRPr="001A5EBC">
        <w:t>s</w:t>
      </w:r>
      <w:r w:rsidR="0084520C" w:rsidRPr="001A5EBC">
        <w:t xml:space="preserve"> </w:t>
      </w:r>
      <w:r w:rsidR="00801325" w:rsidRPr="001A5EBC">
        <w:t xml:space="preserve">towards low carbon </w:t>
      </w:r>
      <w:r w:rsidR="00545C95" w:rsidRPr="001A5EBC">
        <w:t>energy generation</w:t>
      </w:r>
      <w:r w:rsidR="007718A1" w:rsidRPr="001A5EBC">
        <w:t>.</w:t>
      </w:r>
      <w:r w:rsidR="00512AF8" w:rsidRPr="001A5EBC">
        <w:t xml:space="preserve"> Specifically, </w:t>
      </w:r>
      <w:r w:rsidR="00742F94" w:rsidRPr="001A5EBC">
        <w:t xml:space="preserve">decarbonisation of the energy sector entails </w:t>
      </w:r>
      <w:r w:rsidR="00B24D15" w:rsidRPr="001A5EBC">
        <w:t>upscal</w:t>
      </w:r>
      <w:r w:rsidR="003363F5" w:rsidRPr="001A5EBC">
        <w:t>ing</w:t>
      </w:r>
      <w:r w:rsidR="00742F94" w:rsidRPr="001A5EBC">
        <w:t xml:space="preserve"> </w:t>
      </w:r>
      <w:r w:rsidR="00736F2E" w:rsidRPr="001A5EBC">
        <w:t xml:space="preserve">renewable </w:t>
      </w:r>
      <w:r w:rsidR="00545C95" w:rsidRPr="001A5EBC">
        <w:t xml:space="preserve">energy </w:t>
      </w:r>
      <w:r w:rsidR="00736F2E" w:rsidRPr="001A5EBC">
        <w:t xml:space="preserve">capacity, </w:t>
      </w:r>
      <w:r w:rsidR="003363F5" w:rsidRPr="001A5EBC">
        <w:t>upgrading</w:t>
      </w:r>
      <w:r w:rsidR="003C290B" w:rsidRPr="001A5EBC">
        <w:t xml:space="preserve"> the UK electricity network (including transmission and distribution infrastructure)</w:t>
      </w:r>
      <w:r w:rsidR="002F776E">
        <w:t xml:space="preserve">, </w:t>
      </w:r>
      <w:r w:rsidR="0050568A" w:rsidRPr="001A5EBC">
        <w:t>and</w:t>
      </w:r>
      <w:r w:rsidR="00221923" w:rsidRPr="001A5EBC">
        <w:t xml:space="preserve"> </w:t>
      </w:r>
      <w:r w:rsidR="002F776E">
        <w:t xml:space="preserve">the </w:t>
      </w:r>
      <w:r w:rsidR="00545C95" w:rsidRPr="001A5EBC">
        <w:t>develop</w:t>
      </w:r>
      <w:r w:rsidR="002F776E">
        <w:t xml:space="preserve">ment of </w:t>
      </w:r>
      <w:r w:rsidR="0050568A" w:rsidRPr="001A5EBC">
        <w:t>supporting technolog</w:t>
      </w:r>
      <w:r w:rsidR="00DE2AAC" w:rsidRPr="001A5EBC">
        <w:t>ies</w:t>
      </w:r>
      <w:r w:rsidR="0050568A" w:rsidRPr="001A5EBC">
        <w:t xml:space="preserve">, </w:t>
      </w:r>
      <w:r w:rsidR="002F776E" w:rsidRPr="001A5EBC">
        <w:t>including</w:t>
      </w:r>
      <w:r w:rsidR="002F776E">
        <w:t xml:space="preserve">: </w:t>
      </w:r>
      <w:r w:rsidR="0050568A" w:rsidRPr="001A5EBC">
        <w:t xml:space="preserve">nuclear, power </w:t>
      </w:r>
      <w:r w:rsidR="00B4517B" w:rsidRPr="001A5EBC">
        <w:t>Carbon Capture and Utilisation Storage (</w:t>
      </w:r>
      <w:r w:rsidR="0050568A" w:rsidRPr="001A5EBC">
        <w:t>CCUS</w:t>
      </w:r>
      <w:r w:rsidR="00B4517B" w:rsidRPr="001A5EBC">
        <w:t>)</w:t>
      </w:r>
      <w:r w:rsidR="0050568A" w:rsidRPr="001A5EBC">
        <w:t>, interconnectors, electricity storage, and demand-side response</w:t>
      </w:r>
      <w:r w:rsidR="003314C8" w:rsidRPr="001A5EBC">
        <w:t xml:space="preserve"> mechanisms</w:t>
      </w:r>
      <w:r w:rsidR="00787078" w:rsidRPr="001A5EBC">
        <w:t>.</w:t>
      </w:r>
    </w:p>
    <w:p w14:paraId="53F9AC41" w14:textId="0858DB8D" w:rsidR="001D04B1" w:rsidRPr="00677F00" w:rsidRDefault="00787078" w:rsidP="001D04B1">
      <w:pPr>
        <w:pStyle w:val="BodyText"/>
      </w:pPr>
      <w:r w:rsidRPr="001A5EBC">
        <w:t>To fully decarbonise the power sector at the required pace</w:t>
      </w:r>
      <w:r w:rsidR="002F776E">
        <w:t xml:space="preserve">, </w:t>
      </w:r>
      <w:r w:rsidRPr="001A5EBC">
        <w:t>both public and private investment</w:t>
      </w:r>
      <w:r w:rsidR="00523D64" w:rsidRPr="001A5EBC">
        <w:t>s</w:t>
      </w:r>
      <w:r w:rsidRPr="001A5EBC">
        <w:t xml:space="preserve"> need to </w:t>
      </w:r>
      <w:r w:rsidR="00080946" w:rsidRPr="001A5EBC">
        <w:t>be raised</w:t>
      </w:r>
      <w:r w:rsidRPr="001A5EBC">
        <w:t>.</w:t>
      </w:r>
      <w:r w:rsidR="001D04B1" w:rsidRPr="001A5EBC">
        <w:t xml:space="preserve"> Given the scale of investment</w:t>
      </w:r>
      <w:r w:rsidR="00A91015" w:rsidRPr="001A5EBC">
        <w:t>s</w:t>
      </w:r>
      <w:r w:rsidR="008C5CB8" w:rsidRPr="001A5EBC">
        <w:t xml:space="preserve"> </w:t>
      </w:r>
      <w:r w:rsidR="001D04B1" w:rsidRPr="001A5EBC">
        <w:t xml:space="preserve">required to </w:t>
      </w:r>
      <w:r w:rsidR="00ED7EF4" w:rsidRPr="001A5EBC">
        <w:t xml:space="preserve">develop </w:t>
      </w:r>
      <w:r w:rsidR="001D04B1" w:rsidRPr="001A5EBC">
        <w:t>a decarbonised power system and the current pressure on public finances, leveraging private investment</w:t>
      </w:r>
      <w:r w:rsidR="00E8549A" w:rsidRPr="001A5EBC">
        <w:t xml:space="preserve">s </w:t>
      </w:r>
      <w:r w:rsidR="001D04B1" w:rsidRPr="001A5EBC">
        <w:t>is essential to achie</w:t>
      </w:r>
      <w:r w:rsidR="0064180C" w:rsidRPr="001A5EBC">
        <w:t>ve</w:t>
      </w:r>
      <w:r w:rsidR="001D04B1" w:rsidRPr="001A5EBC">
        <w:t xml:space="preserve"> </w:t>
      </w:r>
      <w:r w:rsidR="00FB3932" w:rsidRPr="001A5EBC">
        <w:t>n</w:t>
      </w:r>
      <w:r w:rsidR="001D04B1" w:rsidRPr="001A5EBC">
        <w:t xml:space="preserve">et </w:t>
      </w:r>
      <w:r w:rsidR="00FB3932" w:rsidRPr="001A5EBC">
        <w:t>z</w:t>
      </w:r>
      <w:r w:rsidR="001D04B1" w:rsidRPr="001A5EBC">
        <w:t xml:space="preserve">ero goals in this </w:t>
      </w:r>
      <w:r w:rsidR="001D04B1" w:rsidRPr="00677F00">
        <w:t xml:space="preserve">sector in an efficient and timely way. </w:t>
      </w:r>
    </w:p>
    <w:p w14:paraId="299388FB" w14:textId="32EA514C" w:rsidR="001D04B1" w:rsidRPr="001A5EBC" w:rsidRDefault="00B4517B" w:rsidP="001D04B1">
      <w:pPr>
        <w:pStyle w:val="BodyText"/>
      </w:pPr>
      <w:r w:rsidRPr="00677F00">
        <w:t>Based on figures from the</w:t>
      </w:r>
      <w:r w:rsidR="001D04B1" w:rsidRPr="00677F00">
        <w:t xml:space="preserve"> </w:t>
      </w:r>
      <w:r w:rsidR="00231ECC" w:rsidRPr="00677F00">
        <w:t>UK Office for Budget Responsibility (</w:t>
      </w:r>
      <w:r w:rsidR="001D04B1" w:rsidRPr="00677F00">
        <w:t>OBR</w:t>
      </w:r>
      <w:r w:rsidR="00231ECC" w:rsidRPr="00677F00">
        <w:t>)</w:t>
      </w:r>
      <w:r w:rsidRPr="00677F00">
        <w:t xml:space="preserve">, Energy UK &amp; Oxford Economics </w:t>
      </w:r>
      <w:r w:rsidR="00133C9F" w:rsidRPr="00677F00">
        <w:t xml:space="preserve">(2023) </w:t>
      </w:r>
      <w:r w:rsidR="001D04B1" w:rsidRPr="00677F00">
        <w:t>approximate</w:t>
      </w:r>
      <w:r w:rsidR="001D04B1" w:rsidRPr="001A5EBC">
        <w:t xml:space="preserve"> that </w:t>
      </w:r>
      <w:r w:rsidR="004F356B" w:rsidRPr="001A5EBC">
        <w:t xml:space="preserve">in the UK </w:t>
      </w:r>
      <w:r w:rsidR="001D04B1" w:rsidRPr="001A5EBC">
        <w:t>over 70% of clean energy investment will have to come from the private sector</w:t>
      </w:r>
      <w:r w:rsidR="00133C9F">
        <w:t xml:space="preserve">, </w:t>
      </w:r>
      <w:r w:rsidR="004F356B" w:rsidRPr="001A5EBC">
        <w:t>whil</w:t>
      </w:r>
      <w:r w:rsidR="002F776E">
        <w:t>st</w:t>
      </w:r>
      <w:r w:rsidR="004F356B" w:rsidRPr="001A5EBC">
        <w:t xml:space="preserve"> </w:t>
      </w:r>
      <w:r w:rsidR="00C81D5B" w:rsidRPr="001A5EBC">
        <w:t>the remaining 30% will be covered by public finances</w:t>
      </w:r>
      <w:r w:rsidR="009B5A8C" w:rsidRPr="001A5EBC">
        <w:t xml:space="preserve">. </w:t>
      </w:r>
    </w:p>
    <w:p w14:paraId="67F55FA0" w14:textId="61640573" w:rsidR="00B4517B" w:rsidRPr="001A5EBC" w:rsidRDefault="0009255E" w:rsidP="00710CCA">
      <w:pPr>
        <w:pStyle w:val="Caption"/>
        <w:jc w:val="center"/>
      </w:pPr>
      <w:r w:rsidRPr="00CB4A51">
        <w:rPr>
          <w:b/>
          <w:bCs/>
          <w:noProof/>
        </w:rPr>
        <mc:AlternateContent>
          <mc:Choice Requires="wpg">
            <w:drawing>
              <wp:anchor distT="0" distB="0" distL="114300" distR="114300" simplePos="0" relativeHeight="251660308" behindDoc="0" locked="0" layoutInCell="1" allowOverlap="1" wp14:anchorId="007E525F" wp14:editId="74446D32">
                <wp:simplePos x="0" y="0"/>
                <wp:positionH relativeFrom="margin">
                  <wp:posOffset>231140</wp:posOffset>
                </wp:positionH>
                <wp:positionV relativeFrom="paragraph">
                  <wp:posOffset>363855</wp:posOffset>
                </wp:positionV>
                <wp:extent cx="6057900" cy="2292350"/>
                <wp:effectExtent l="0" t="0" r="0" b="0"/>
                <wp:wrapTopAndBottom/>
                <wp:docPr id="141599618" name="Group 31"/>
                <wp:cNvGraphicFramePr/>
                <a:graphic xmlns:a="http://schemas.openxmlformats.org/drawingml/2006/main">
                  <a:graphicData uri="http://schemas.microsoft.com/office/word/2010/wordprocessingGroup">
                    <wpg:wgp>
                      <wpg:cNvGrpSpPr/>
                      <wpg:grpSpPr>
                        <a:xfrm>
                          <a:off x="0" y="0"/>
                          <a:ext cx="6057900" cy="2292350"/>
                          <a:chOff x="0" y="0"/>
                          <a:chExt cx="6512400" cy="2775071"/>
                        </a:xfrm>
                      </wpg:grpSpPr>
                      <pic:pic xmlns:pic="http://schemas.openxmlformats.org/drawingml/2006/picture">
                        <pic:nvPicPr>
                          <pic:cNvPr id="717148626" name="Picture 28" descr="A graph of green and orange bars&#10;&#10;Description automatically generated"/>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043805" cy="2643505"/>
                          </a:xfrm>
                          <a:prstGeom prst="rect">
                            <a:avLst/>
                          </a:prstGeom>
                        </pic:spPr>
                      </pic:pic>
                      <wpg:grpSp>
                        <wpg:cNvPr id="366747501" name="Group 31"/>
                        <wpg:cNvGrpSpPr/>
                        <wpg:grpSpPr>
                          <a:xfrm>
                            <a:off x="5601810" y="26633"/>
                            <a:ext cx="910590" cy="2748438"/>
                            <a:chOff x="0" y="0"/>
                            <a:chExt cx="910590" cy="2748438"/>
                          </a:xfrm>
                        </wpg:grpSpPr>
                        <pic:pic xmlns:pic="http://schemas.openxmlformats.org/drawingml/2006/picture">
                          <pic:nvPicPr>
                            <pic:cNvPr id="964112523" name="Picture 28" descr="A graph of a number of people&#10;&#10;Description automatically generated with medium confidence"/>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0590" cy="2591435"/>
                            </a:xfrm>
                            <a:prstGeom prst="rect">
                              <a:avLst/>
                            </a:prstGeom>
                          </pic:spPr>
                        </pic:pic>
                        <pic:pic xmlns:pic="http://schemas.openxmlformats.org/drawingml/2006/picture">
                          <pic:nvPicPr>
                            <pic:cNvPr id="1090803649" name="Picture 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2589688"/>
                              <a:ext cx="910590" cy="15875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711088E" id="Group 31" o:spid="_x0000_s1026" style="position:absolute;margin-left:18.2pt;margin-top:28.65pt;width:477pt;height:180.5pt;z-index:251660308;mso-position-horizontal-relative:margin;mso-width-relative:margin;mso-height-relative:margin" coordsize="65124,27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A graph of green and orange bars&#10;&#10;Description automatically generated" style="position:absolute;width:50438;height:26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">
                  <v:imagedata r:id="rId36" o:title="A graph of green and orange bars&#10;&#10;Description automatically generated"/>
                </v:shape>
                <v:group id="_x0000_s1028" style="position:absolute;left:56018;top:266;width:9106;height:27484" coordsize="9105,27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">
                  <v:shape id="Picture 28" o:spid="_x0000_s1029" type="#_x0000_t75" alt="A graph of a number of people&#10;&#10;Description automatically generated with medium confidence" style="position:absolute;width:9105;height:25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">
                    <v:imagedata r:id="rId37" o:title="A graph of a number of people&#10;&#10;Description automatically generated with medium confidence"/>
                  </v:shape>
                  <v:shape id="Picture 1" o:spid="_x0000_s1030" type="#_x0000_t75" style="position:absolute;top:25896;width:9105;height: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">
                    <v:imagedata r:id="rId38" o:title=""/>
                  </v:shape>
                </v:group>
                <w10:wrap type="topAndBottom" anchorx="margin"/>
              </v:group>
            </w:pict>
          </mc:Fallback>
        </mc:AlternateContent>
      </w:r>
      <w:r w:rsidR="00B4517B" w:rsidRPr="00CB4A51">
        <w:rPr>
          <w:b/>
          <w:bCs/>
        </w:rPr>
        <w:t>Figure 1</w:t>
      </w:r>
      <w:r w:rsidR="00133C9F" w:rsidRPr="00CB4A51">
        <w:rPr>
          <w:b/>
          <w:bCs/>
        </w:rPr>
        <w:t>:</w:t>
      </w:r>
      <w:r w:rsidR="00B4517B" w:rsidRPr="00CB4A51">
        <w:t xml:space="preserve"> Estimated </w:t>
      </w:r>
      <w:r w:rsidR="00133C9F" w:rsidRPr="00CB4A51">
        <w:t>S</w:t>
      </w:r>
      <w:r w:rsidR="00B4517B" w:rsidRPr="00CB4A51">
        <w:t>ources</w:t>
      </w:r>
      <w:r w:rsidR="00B4517B" w:rsidRPr="001A5EBC">
        <w:t xml:space="preserve"> of </w:t>
      </w:r>
      <w:r w:rsidR="00133C9F">
        <w:t>Fi</w:t>
      </w:r>
      <w:r w:rsidR="00B4517B" w:rsidRPr="001A5EBC">
        <w:t xml:space="preserve">nance from IEA (left) and IRENA (right) </w:t>
      </w:r>
      <w:r w:rsidR="00133C9F">
        <w:t>S</w:t>
      </w:r>
      <w:r w:rsidR="00B4517B" w:rsidRPr="001A5EBC">
        <w:t>tudies</w:t>
      </w:r>
    </w:p>
    <w:p w14:paraId="007A9878" w14:textId="3AB8DF87" w:rsidR="00B4517B" w:rsidRPr="001A5EBC" w:rsidRDefault="00B4517B" w:rsidP="0009255E">
      <w:pPr>
        <w:pStyle w:val="Source"/>
        <w:ind w:left="4320"/>
      </w:pPr>
      <w:r w:rsidRPr="001A5EBC">
        <w:t xml:space="preserve">Sources: </w:t>
      </w:r>
      <w:r w:rsidR="00014DFF" w:rsidRPr="001A5EBC">
        <w:t>Left: IEA</w:t>
      </w:r>
      <w:r w:rsidRPr="001A5EBC">
        <w:t>, (2022);</w:t>
      </w:r>
      <w:r w:rsidR="00014DFF" w:rsidRPr="001A5EBC">
        <w:t xml:space="preserve"> Right:</w:t>
      </w:r>
      <w:r w:rsidRPr="001A5EBC">
        <w:t xml:space="preserve"> IRENA (2023)</w:t>
      </w:r>
    </w:p>
    <w:p w14:paraId="25C0B10F" w14:textId="187D69DB" w:rsidR="00D36592" w:rsidRPr="001A5EBC" w:rsidRDefault="00687592" w:rsidP="0073392B">
      <w:pPr>
        <w:pStyle w:val="BodyText"/>
      </w:pPr>
      <w:r w:rsidRPr="001A5EBC">
        <w:t xml:space="preserve">Likewise, a </w:t>
      </w:r>
      <w:r w:rsidR="00B26F31" w:rsidRPr="001A5EBC">
        <w:t xml:space="preserve">global </w:t>
      </w:r>
      <w:r w:rsidRPr="001A5EBC">
        <w:t xml:space="preserve">study conducted by the International Energy Agency (IEA) </w:t>
      </w:r>
      <w:r w:rsidR="002C712D" w:rsidRPr="001A5EBC">
        <w:t xml:space="preserve">shows </w:t>
      </w:r>
      <w:r w:rsidR="00133C9F">
        <w:t>that the majority of financ</w:t>
      </w:r>
      <w:r w:rsidR="00A30884">
        <w:t>ing</w:t>
      </w:r>
      <w:r w:rsidRPr="001A5EBC">
        <w:t xml:space="preserve"> needs in the energy sector are expected to be met by the private sector</w:t>
      </w:r>
      <w:r w:rsidR="00133C9F">
        <w:t xml:space="preserve"> (IEA, 2022).</w:t>
      </w:r>
      <w:r w:rsidRPr="001A5EBC">
        <w:t xml:space="preserve"> </w:t>
      </w:r>
      <w:r w:rsidR="005A16E9" w:rsidRPr="001A5EBC">
        <w:t>In a “Net Zero Emissions by 2050”</w:t>
      </w:r>
      <w:r w:rsidR="003F6DE7" w:rsidRPr="001A5EBC">
        <w:t xml:space="preserve"> scenario private investments are expected to account for </w:t>
      </w:r>
      <w:r w:rsidRPr="001A5EBC">
        <w:t xml:space="preserve">62% of the necessary investments between 2025 and 2035 (IEA, 2022). As </w:t>
      </w:r>
      <w:r w:rsidR="00B65006" w:rsidRPr="00677F00">
        <w:t>illustrated</w:t>
      </w:r>
      <w:r w:rsidRPr="00677F00">
        <w:t xml:space="preserve"> in </w:t>
      </w:r>
      <w:r w:rsidR="00B65006" w:rsidRPr="00677F00">
        <w:fldChar w:fldCharType="begin"/>
      </w:r>
      <w:r w:rsidR="00B65006" w:rsidRPr="00677F00">
        <w:instrText xml:space="preserve"> REF _Ref168586626 \h </w:instrText>
      </w:r>
      <w:r w:rsidR="0078525E" w:rsidRPr="00677F00">
        <w:instrText xml:space="preserve"> \* MERGEFORMAT </w:instrText>
      </w:r>
      <w:r w:rsidR="00B65006" w:rsidRPr="00677F00">
        <w:fldChar w:fldCharType="end"/>
      </w:r>
      <w:r w:rsidR="00133C9F" w:rsidRPr="00677F00">
        <w:t>Figure 1</w:t>
      </w:r>
      <w:r w:rsidR="00417E1E" w:rsidRPr="00677F00">
        <w:t>.</w:t>
      </w:r>
      <w:r w:rsidR="0078525E" w:rsidRPr="00677F00">
        <w:t xml:space="preserve">, </w:t>
      </w:r>
      <w:r w:rsidRPr="00677F00">
        <w:t>this</w:t>
      </w:r>
      <w:r w:rsidRPr="001A5EBC">
        <w:t xml:space="preserve"> suggests an accelerated growth rate in private investment</w:t>
      </w:r>
      <w:r w:rsidR="00D7504B" w:rsidRPr="001A5EBC">
        <w:t>.</w:t>
      </w:r>
      <w:r w:rsidR="00DC76ED" w:rsidRPr="001A5EBC">
        <w:t xml:space="preserve"> </w:t>
      </w:r>
    </w:p>
    <w:p w14:paraId="20BEF30E" w14:textId="77777777" w:rsidR="0078525E" w:rsidRPr="00677F00" w:rsidRDefault="00806C42" w:rsidP="0073392B">
      <w:pPr>
        <w:pStyle w:val="BodyText"/>
      </w:pPr>
      <w:r w:rsidRPr="001A5EBC">
        <w:lastRenderedPageBreak/>
        <w:t xml:space="preserve">Shifting the focus to renewable energy capacity, data from the International Renewable Energy Agency </w:t>
      </w:r>
      <w:r w:rsidR="00EC33E2" w:rsidRPr="001A5EBC">
        <w:t xml:space="preserve">illustrates </w:t>
      </w:r>
      <w:r w:rsidRPr="001A5EBC">
        <w:t xml:space="preserve">that the private sector is the </w:t>
      </w:r>
      <w:r w:rsidRPr="00677F00">
        <w:t xml:space="preserve">primary contributor to global investments in this field, accounting for approximately 75% of the total from 2013 to 2020 </w:t>
      </w:r>
      <w:r w:rsidR="00804E36" w:rsidRPr="00677F00">
        <w:t>(IRENA, 2023)</w:t>
      </w:r>
      <w:r w:rsidR="0078525E" w:rsidRPr="00677F00">
        <w:t>, this is shown in Figure 1. The</w:t>
      </w:r>
      <w:r w:rsidR="0073392B" w:rsidRPr="00677F00">
        <w:t xml:space="preserve"> share of public versus private investments varies by context and technology. Typically, lower shares of public finance are devoted to renewable energy technologies that are commercially viable and highly competitive, which makes them attractive for private investors.</w:t>
      </w:r>
      <w:r w:rsidR="0078525E" w:rsidRPr="00677F00">
        <w:t xml:space="preserve"> </w:t>
      </w:r>
    </w:p>
    <w:p w14:paraId="628F3E94" w14:textId="766F23D7" w:rsidR="00B65006" w:rsidRPr="001A5EBC" w:rsidRDefault="0073392B" w:rsidP="0073392B">
      <w:pPr>
        <w:pStyle w:val="BodyText"/>
      </w:pPr>
      <w:r w:rsidRPr="00677F00">
        <w:t xml:space="preserve">For example, in 2020 83% of </w:t>
      </w:r>
      <w:r w:rsidR="00B4517B" w:rsidRPr="00677F00">
        <w:t>investment</w:t>
      </w:r>
      <w:r w:rsidRPr="00677F00">
        <w:t xml:space="preserve"> in solar PV came from private finance</w:t>
      </w:r>
      <w:r w:rsidR="0078525E" w:rsidRPr="00677F00">
        <w:t>, m</w:t>
      </w:r>
      <w:r w:rsidRPr="00677F00">
        <w:t>eanwhile</w:t>
      </w:r>
      <w:r w:rsidR="0078525E" w:rsidRPr="00677F00">
        <w:t xml:space="preserve"> </w:t>
      </w:r>
      <w:r w:rsidRPr="00677F00">
        <w:t>geothermal and hydropower rel</w:t>
      </w:r>
      <w:r w:rsidR="0078525E" w:rsidRPr="00677F00">
        <w:t>ied</w:t>
      </w:r>
      <w:r w:rsidRPr="00677F00">
        <w:t xml:space="preserve"> mostly on public finance; only 32% and 3% of investments in these technologies, respectively, came from private investors in 2020</w:t>
      </w:r>
      <w:r w:rsidR="0078525E" w:rsidRPr="00677F00">
        <w:t xml:space="preserve"> (IRENA, 2023).</w:t>
      </w:r>
    </w:p>
    <w:p w14:paraId="0EBCE8E3" w14:textId="051A8925" w:rsidR="00155C68" w:rsidRPr="001A5EBC" w:rsidRDefault="00155C68" w:rsidP="00155C68">
      <w:pPr>
        <w:pStyle w:val="Heading2"/>
      </w:pPr>
      <w:r w:rsidRPr="001A5EBC">
        <w:t xml:space="preserve">Key </w:t>
      </w:r>
      <w:r w:rsidR="00133C9F">
        <w:t>T</w:t>
      </w:r>
      <w:r w:rsidRPr="001A5EBC">
        <w:t>akeaways</w:t>
      </w:r>
    </w:p>
    <w:p w14:paraId="369AC071" w14:textId="4ACC8261" w:rsidR="00A0372A" w:rsidRPr="001A5EBC" w:rsidRDefault="00A0372A" w:rsidP="0073392B">
      <w:pPr>
        <w:pStyle w:val="BodyText"/>
      </w:pPr>
      <w:r w:rsidRPr="001A5EBC">
        <w:t xml:space="preserve">Every data source examined for the energy sector </w:t>
      </w:r>
      <w:r w:rsidR="00600F25">
        <w:t xml:space="preserve">highlights </w:t>
      </w:r>
      <w:r w:rsidRPr="001A5EBC">
        <w:t xml:space="preserve">the significant role of private </w:t>
      </w:r>
      <w:r w:rsidR="00EF1453" w:rsidRPr="001A5EBC">
        <w:t xml:space="preserve">investment </w:t>
      </w:r>
      <w:r w:rsidR="00600F25">
        <w:t xml:space="preserve">in </w:t>
      </w:r>
      <w:r w:rsidRPr="001A5EBC">
        <w:t xml:space="preserve">meeting the </w:t>
      </w:r>
      <w:r w:rsidR="00600F25">
        <w:t xml:space="preserve">required funding </w:t>
      </w:r>
      <w:r w:rsidR="00EF1453" w:rsidRPr="001A5EBC">
        <w:t>to decarbonise the energy sector</w:t>
      </w:r>
      <w:r w:rsidRPr="001A5EBC">
        <w:t>. For the context of this study,</w:t>
      </w:r>
      <w:r w:rsidR="00600F25">
        <w:t xml:space="preserve"> we expect</w:t>
      </w:r>
      <w:r w:rsidRPr="001A5EBC">
        <w:t xml:space="preserve"> </w:t>
      </w:r>
      <w:r w:rsidR="004D4192" w:rsidRPr="001A5EBC">
        <w:t xml:space="preserve">public and </w:t>
      </w:r>
      <w:r w:rsidRPr="001A5EBC">
        <w:t xml:space="preserve">private investments to account for </w:t>
      </w:r>
      <w:r w:rsidR="00363A6D" w:rsidRPr="001A5EBC">
        <w:t>3</w:t>
      </w:r>
      <w:r w:rsidRPr="001A5EBC">
        <w:t xml:space="preserve">0% and </w:t>
      </w:r>
      <w:r w:rsidR="00363A6D" w:rsidRPr="001A5EBC">
        <w:t>7</w:t>
      </w:r>
      <w:r w:rsidRPr="001A5EBC">
        <w:t>0% of the required investments</w:t>
      </w:r>
      <w:r w:rsidR="00600F25">
        <w:t xml:space="preserve">, </w:t>
      </w:r>
      <w:r w:rsidRPr="001A5EBC">
        <w:t>respectively, as stated by Energy UK &amp; Oxford Economics (2023). Whil</w:t>
      </w:r>
      <w:r w:rsidR="00600F25">
        <w:t>st</w:t>
      </w:r>
      <w:r w:rsidRPr="001A5EBC">
        <w:t xml:space="preserve"> other data sources present comparable figures, we deem it crucial to reference a UK-specific source. </w:t>
      </w:r>
      <w:r w:rsidR="007B15F0" w:rsidRPr="001A5EBC">
        <w:t>Moreover, the chose</w:t>
      </w:r>
      <w:r w:rsidR="00A1697D" w:rsidRPr="001A5EBC">
        <w:t>n</w:t>
      </w:r>
      <w:r w:rsidR="007B15F0" w:rsidRPr="001A5EBC">
        <w:t xml:space="preserve"> data</w:t>
      </w:r>
      <w:r w:rsidRPr="001A5EBC">
        <w:t xml:space="preserve"> source provides a holistic view of the energy sector, rather than </w:t>
      </w:r>
      <w:r w:rsidR="00600F25">
        <w:t xml:space="preserve">concentrating solely </w:t>
      </w:r>
      <w:r w:rsidRPr="001A5EBC">
        <w:t>on individual components.</w:t>
      </w:r>
    </w:p>
    <w:p w14:paraId="4C0028C7" w14:textId="62FDBA4C" w:rsidR="006A7ED8" w:rsidRPr="001A5EBC" w:rsidRDefault="009645A0" w:rsidP="0073392B">
      <w:pPr>
        <w:pStyle w:val="BodyText"/>
        <w:rPr>
          <w:b/>
          <w:bCs/>
        </w:rPr>
      </w:pPr>
      <w:r>
        <w:rPr>
          <w:b/>
          <w:bCs/>
        </w:rPr>
        <w:t xml:space="preserve">Of </w:t>
      </w:r>
      <w:r w:rsidRPr="00417E1E">
        <w:rPr>
          <w:b/>
          <w:bCs/>
        </w:rPr>
        <w:t>the</w:t>
      </w:r>
      <w:r w:rsidR="006A7ED8" w:rsidRPr="00417E1E">
        <w:rPr>
          <w:b/>
          <w:bCs/>
        </w:rPr>
        <w:t xml:space="preserve"> £1</w:t>
      </w:r>
      <w:r w:rsidR="00B977A5" w:rsidRPr="00417E1E">
        <w:rPr>
          <w:b/>
          <w:bCs/>
        </w:rPr>
        <w:t>0bn</w:t>
      </w:r>
      <w:r w:rsidR="006A7ED8" w:rsidRPr="00417E1E">
        <w:rPr>
          <w:b/>
          <w:bCs/>
        </w:rPr>
        <w:t xml:space="preserve"> pa </w:t>
      </w:r>
      <w:r w:rsidR="005E4E44" w:rsidRPr="00417E1E">
        <w:rPr>
          <w:b/>
          <w:bCs/>
        </w:rPr>
        <w:t>of investments in the energy sector allocated to</w:t>
      </w:r>
      <w:r w:rsidR="006A7ED8" w:rsidRPr="00417E1E">
        <w:rPr>
          <w:b/>
          <w:bCs/>
        </w:rPr>
        <w:t xml:space="preserve"> the North</w:t>
      </w:r>
      <w:r w:rsidR="007B15F0" w:rsidRPr="00417E1E">
        <w:rPr>
          <w:b/>
          <w:bCs/>
        </w:rPr>
        <w:t xml:space="preserve"> of England</w:t>
      </w:r>
      <w:r w:rsidR="006A7ED8" w:rsidRPr="00417E1E">
        <w:rPr>
          <w:b/>
          <w:bCs/>
        </w:rPr>
        <w:t xml:space="preserve">, </w:t>
      </w:r>
      <w:r w:rsidRPr="00417E1E">
        <w:rPr>
          <w:b/>
          <w:bCs/>
        </w:rPr>
        <w:t>we assume</w:t>
      </w:r>
      <w:r w:rsidR="006A7ED8" w:rsidRPr="00417E1E">
        <w:rPr>
          <w:b/>
          <w:bCs/>
        </w:rPr>
        <w:t xml:space="preserve"> £</w:t>
      </w:r>
      <w:r w:rsidR="00363A6D" w:rsidRPr="00417E1E">
        <w:rPr>
          <w:b/>
          <w:bCs/>
        </w:rPr>
        <w:t>3</w:t>
      </w:r>
      <w:r w:rsidR="006A7ED8" w:rsidRPr="00417E1E">
        <w:rPr>
          <w:b/>
          <w:bCs/>
        </w:rPr>
        <w:t xml:space="preserve">bn is </w:t>
      </w:r>
      <w:r w:rsidR="00754191" w:rsidRPr="00417E1E">
        <w:rPr>
          <w:b/>
          <w:bCs/>
        </w:rPr>
        <w:t>p</w:t>
      </w:r>
      <w:r w:rsidR="00363A6D" w:rsidRPr="00417E1E">
        <w:rPr>
          <w:b/>
          <w:bCs/>
        </w:rPr>
        <w:t>ublic</w:t>
      </w:r>
      <w:r w:rsidR="006A7ED8" w:rsidRPr="00417E1E">
        <w:rPr>
          <w:b/>
          <w:bCs/>
        </w:rPr>
        <w:t xml:space="preserve"> investment</w:t>
      </w:r>
      <w:r w:rsidR="006A7ED8" w:rsidRPr="001A5EBC">
        <w:rPr>
          <w:b/>
          <w:bCs/>
        </w:rPr>
        <w:t xml:space="preserve"> </w:t>
      </w:r>
      <w:r w:rsidR="00363A6D" w:rsidRPr="001A5EBC">
        <w:rPr>
          <w:b/>
          <w:bCs/>
        </w:rPr>
        <w:t>(primarily in direct funding of national energy generation</w:t>
      </w:r>
      <w:r w:rsidR="00615903" w:rsidRPr="001A5EBC">
        <w:rPr>
          <w:b/>
          <w:bCs/>
        </w:rPr>
        <w:t xml:space="preserve"> and supporting low-income households in the </w:t>
      </w:r>
      <w:r w:rsidR="006E7B5E" w:rsidRPr="001A5EBC">
        <w:rPr>
          <w:b/>
          <w:bCs/>
        </w:rPr>
        <w:t>energy transition</w:t>
      </w:r>
      <w:r w:rsidR="00363A6D" w:rsidRPr="001A5EBC">
        <w:rPr>
          <w:b/>
          <w:bCs/>
        </w:rPr>
        <w:t xml:space="preserve">) </w:t>
      </w:r>
      <w:r w:rsidR="006E7B5E" w:rsidRPr="001A5EBC">
        <w:rPr>
          <w:b/>
          <w:bCs/>
        </w:rPr>
        <w:t>a</w:t>
      </w:r>
      <w:r w:rsidR="00754191" w:rsidRPr="001A5EBC">
        <w:rPr>
          <w:b/>
          <w:bCs/>
        </w:rPr>
        <w:t>nd £</w:t>
      </w:r>
      <w:r w:rsidR="00363A6D" w:rsidRPr="001A5EBC">
        <w:rPr>
          <w:b/>
          <w:bCs/>
        </w:rPr>
        <w:t>7</w:t>
      </w:r>
      <w:r w:rsidR="00F538A4" w:rsidRPr="001A5EBC">
        <w:rPr>
          <w:b/>
          <w:bCs/>
        </w:rPr>
        <w:t xml:space="preserve">bn is </w:t>
      </w:r>
      <w:r w:rsidR="00363A6D" w:rsidRPr="001A5EBC">
        <w:rPr>
          <w:b/>
          <w:bCs/>
        </w:rPr>
        <w:t>private</w:t>
      </w:r>
      <w:r w:rsidR="00F538A4" w:rsidRPr="001A5EBC">
        <w:rPr>
          <w:b/>
          <w:bCs/>
        </w:rPr>
        <w:t xml:space="preserve"> investment</w:t>
      </w:r>
      <w:r w:rsidR="00363A6D" w:rsidRPr="001A5EBC">
        <w:rPr>
          <w:b/>
          <w:bCs/>
        </w:rPr>
        <w:t>.</w:t>
      </w:r>
    </w:p>
    <w:p w14:paraId="2F947FCB" w14:textId="2A28B42C" w:rsidR="00155C68" w:rsidRPr="001A5EBC" w:rsidRDefault="00155C68" w:rsidP="001E1429">
      <w:pPr>
        <w:pStyle w:val="Heading1"/>
        <w:numPr>
          <w:ilvl w:val="0"/>
          <w:numId w:val="47"/>
        </w:numPr>
      </w:pPr>
      <w:bookmarkStart w:id="2" w:name="_Toc169011863"/>
      <w:r w:rsidRPr="001A5EBC">
        <w:lastRenderedPageBreak/>
        <w:t>Buil</w:t>
      </w:r>
      <w:r w:rsidR="005A543F" w:rsidRPr="001A5EBC">
        <w:t>t</w:t>
      </w:r>
      <w:r w:rsidRPr="001A5EBC">
        <w:t xml:space="preserve"> </w:t>
      </w:r>
      <w:r w:rsidR="0078525E">
        <w:t>E</w:t>
      </w:r>
      <w:r w:rsidRPr="001A5EBC">
        <w:t>nvironment</w:t>
      </w:r>
      <w:bookmarkEnd w:id="2"/>
    </w:p>
    <w:p w14:paraId="6EF74C09" w14:textId="3D6B79BD" w:rsidR="00155C68" w:rsidRPr="001A5EBC" w:rsidRDefault="00155C68" w:rsidP="00155C68">
      <w:pPr>
        <w:pStyle w:val="Heading2"/>
      </w:pPr>
      <w:r w:rsidRPr="001A5EBC">
        <w:t xml:space="preserve">Evidence </w:t>
      </w:r>
      <w:r w:rsidR="00D50820">
        <w:t>R</w:t>
      </w:r>
      <w:r w:rsidRPr="001A5EBC">
        <w:t>eviewed</w:t>
      </w:r>
    </w:p>
    <w:p w14:paraId="09435F91" w14:textId="000C83FF" w:rsidR="00923709" w:rsidRPr="001A5EBC" w:rsidRDefault="00BD713C" w:rsidP="00DA55D1">
      <w:pPr>
        <w:pStyle w:val="BodyText"/>
      </w:pPr>
      <w:r w:rsidRPr="001A5EBC">
        <w:t xml:space="preserve">According to </w:t>
      </w:r>
      <w:r w:rsidR="00763B06" w:rsidRPr="001A5EBC">
        <w:t xml:space="preserve">the Net Zero </w:t>
      </w:r>
      <w:r w:rsidR="00763B06" w:rsidRPr="00677F00">
        <w:t>Strategy</w:t>
      </w:r>
      <w:r w:rsidR="0009255E" w:rsidRPr="00677F00">
        <w:t xml:space="preserve"> (DESNZ, 2022),</w:t>
      </w:r>
      <w:r w:rsidR="00763B06" w:rsidRPr="00677F00">
        <w:t xml:space="preserve"> </w:t>
      </w:r>
      <w:r w:rsidR="004E2824" w:rsidRPr="00677F00">
        <w:t>t</w:t>
      </w:r>
      <w:r w:rsidRPr="00677F00">
        <w:t>he UK</w:t>
      </w:r>
      <w:r w:rsidRPr="001A5EBC">
        <w:t xml:space="preserve"> has around 30 million buildings</w:t>
      </w:r>
      <w:r w:rsidR="00614CE7" w:rsidRPr="001A5EBC">
        <w:t xml:space="preserve"> </w:t>
      </w:r>
      <w:r w:rsidRPr="001A5EBC">
        <w:t>and includes some of the oldest building stock in Europe</w:t>
      </w:r>
      <w:r w:rsidR="00102AF3" w:rsidRPr="001A5EBC">
        <w:t>.</w:t>
      </w:r>
      <w:r w:rsidRPr="001A5EBC">
        <w:t xml:space="preserve"> </w:t>
      </w:r>
      <w:r w:rsidR="00FB3932" w:rsidRPr="001A5EBC">
        <w:t>Overall, buildings account for approximately 17% of total UK greenhouse gas emissions, with the majority of these emissions stemming from heating systems. When considering</w:t>
      </w:r>
      <w:r w:rsidR="0009255E">
        <w:t xml:space="preserve"> the</w:t>
      </w:r>
      <w:r w:rsidR="00FB3932" w:rsidRPr="001A5EBC">
        <w:t xml:space="preserve"> emissions from producing the energy used for heating buildings, the overall emissions related to the built environment reach about 21% of all UK emissions (DESNZ, 2022). </w:t>
      </w:r>
      <w:r w:rsidR="009E7807" w:rsidRPr="001A5EBC">
        <w:t>Decarbonis</w:t>
      </w:r>
      <w:r w:rsidR="00BA4B95" w:rsidRPr="001A5EBC">
        <w:t xml:space="preserve">ing the UK building sector </w:t>
      </w:r>
      <w:r w:rsidR="004875EE" w:rsidRPr="001A5EBC">
        <w:t>will require phasing out polluting heating systems,</w:t>
      </w:r>
      <w:r w:rsidR="0009255E">
        <w:t xml:space="preserve"> and</w:t>
      </w:r>
      <w:r w:rsidR="004875EE" w:rsidRPr="001A5EBC">
        <w:t xml:space="preserve"> replacing them with clean heating technolog</w:t>
      </w:r>
      <w:r w:rsidR="007749CD" w:rsidRPr="001A5EBC">
        <w:t>ies</w:t>
      </w:r>
      <w:r w:rsidR="004875EE" w:rsidRPr="001A5EBC">
        <w:t>, improv</w:t>
      </w:r>
      <w:r w:rsidR="007749CD" w:rsidRPr="001A5EBC">
        <w:t>ing</w:t>
      </w:r>
      <w:r w:rsidR="004875EE" w:rsidRPr="001A5EBC">
        <w:t xml:space="preserve"> the fabric efficiency of both residential and commercial buildings. </w:t>
      </w:r>
    </w:p>
    <w:p w14:paraId="64509B41" w14:textId="6EE81E5E" w:rsidR="00AD6C00" w:rsidRPr="001A5EBC" w:rsidRDefault="00D13486" w:rsidP="00DA55D1">
      <w:pPr>
        <w:pStyle w:val="BodyText"/>
      </w:pPr>
      <w:r w:rsidRPr="001A5EBC">
        <w:t>Given the scale of th</w:t>
      </w:r>
      <w:r w:rsidR="00C175E1" w:rsidRPr="001A5EBC">
        <w:t>e decarbonisation challenge and</w:t>
      </w:r>
      <w:r w:rsidR="00DA55D1" w:rsidRPr="001A5EBC">
        <w:t xml:space="preserve"> the </w:t>
      </w:r>
      <w:r w:rsidR="00B86364" w:rsidRPr="001A5EBC">
        <w:t xml:space="preserve">relatively short </w:t>
      </w:r>
      <w:r w:rsidRPr="001A5EBC">
        <w:t xml:space="preserve">timeframe </w:t>
      </w:r>
      <w:r w:rsidR="00B86364" w:rsidRPr="001A5EBC">
        <w:t>available to deploy efficiency improvement</w:t>
      </w:r>
      <w:r w:rsidR="00D72612" w:rsidRPr="001A5EBC">
        <w:t>s</w:t>
      </w:r>
      <w:r w:rsidR="00B86364" w:rsidRPr="001A5EBC">
        <w:t xml:space="preserve"> in the </w:t>
      </w:r>
      <w:r w:rsidR="00AD6C00" w:rsidRPr="001A5EBC">
        <w:t>built environment sector</w:t>
      </w:r>
      <w:r w:rsidR="00B86364" w:rsidRPr="001A5EBC">
        <w:t xml:space="preserve">, </w:t>
      </w:r>
      <w:r w:rsidR="00C47B13" w:rsidRPr="001A5EBC">
        <w:t xml:space="preserve">both public and private finances will need to be raised </w:t>
      </w:r>
      <w:r w:rsidR="00047C22" w:rsidRPr="001A5EBC">
        <w:t xml:space="preserve">to ensure </w:t>
      </w:r>
      <w:r w:rsidR="00FB3932" w:rsidRPr="001A5EBC">
        <w:t>net zero</w:t>
      </w:r>
      <w:r w:rsidR="00047C22" w:rsidRPr="001A5EBC">
        <w:t xml:space="preserve"> </w:t>
      </w:r>
      <w:r w:rsidR="00C175E1" w:rsidRPr="001A5EBC">
        <w:t>goals</w:t>
      </w:r>
      <w:r w:rsidR="00D72612" w:rsidRPr="001A5EBC">
        <w:t xml:space="preserve"> </w:t>
      </w:r>
      <w:r w:rsidR="00482202" w:rsidRPr="001A5EBC">
        <w:t xml:space="preserve">are achieved </w:t>
      </w:r>
      <w:r w:rsidR="00D72612" w:rsidRPr="001A5EBC">
        <w:t>in a timely manner</w:t>
      </w:r>
      <w:r w:rsidR="00C175E1" w:rsidRPr="001A5EBC">
        <w:t xml:space="preserve">. </w:t>
      </w:r>
      <w:r w:rsidR="00F501F0" w:rsidRPr="001A5EBC">
        <w:t xml:space="preserve">Fabric efficiency and replacement of polluting heating systems can be expected to account </w:t>
      </w:r>
      <w:r w:rsidR="00482202" w:rsidRPr="001A5EBC">
        <w:t xml:space="preserve">for </w:t>
      </w:r>
      <w:r w:rsidR="00F501F0" w:rsidRPr="001A5EBC">
        <w:t>around 80% of investments in the sector</w:t>
      </w:r>
      <w:r w:rsidR="00FB3932" w:rsidRPr="001A5EBC">
        <w:t>, with the remaining 20% referring to efficiency appliances</w:t>
      </w:r>
      <w:r w:rsidR="00F501F0" w:rsidRPr="001A5EBC">
        <w:t xml:space="preserve"> (UNFCC, 2022).</w:t>
      </w:r>
      <w:r w:rsidR="00AD6C00" w:rsidRPr="001A5EBC">
        <w:t xml:space="preserve"> </w:t>
      </w:r>
    </w:p>
    <w:p w14:paraId="108D419B" w14:textId="048831B6" w:rsidR="00DA55D1" w:rsidRPr="001A5EBC" w:rsidRDefault="00AD6C00" w:rsidP="00DA55D1">
      <w:pPr>
        <w:pStyle w:val="BodyText"/>
      </w:pPr>
      <w:r w:rsidRPr="001A5EBC">
        <w:t>However, efforts to decarbonise the built environment sector in the UK are significantly off track. The UK has recorded the lowest number of heat pumps installed per capita in 2022 compared to neighbouring countries (CCC, 2023)</w:t>
      </w:r>
      <w:r w:rsidR="0009255E">
        <w:t xml:space="preserve">, this </w:t>
      </w:r>
      <w:r w:rsidRPr="001A5EBC">
        <w:t>is partly attributable to the fact that, due to their high upfront costs, only a minority of homeowners can afford the installations of energy efficiency measures (Citizens Advise, 2023).</w:t>
      </w:r>
      <w:r w:rsidR="0043161A">
        <w:t xml:space="preserve"> </w:t>
      </w:r>
      <w:r w:rsidRPr="001A5EBC">
        <w:t>Therefore, it will be crucial for the UK Government to accelerate initial investments in retrofits and clean heating technologies, in order to leverage further private resources. Alongside financial incentive, the UK Government is expected to leverage further private finance through the role of regulation, namely</w:t>
      </w:r>
      <w:r w:rsidR="0009255E">
        <w:t>,</w:t>
      </w:r>
      <w:r w:rsidRPr="001A5EBC">
        <w:t xml:space="preserve"> mandating energy efficiency standards and phasing out polluting heating systems.</w:t>
      </w:r>
    </w:p>
    <w:p w14:paraId="7979E351" w14:textId="53A99662" w:rsidR="00E22FA3" w:rsidRPr="001A5EBC" w:rsidRDefault="00014DFF" w:rsidP="00305E0B">
      <w:pPr>
        <w:pStyle w:val="BodyText"/>
      </w:pPr>
      <w:r w:rsidRPr="001A5EBC">
        <w:t xml:space="preserve">When considering the residential </w:t>
      </w:r>
      <w:r w:rsidR="00AD6C00" w:rsidRPr="001A5EBC">
        <w:t>built environment sector</w:t>
      </w:r>
      <w:r w:rsidRPr="001A5EBC">
        <w:t>, t</w:t>
      </w:r>
      <w:r w:rsidR="00305E0B" w:rsidRPr="001A5EBC">
        <w:t xml:space="preserve">he Energy Efficiency Infrastructure Group (EEIG, 2019) has estimated that public </w:t>
      </w:r>
      <w:r w:rsidRPr="001A5EBC">
        <w:t>investment</w:t>
      </w:r>
      <w:r w:rsidR="00305E0B" w:rsidRPr="001A5EBC">
        <w:t xml:space="preserve"> </w:t>
      </w:r>
      <w:r w:rsidR="0009255E">
        <w:t xml:space="preserve">will </w:t>
      </w:r>
      <w:r w:rsidR="00305E0B" w:rsidRPr="001A5EBC">
        <w:t xml:space="preserve">play a </w:t>
      </w:r>
      <w:r w:rsidR="004E02DD" w:rsidRPr="001A5EBC">
        <w:t>crucial</w:t>
      </w:r>
      <w:r w:rsidR="00305E0B" w:rsidRPr="001A5EBC">
        <w:t xml:space="preserve"> role in ensuring that individuals with the least ability to pay can afford the transition to greener and warmer buildings</w:t>
      </w:r>
      <w:r w:rsidR="004E02DD" w:rsidRPr="001A5EBC">
        <w:t>, whil</w:t>
      </w:r>
      <w:r w:rsidR="0009255E">
        <w:t xml:space="preserve">e </w:t>
      </w:r>
      <w:r w:rsidR="004E02DD" w:rsidRPr="001A5EBC">
        <w:t xml:space="preserve">also leveraging substantial private </w:t>
      </w:r>
      <w:r w:rsidR="00EC01E4" w:rsidRPr="001A5EBC">
        <w:t>funds</w:t>
      </w:r>
      <w:r w:rsidR="00305E0B" w:rsidRPr="001A5EBC">
        <w:t xml:space="preserve">. </w:t>
      </w:r>
      <w:r w:rsidR="007F4E79" w:rsidRPr="001A5EBC">
        <w:t>They claim that i</w:t>
      </w:r>
      <w:r w:rsidR="004353FF" w:rsidRPr="001A5EBC">
        <w:t xml:space="preserve">n order to achieve </w:t>
      </w:r>
      <w:r w:rsidR="00FB3932" w:rsidRPr="001A5EBC">
        <w:t>net zero</w:t>
      </w:r>
      <w:r w:rsidR="004353FF" w:rsidRPr="001A5EBC">
        <w:t xml:space="preserve"> goals, </w:t>
      </w:r>
      <w:r w:rsidR="00305E0B" w:rsidRPr="001A5EBC">
        <w:t>additional public capital investment</w:t>
      </w:r>
      <w:r w:rsidR="00051218" w:rsidRPr="001A5EBC">
        <w:t>s</w:t>
      </w:r>
      <w:r w:rsidR="00305E0B" w:rsidRPr="001A5EBC">
        <w:t xml:space="preserve"> of £1.7</w:t>
      </w:r>
      <w:r w:rsidR="00B977A5" w:rsidRPr="001A5EBC">
        <w:t>bn</w:t>
      </w:r>
      <w:r w:rsidR="00305E0B" w:rsidRPr="001A5EBC">
        <w:t xml:space="preserve"> should be allocated to fully support low-income households in the net-zero challenge within the </w:t>
      </w:r>
      <w:r w:rsidR="00AD6C00" w:rsidRPr="001A5EBC">
        <w:t>built environment sector</w:t>
      </w:r>
      <w:r w:rsidR="00305E0B" w:rsidRPr="001A5EBC">
        <w:t>. Furthermore, an additional £3.5</w:t>
      </w:r>
      <w:r w:rsidR="00B977A5" w:rsidRPr="001A5EBC">
        <w:t>bn</w:t>
      </w:r>
      <w:r w:rsidR="00305E0B" w:rsidRPr="001A5EBC">
        <w:t xml:space="preserve"> </w:t>
      </w:r>
      <w:r w:rsidR="00482202" w:rsidRPr="001A5EBC">
        <w:t xml:space="preserve">is </w:t>
      </w:r>
      <w:r w:rsidR="00305E0B" w:rsidRPr="001A5EBC">
        <w:t xml:space="preserve">expected to be raised from private investments, particularly from private landlords and those </w:t>
      </w:r>
      <w:r w:rsidR="00051218" w:rsidRPr="001A5EBC">
        <w:t>able to pay</w:t>
      </w:r>
      <w:r w:rsidR="00305E0B" w:rsidRPr="001A5EBC">
        <w:t xml:space="preserve">. This results in a 1:2 ratio for public to private investments. In other words, it </w:t>
      </w:r>
      <w:r w:rsidR="005A1B08" w:rsidRPr="001A5EBC">
        <w:t>can be expected</w:t>
      </w:r>
      <w:r w:rsidR="00305E0B" w:rsidRPr="001A5EBC">
        <w:t xml:space="preserve"> that 33% of the investment will be covered by the UK government, while 67% will be contributed by households and businesses</w:t>
      </w:r>
      <w:r w:rsidR="0009255E">
        <w:t xml:space="preserve">, </w:t>
      </w:r>
      <w:r w:rsidR="0009255E" w:rsidRPr="00677F00">
        <w:t>this is illustrated in Figure 2.</w:t>
      </w:r>
    </w:p>
    <w:p w14:paraId="0BAE135F" w14:textId="5C9EB51B" w:rsidR="003B78A5" w:rsidRPr="001A5EBC" w:rsidRDefault="0009255E" w:rsidP="0009255E">
      <w:pPr>
        <w:pStyle w:val="Caption"/>
        <w:jc w:val="center"/>
      </w:pPr>
      <w:bookmarkStart w:id="3" w:name="_Ref168665545"/>
      <w:r w:rsidRPr="0009255E">
        <w:rPr>
          <w:b/>
          <w:bCs/>
          <w:noProof/>
        </w:rPr>
        <w:lastRenderedPageBreak/>
        <w:drawing>
          <wp:anchor distT="0" distB="0" distL="114300" distR="114300" simplePos="0" relativeHeight="251657227" behindDoc="0" locked="0" layoutInCell="1" allowOverlap="1" wp14:anchorId="6F7A1C46" wp14:editId="51D78627">
            <wp:simplePos x="0" y="0"/>
            <wp:positionH relativeFrom="margin">
              <wp:posOffset>-158115</wp:posOffset>
            </wp:positionH>
            <wp:positionV relativeFrom="paragraph">
              <wp:posOffset>259080</wp:posOffset>
            </wp:positionV>
            <wp:extent cx="3964940" cy="2844800"/>
            <wp:effectExtent l="0" t="0" r="0" b="0"/>
            <wp:wrapSquare wrapText="bothSides"/>
            <wp:docPr id="158206018" name="Picture 29" descr="A pie chart with numbers and a pi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06018" name="Picture 29" descr="A pie chart with numbers and a pie chart&#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64940" cy="2844800"/>
                    </a:xfrm>
                    <a:prstGeom prst="rect">
                      <a:avLst/>
                    </a:prstGeom>
                  </pic:spPr>
                </pic:pic>
              </a:graphicData>
            </a:graphic>
          </wp:anchor>
        </w:drawing>
      </w:r>
      <w:r w:rsidR="003B78A5" w:rsidRPr="0009255E">
        <w:rPr>
          <w:b/>
          <w:bCs/>
          <w:noProof/>
        </w:rPr>
        <w:drawing>
          <wp:anchor distT="0" distB="0" distL="114300" distR="114300" simplePos="0" relativeHeight="251657226" behindDoc="0" locked="0" layoutInCell="1" allowOverlap="1" wp14:anchorId="5323374F" wp14:editId="6BA527B5">
            <wp:simplePos x="0" y="0"/>
            <wp:positionH relativeFrom="margin">
              <wp:align>right</wp:align>
            </wp:positionH>
            <wp:positionV relativeFrom="paragraph">
              <wp:posOffset>398030</wp:posOffset>
            </wp:positionV>
            <wp:extent cx="2734945" cy="2766060"/>
            <wp:effectExtent l="0" t="0" r="8255" b="0"/>
            <wp:wrapTopAndBottom/>
            <wp:docPr id="1086140480" name="Picture 28" descr="A diagram of a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40480" name="Picture 28" descr="A diagram of a bar char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734945" cy="2766060"/>
                    </a:xfrm>
                    <a:prstGeom prst="rect">
                      <a:avLst/>
                    </a:prstGeom>
                  </pic:spPr>
                </pic:pic>
              </a:graphicData>
            </a:graphic>
            <wp14:sizeRelH relativeFrom="margin">
              <wp14:pctWidth>0</wp14:pctWidth>
            </wp14:sizeRelH>
            <wp14:sizeRelV relativeFrom="margin">
              <wp14:pctHeight>0</wp14:pctHeight>
            </wp14:sizeRelV>
          </wp:anchor>
        </w:drawing>
      </w:r>
      <w:r w:rsidR="003B78A5" w:rsidRPr="0009255E">
        <w:rPr>
          <w:b/>
          <w:bCs/>
        </w:rPr>
        <w:t xml:space="preserve">Figure </w:t>
      </w:r>
      <w:bookmarkEnd w:id="3"/>
      <w:r w:rsidR="00D50820" w:rsidRPr="0009255E">
        <w:rPr>
          <w:b/>
          <w:bCs/>
        </w:rPr>
        <w:t>2:</w:t>
      </w:r>
      <w:r w:rsidR="003B78A5" w:rsidRPr="001A5EBC">
        <w:t xml:space="preserve"> Evidence </w:t>
      </w:r>
      <w:r w:rsidR="00D50820">
        <w:t>R</w:t>
      </w:r>
      <w:r w:rsidR="003B78A5" w:rsidRPr="001A5EBC">
        <w:t xml:space="preserve">eviewed on </w:t>
      </w:r>
      <w:r w:rsidR="00D50820">
        <w:t>P</w:t>
      </w:r>
      <w:r w:rsidR="003B78A5" w:rsidRPr="001A5EBC">
        <w:t xml:space="preserve">ublic and </w:t>
      </w:r>
      <w:r w:rsidR="00D50820">
        <w:t>P</w:t>
      </w:r>
      <w:r w:rsidR="003B78A5" w:rsidRPr="001A5EBC">
        <w:t xml:space="preserve">rivate </w:t>
      </w:r>
      <w:r w:rsidR="00D50820">
        <w:t>F</w:t>
      </w:r>
      <w:r w:rsidR="003B78A5" w:rsidRPr="001A5EBC">
        <w:t xml:space="preserve">inances </w:t>
      </w:r>
      <w:r w:rsidR="00014DFF" w:rsidRPr="001A5EBC">
        <w:t>in the UK</w:t>
      </w:r>
      <w:r w:rsidR="003B78A5" w:rsidRPr="001A5EBC">
        <w:t xml:space="preserve"> (left) and </w:t>
      </w:r>
      <w:r w:rsidR="00014DFF" w:rsidRPr="001A5EBC">
        <w:t>in Eurasia</w:t>
      </w:r>
      <w:r w:rsidR="003B78A5" w:rsidRPr="001A5EBC">
        <w:t xml:space="preserve"> (right)</w:t>
      </w:r>
    </w:p>
    <w:p w14:paraId="60183A31" w14:textId="553CB841" w:rsidR="003C6D32" w:rsidRPr="001A5EBC" w:rsidRDefault="00014DFF" w:rsidP="00710CCA">
      <w:pPr>
        <w:pStyle w:val="Source"/>
        <w:ind w:left="2880" w:firstLine="720"/>
      </w:pPr>
      <w:r w:rsidRPr="001A5EBC">
        <w:t>Sources: Left: EEIG (2019); Right: UNFCC (2022)</w:t>
      </w:r>
    </w:p>
    <w:p w14:paraId="17B2D01A" w14:textId="5F1025F0" w:rsidR="009A6D75" w:rsidRPr="00677F00" w:rsidRDefault="00E57136" w:rsidP="00305E0B">
      <w:pPr>
        <w:pStyle w:val="BodyText"/>
      </w:pPr>
      <w:r>
        <w:t xml:space="preserve">There are limited studies specifically on commercial buildings, but it would be expected that the public sector covers the cost of decarbonising public buildings. </w:t>
      </w:r>
      <w:r w:rsidR="00AD6C00" w:rsidRPr="001A5EBC">
        <w:t>When considering both residential and commercial buildings, a</w:t>
      </w:r>
      <w:r w:rsidR="001622DC" w:rsidRPr="001A5EBC">
        <w:t xml:space="preserve">s </w:t>
      </w:r>
      <w:r w:rsidR="001622DC" w:rsidRPr="00677F00">
        <w:t>illustrate</w:t>
      </w:r>
      <w:r w:rsidR="009F4319" w:rsidRPr="00677F00">
        <w:t>d</w:t>
      </w:r>
      <w:r w:rsidR="001622DC" w:rsidRPr="00677F00">
        <w:t xml:space="preserve"> i</w:t>
      </w:r>
      <w:r w:rsidR="00417E1E" w:rsidRPr="00677F00">
        <w:t>n Figure 2.</w:t>
      </w:r>
      <w:r w:rsidR="00F665C2" w:rsidRPr="00677F00">
        <w:t>,</w:t>
      </w:r>
      <w:r w:rsidR="00601B74" w:rsidRPr="00677F00">
        <w:t xml:space="preserve"> currently</w:t>
      </w:r>
      <w:r w:rsidR="0026507B" w:rsidRPr="00677F00">
        <w:t xml:space="preserve"> in Eurasia</w:t>
      </w:r>
      <w:r w:rsidR="00D12934" w:rsidRPr="00677F00">
        <w:t xml:space="preserve"> the majority of financing for buildings retrofits comes from households </w:t>
      </w:r>
      <w:r w:rsidR="00601B74" w:rsidRPr="00677F00">
        <w:t>and</w:t>
      </w:r>
      <w:r w:rsidR="00D12934" w:rsidRPr="00677F00">
        <w:t xml:space="preserve"> </w:t>
      </w:r>
      <w:r w:rsidR="00601B74" w:rsidRPr="00677F00">
        <w:t>businesses</w:t>
      </w:r>
      <w:r w:rsidR="00D12934" w:rsidRPr="00677F00">
        <w:t xml:space="preserve">, which either own the buildings or carry out retrofits on behalf of other building owners. In the years leading up to 2050, </w:t>
      </w:r>
      <w:r w:rsidR="00601B74" w:rsidRPr="00677F00">
        <w:t xml:space="preserve">private funds </w:t>
      </w:r>
      <w:r w:rsidR="00D12934" w:rsidRPr="00677F00">
        <w:t xml:space="preserve">are </w:t>
      </w:r>
      <w:r w:rsidR="00601B74" w:rsidRPr="00677F00">
        <w:t>expected</w:t>
      </w:r>
      <w:r w:rsidR="00D12934" w:rsidRPr="00677F00">
        <w:t xml:space="preserve"> to remain the most significant financing </w:t>
      </w:r>
      <w:r w:rsidR="00601B74" w:rsidRPr="00677F00">
        <w:t>sources</w:t>
      </w:r>
      <w:r w:rsidR="00D12934" w:rsidRPr="00677F00">
        <w:t>, and the relative p</w:t>
      </w:r>
      <w:r w:rsidR="00E41312" w:rsidRPr="00677F00">
        <w:t>ublic</w:t>
      </w:r>
      <w:r w:rsidR="001D578A" w:rsidRPr="00677F00">
        <w:t xml:space="preserve"> versus p</w:t>
      </w:r>
      <w:r w:rsidR="00E41312" w:rsidRPr="00677F00">
        <w:t>rivate</w:t>
      </w:r>
      <w:r w:rsidR="00D12934" w:rsidRPr="00677F00">
        <w:t xml:space="preserve"> investment split </w:t>
      </w:r>
      <w:r w:rsidR="00B071CC" w:rsidRPr="00677F00">
        <w:t>is</w:t>
      </w:r>
      <w:r w:rsidR="006C7CAD" w:rsidRPr="00677F00">
        <w:t xml:space="preserve"> expected</w:t>
      </w:r>
      <w:r w:rsidR="00B071CC" w:rsidRPr="00677F00">
        <w:t xml:space="preserve"> </w:t>
      </w:r>
      <w:r w:rsidR="00D12934" w:rsidRPr="00677F00">
        <w:t xml:space="preserve">to remain the same at about </w:t>
      </w:r>
      <w:r w:rsidR="00E41312" w:rsidRPr="00677F00">
        <w:t>2</w:t>
      </w:r>
      <w:r w:rsidR="00D12934" w:rsidRPr="00677F00">
        <w:t xml:space="preserve">0% to </w:t>
      </w:r>
      <w:r w:rsidR="00E41312" w:rsidRPr="00677F00">
        <w:t>8</w:t>
      </w:r>
      <w:r w:rsidR="00D12934" w:rsidRPr="00677F00">
        <w:t>0%</w:t>
      </w:r>
      <w:r w:rsidR="000E2FD7" w:rsidRPr="00677F00">
        <w:t xml:space="preserve"> </w:t>
      </w:r>
      <w:r w:rsidR="0026507B" w:rsidRPr="00677F00">
        <w:t>(UNFCC, 2019).</w:t>
      </w:r>
      <w:r w:rsidR="00D12934" w:rsidRPr="00677F00">
        <w:t xml:space="preserve"> </w:t>
      </w:r>
    </w:p>
    <w:p w14:paraId="3494249A" w14:textId="0783FECB" w:rsidR="00AD6C00" w:rsidRPr="00677F00" w:rsidRDefault="00F20B55" w:rsidP="00720B3A">
      <w:pPr>
        <w:pStyle w:val="BodyText"/>
      </w:pPr>
      <w:r w:rsidRPr="00677F00">
        <w:t xml:space="preserve">Further examples from Europe </w:t>
      </w:r>
      <w:r w:rsidR="00417E1E" w:rsidRPr="00677F00">
        <w:t xml:space="preserve">show </w:t>
      </w:r>
      <w:r w:rsidRPr="00677F00">
        <w:t xml:space="preserve">that </w:t>
      </w:r>
      <w:r w:rsidR="00720B3A" w:rsidRPr="00677F00">
        <w:t>France’s zero interest loan for home energy improvements is costing €40 million in interest rate subsidy over the lifetime of loans issued in 2016 and has supported</w:t>
      </w:r>
      <w:r w:rsidR="00C47ACE" w:rsidRPr="00677F00">
        <w:t xml:space="preserve"> </w:t>
      </w:r>
      <w:r w:rsidR="00720B3A" w:rsidRPr="00677F00">
        <w:t>€400 million of</w:t>
      </w:r>
      <w:r w:rsidR="00C47ACE" w:rsidRPr="00677F00">
        <w:t xml:space="preserve"> additional</w:t>
      </w:r>
      <w:r w:rsidR="00720B3A" w:rsidRPr="00677F00">
        <w:t xml:space="preserve"> private investment</w:t>
      </w:r>
      <w:r w:rsidR="000950BE" w:rsidRPr="00677F00">
        <w:t xml:space="preserve"> – </w:t>
      </w:r>
      <w:r w:rsidR="00720B3A" w:rsidRPr="00677F00">
        <w:t>a ratio of 1 to 10.</w:t>
      </w:r>
      <w:r w:rsidRPr="00677F00">
        <w:t xml:space="preserve"> Similarly in </w:t>
      </w:r>
      <w:r w:rsidR="00720B3A" w:rsidRPr="00677F00">
        <w:t>Germany</w:t>
      </w:r>
      <w:r w:rsidR="00417E1E" w:rsidRPr="00677F00">
        <w:t xml:space="preserve"> in</w:t>
      </w:r>
      <w:r w:rsidR="00720B3A" w:rsidRPr="00677F00">
        <w:t xml:space="preserve"> 2016, the federal cost of interest rate subsidy for renovation loans issued through the KfW bank and associated capital subsidies amounted to €1.7</w:t>
      </w:r>
      <w:r w:rsidR="00B977A5" w:rsidRPr="00677F00">
        <w:t>bn</w:t>
      </w:r>
      <w:r w:rsidR="00720B3A" w:rsidRPr="00677F00">
        <w:t xml:space="preserve"> and drove €10.1</w:t>
      </w:r>
      <w:r w:rsidR="00B977A5" w:rsidRPr="00677F00">
        <w:t xml:space="preserve">bn </w:t>
      </w:r>
      <w:r w:rsidR="00720B3A" w:rsidRPr="00677F00">
        <w:t xml:space="preserve">in energy renovation that year – a ratio of 1 </w:t>
      </w:r>
      <w:r w:rsidR="004D4192" w:rsidRPr="00677F00">
        <w:t>to</w:t>
      </w:r>
      <w:r w:rsidR="00720B3A" w:rsidRPr="00677F00">
        <w:t xml:space="preserve"> 6</w:t>
      </w:r>
      <w:r w:rsidR="000950BE" w:rsidRPr="00677F00">
        <w:t xml:space="preserve"> </w:t>
      </w:r>
      <w:r w:rsidRPr="00677F00">
        <w:t>(EEIG, 2019).</w:t>
      </w:r>
    </w:p>
    <w:p w14:paraId="4F499550" w14:textId="73FA34FD" w:rsidR="001622DC" w:rsidRPr="00677F00" w:rsidRDefault="001622DC" w:rsidP="001622DC">
      <w:pPr>
        <w:pStyle w:val="Heading2"/>
      </w:pPr>
      <w:r w:rsidRPr="00677F00">
        <w:t xml:space="preserve">Key </w:t>
      </w:r>
      <w:r w:rsidR="0046221D" w:rsidRPr="00677F00">
        <w:t>T</w:t>
      </w:r>
      <w:r w:rsidRPr="00677F00">
        <w:t>akeaways</w:t>
      </w:r>
    </w:p>
    <w:p w14:paraId="3E111EA0" w14:textId="581F71E9" w:rsidR="00260B1D" w:rsidRPr="00677F00" w:rsidRDefault="009405E3" w:rsidP="001C0477">
      <w:pPr>
        <w:pStyle w:val="BodyText"/>
      </w:pPr>
      <w:r w:rsidRPr="00677F00">
        <w:t>The evidence reviewed</w:t>
      </w:r>
      <w:r w:rsidR="00D23875" w:rsidRPr="00677F00">
        <w:t xml:space="preserve">, both in the UK and international context, </w:t>
      </w:r>
      <w:r w:rsidR="00216550" w:rsidRPr="00677F00">
        <w:t xml:space="preserve">shows </w:t>
      </w:r>
      <w:r w:rsidR="00C1541E" w:rsidRPr="00677F00">
        <w:t xml:space="preserve">that </w:t>
      </w:r>
      <w:r w:rsidR="009E7B2E" w:rsidRPr="00677F00">
        <w:t>the</w:t>
      </w:r>
      <w:r w:rsidR="00216550" w:rsidRPr="00677F00">
        <w:t xml:space="preserve"> bulk </w:t>
      </w:r>
      <w:r w:rsidR="009E7B2E" w:rsidRPr="00677F00">
        <w:t xml:space="preserve">of the required investments in the </w:t>
      </w:r>
      <w:r w:rsidR="00AD6C00" w:rsidRPr="00677F00">
        <w:t>built environment sector</w:t>
      </w:r>
      <w:r w:rsidR="009E7B2E" w:rsidRPr="00677F00">
        <w:t xml:space="preserve"> will be </w:t>
      </w:r>
      <w:r w:rsidR="00B83ED6" w:rsidRPr="00677F00">
        <w:t xml:space="preserve">carried out </w:t>
      </w:r>
      <w:r w:rsidR="009E7B2E" w:rsidRPr="00677F00">
        <w:t>by</w:t>
      </w:r>
      <w:r w:rsidR="00B83ED6" w:rsidRPr="00677F00">
        <w:t xml:space="preserve"> the</w:t>
      </w:r>
      <w:r w:rsidR="009E7B2E" w:rsidRPr="00677F00">
        <w:t xml:space="preserve"> private sector.</w:t>
      </w:r>
      <w:r w:rsidR="005C5946" w:rsidRPr="00677F00">
        <w:t xml:space="preserve"> </w:t>
      </w:r>
      <w:r w:rsidR="008A1BEB" w:rsidRPr="00677F00">
        <w:t xml:space="preserve">Specifically, it can be expected that </w:t>
      </w:r>
      <w:bookmarkStart w:id="4" w:name="_Hlk168667057"/>
      <w:r w:rsidR="005E4283" w:rsidRPr="00677F00">
        <w:t xml:space="preserve">33% of </w:t>
      </w:r>
      <w:r w:rsidR="001C0477" w:rsidRPr="00677F00">
        <w:t>residential</w:t>
      </w:r>
      <w:r w:rsidR="005E4283" w:rsidRPr="00677F00">
        <w:t xml:space="preserve"> investment will be covered by the UK government, whil</w:t>
      </w:r>
      <w:r w:rsidR="00216550" w:rsidRPr="00677F00">
        <w:t>e</w:t>
      </w:r>
      <w:r w:rsidR="005E4283" w:rsidRPr="00677F00">
        <w:t xml:space="preserve"> </w:t>
      </w:r>
      <w:r w:rsidR="008A1BEB" w:rsidRPr="00677F00">
        <w:t xml:space="preserve">households and businesses contribute </w:t>
      </w:r>
      <w:r w:rsidR="00216550" w:rsidRPr="00677F00">
        <w:t xml:space="preserve">the remaining </w:t>
      </w:r>
      <w:r w:rsidR="008A1BEB" w:rsidRPr="00677F00">
        <w:t>67%</w:t>
      </w:r>
      <w:bookmarkEnd w:id="4"/>
      <w:r w:rsidR="00216550" w:rsidRPr="00677F00">
        <w:t>. For commercial buildings,</w:t>
      </w:r>
      <w:r w:rsidR="001C0477" w:rsidRPr="00677F00">
        <w:t xml:space="preserve"> we estimate that the public sector will only cover 20%, with building owners expected to cover the remaining 80%</w:t>
      </w:r>
      <w:r w:rsidR="0002149C" w:rsidRPr="00677F00">
        <w:t xml:space="preserve">. </w:t>
      </w:r>
    </w:p>
    <w:p w14:paraId="6E07305E" w14:textId="2F5DE4D5" w:rsidR="0056740E" w:rsidRPr="001A5EBC" w:rsidRDefault="0056740E" w:rsidP="004E09AB">
      <w:pPr>
        <w:pStyle w:val="BodyText"/>
        <w:rPr>
          <w:b/>
          <w:bCs/>
        </w:rPr>
      </w:pPr>
      <w:r w:rsidRPr="00677F00">
        <w:rPr>
          <w:b/>
          <w:bCs/>
        </w:rPr>
        <w:t>£</w:t>
      </w:r>
      <w:r w:rsidR="00516FB9" w:rsidRPr="00677F00">
        <w:rPr>
          <w:b/>
          <w:bCs/>
        </w:rPr>
        <w:t>3</w:t>
      </w:r>
      <w:r w:rsidRPr="00677F00">
        <w:rPr>
          <w:b/>
          <w:bCs/>
        </w:rPr>
        <w:t xml:space="preserve">bn pa in </w:t>
      </w:r>
      <w:r w:rsidR="004950FC" w:rsidRPr="00677F00">
        <w:rPr>
          <w:b/>
          <w:bCs/>
        </w:rPr>
        <w:t xml:space="preserve">investment in the </w:t>
      </w:r>
      <w:r w:rsidR="000E4C86" w:rsidRPr="00677F00">
        <w:rPr>
          <w:b/>
          <w:bCs/>
        </w:rPr>
        <w:t>buil</w:t>
      </w:r>
      <w:r w:rsidR="00BB152C" w:rsidRPr="00677F00">
        <w:rPr>
          <w:b/>
          <w:bCs/>
        </w:rPr>
        <w:t>t</w:t>
      </w:r>
      <w:r w:rsidR="000E4C86" w:rsidRPr="00677F00">
        <w:rPr>
          <w:b/>
          <w:bCs/>
        </w:rPr>
        <w:t xml:space="preserve"> environment </w:t>
      </w:r>
      <w:r w:rsidR="004950FC" w:rsidRPr="00677F00">
        <w:rPr>
          <w:b/>
          <w:bCs/>
        </w:rPr>
        <w:t>sector is allocated to</w:t>
      </w:r>
      <w:r w:rsidRPr="00677F00">
        <w:rPr>
          <w:b/>
          <w:bCs/>
        </w:rPr>
        <w:t xml:space="preserve"> the North</w:t>
      </w:r>
      <w:r w:rsidR="00CE396A" w:rsidRPr="00677F00">
        <w:rPr>
          <w:b/>
          <w:bCs/>
        </w:rPr>
        <w:t xml:space="preserve"> of England</w:t>
      </w:r>
      <w:r w:rsidR="004950FC" w:rsidRPr="00677F00">
        <w:rPr>
          <w:b/>
          <w:bCs/>
        </w:rPr>
        <w:t>. Of th</w:t>
      </w:r>
      <w:r w:rsidR="00225601" w:rsidRPr="00677F00">
        <w:rPr>
          <w:b/>
          <w:bCs/>
        </w:rPr>
        <w:t>is</w:t>
      </w:r>
      <w:r w:rsidR="004950FC" w:rsidRPr="00677F00">
        <w:rPr>
          <w:b/>
          <w:bCs/>
        </w:rPr>
        <w:t>,</w:t>
      </w:r>
      <w:r w:rsidR="00225601" w:rsidRPr="00677F00">
        <w:rPr>
          <w:b/>
          <w:bCs/>
        </w:rPr>
        <w:t xml:space="preserve"> we expect</w:t>
      </w:r>
      <w:r w:rsidR="004950FC" w:rsidRPr="00677F00">
        <w:rPr>
          <w:b/>
          <w:bCs/>
        </w:rPr>
        <w:t xml:space="preserve"> </w:t>
      </w:r>
      <w:r w:rsidRPr="00677F00">
        <w:rPr>
          <w:b/>
          <w:bCs/>
        </w:rPr>
        <w:t>£</w:t>
      </w:r>
      <w:r w:rsidR="001C0477" w:rsidRPr="00677F00">
        <w:rPr>
          <w:b/>
          <w:bCs/>
        </w:rPr>
        <w:t>0.8</w:t>
      </w:r>
      <w:r w:rsidRPr="00677F00">
        <w:rPr>
          <w:b/>
          <w:bCs/>
        </w:rPr>
        <w:t>bn</w:t>
      </w:r>
      <w:r w:rsidR="005E4E44" w:rsidRPr="00677F00">
        <w:rPr>
          <w:b/>
          <w:bCs/>
        </w:rPr>
        <w:t xml:space="preserve"> to be covered by</w:t>
      </w:r>
      <w:r w:rsidRPr="00677F00">
        <w:rPr>
          <w:b/>
          <w:bCs/>
        </w:rPr>
        <w:t xml:space="preserve"> public investments (primarily in</w:t>
      </w:r>
      <w:r w:rsidR="00225601" w:rsidRPr="00677F00">
        <w:rPr>
          <w:b/>
          <w:bCs/>
        </w:rPr>
        <w:t xml:space="preserve"> decarbonising public buildings and</w:t>
      </w:r>
      <w:r w:rsidRPr="00677F00">
        <w:rPr>
          <w:b/>
          <w:bCs/>
        </w:rPr>
        <w:t xml:space="preserve"> </w:t>
      </w:r>
      <w:r w:rsidR="002304A3" w:rsidRPr="00677F00">
        <w:rPr>
          <w:b/>
          <w:bCs/>
        </w:rPr>
        <w:t>s</w:t>
      </w:r>
      <w:r w:rsidR="00557735" w:rsidRPr="00677F00">
        <w:rPr>
          <w:b/>
          <w:bCs/>
        </w:rPr>
        <w:t>upporting low-income households in the transition to green buildings)</w:t>
      </w:r>
      <w:r w:rsidR="005E4283" w:rsidRPr="00677F00">
        <w:rPr>
          <w:b/>
          <w:bCs/>
        </w:rPr>
        <w:t xml:space="preserve"> and</w:t>
      </w:r>
      <w:r w:rsidR="005E4283" w:rsidRPr="001A5EBC">
        <w:rPr>
          <w:b/>
          <w:bCs/>
        </w:rPr>
        <w:t xml:space="preserve"> the remaining 2bn is expected from private investment.</w:t>
      </w:r>
    </w:p>
    <w:p w14:paraId="69D84819" w14:textId="24AD25FC" w:rsidR="00155C68" w:rsidRPr="001A5EBC" w:rsidRDefault="00155C68" w:rsidP="001E1429">
      <w:pPr>
        <w:pStyle w:val="Heading1"/>
        <w:numPr>
          <w:ilvl w:val="0"/>
          <w:numId w:val="47"/>
        </w:numPr>
      </w:pPr>
      <w:bookmarkStart w:id="5" w:name="_Toc169011864"/>
      <w:bookmarkStart w:id="6" w:name="_Ref146272128"/>
      <w:r w:rsidRPr="001A5EBC">
        <w:lastRenderedPageBreak/>
        <w:t>Transport</w:t>
      </w:r>
      <w:bookmarkEnd w:id="5"/>
    </w:p>
    <w:p w14:paraId="750F533E" w14:textId="17B73FE0" w:rsidR="00155C68" w:rsidRPr="001A5EBC" w:rsidRDefault="00155C68" w:rsidP="00155C68">
      <w:pPr>
        <w:pStyle w:val="Heading2"/>
      </w:pPr>
      <w:r w:rsidRPr="001A5EBC">
        <w:t xml:space="preserve">Evidence </w:t>
      </w:r>
      <w:r w:rsidR="0046221D">
        <w:t>R</w:t>
      </w:r>
      <w:r w:rsidRPr="001A5EBC">
        <w:t>eviewed</w:t>
      </w:r>
    </w:p>
    <w:p w14:paraId="5A917CA1" w14:textId="22D6F311" w:rsidR="00971108" w:rsidRPr="00677F00" w:rsidRDefault="00AD6C00" w:rsidP="00CB2DBE">
      <w:pPr>
        <w:pStyle w:val="BodyText"/>
      </w:pPr>
      <w:r w:rsidRPr="001A5EBC">
        <w:t>Domestic road</w:t>
      </w:r>
      <w:r w:rsidR="00CB2DBE" w:rsidRPr="001A5EBC">
        <w:t xml:space="preserve"> transport </w:t>
      </w:r>
      <w:r w:rsidR="00BB152C" w:rsidRPr="001A5EBC">
        <w:t xml:space="preserve">is accountable for </w:t>
      </w:r>
      <w:r w:rsidR="00CB2DBE" w:rsidRPr="001A5EBC">
        <w:t xml:space="preserve">the largest share of UK greenhouse gas emissions of any sector across the economy, according to the </w:t>
      </w:r>
      <w:r w:rsidR="00FB3932" w:rsidRPr="001A5EBC">
        <w:t>Net Zero</w:t>
      </w:r>
      <w:r w:rsidR="00CB2DBE" w:rsidRPr="001A5EBC">
        <w:t xml:space="preserve"> </w:t>
      </w:r>
      <w:r w:rsidR="00CB2DBE" w:rsidRPr="00677F00">
        <w:t>Strategy</w:t>
      </w:r>
      <w:r w:rsidR="00A820AA" w:rsidRPr="00677F00">
        <w:t xml:space="preserve"> (DESNZ, 2022)</w:t>
      </w:r>
      <w:r w:rsidR="003F7DC4" w:rsidRPr="00677F00">
        <w:t>.</w:t>
      </w:r>
      <w:r w:rsidR="00CB2DBE" w:rsidRPr="00677F00">
        <w:t xml:space="preserve"> The majority of these emissions </w:t>
      </w:r>
      <w:r w:rsidR="00D00253" w:rsidRPr="00677F00">
        <w:t xml:space="preserve">(55%) </w:t>
      </w:r>
      <w:r w:rsidR="00CB2DBE" w:rsidRPr="00677F00">
        <w:t>are associated with passenger cars, contributing 68 MtCO2</w:t>
      </w:r>
      <w:r w:rsidR="00FD1EC2" w:rsidRPr="00677F00">
        <w:t xml:space="preserve">, </w:t>
      </w:r>
      <w:r w:rsidR="00CB2DBE" w:rsidRPr="00677F00">
        <w:t>followed by heavy goods vehicles and light goods vehicles contributing 19 MtCO2e (16%) and 19 MtCO2e (16%)</w:t>
      </w:r>
      <w:r w:rsidR="0046221D" w:rsidRPr="00677F00">
        <w:t xml:space="preserve">, </w:t>
      </w:r>
      <w:r w:rsidR="00CB2DBE" w:rsidRPr="00677F00">
        <w:t>respectively. The remaining emissions in domestic shipping, rail, and domestic aviation contribute a combined further 16 MtCO2e (13%)</w:t>
      </w:r>
      <w:r w:rsidR="003F7DC4" w:rsidRPr="00677F00">
        <w:t xml:space="preserve"> (DESNZ, 2022).</w:t>
      </w:r>
    </w:p>
    <w:p w14:paraId="501AA63E" w14:textId="51A3F1E9" w:rsidR="00CB2DBE" w:rsidRPr="00677F00" w:rsidRDefault="00C81755" w:rsidP="00FD6118">
      <w:pPr>
        <w:pStyle w:val="BodyText"/>
      </w:pPr>
      <w:r w:rsidRPr="00677F00">
        <w:t>Decarbonising the UK transport sector requires efforts to phase out traditional vehicles and replace them with a more efficient electric fleet. It also involves enhancing the infrastructure for public transport</w:t>
      </w:r>
      <w:r w:rsidR="00AD6C00" w:rsidRPr="00677F00">
        <w:t xml:space="preserve"> (i.e.</w:t>
      </w:r>
      <w:r w:rsidR="00753CC4" w:rsidRPr="00677F00">
        <w:t>,</w:t>
      </w:r>
      <w:r w:rsidR="00AD6C00" w:rsidRPr="00677F00">
        <w:t xml:space="preserve"> </w:t>
      </w:r>
      <w:r w:rsidRPr="00677F00">
        <w:t>bus, rail</w:t>
      </w:r>
      <w:r w:rsidR="00AD6C00" w:rsidRPr="00677F00">
        <w:t>) and active travel</w:t>
      </w:r>
      <w:r w:rsidRPr="00677F00">
        <w:t xml:space="preserve"> facilities, </w:t>
      </w:r>
      <w:r w:rsidR="00AD6C00" w:rsidRPr="00677F00">
        <w:t>as well as</w:t>
      </w:r>
      <w:r w:rsidRPr="00677F00">
        <w:t xml:space="preserve"> supporting a shift from fossil fuel usage towards low-carbon fuels. Bo</w:t>
      </w:r>
      <w:r w:rsidR="00AD6C00" w:rsidRPr="00677F00">
        <w:t>t</w:t>
      </w:r>
      <w:r w:rsidRPr="00677F00">
        <w:t>h public and private finances will need to be mobilised to ensure the transport sector achieves its decarbonisation objectives in a timely</w:t>
      </w:r>
      <w:r w:rsidR="00F137FA" w:rsidRPr="00677F00">
        <w:t xml:space="preserve"> manner</w:t>
      </w:r>
      <w:r w:rsidRPr="00677F00">
        <w:t xml:space="preserve">. However, the </w:t>
      </w:r>
      <w:r w:rsidR="00F137FA" w:rsidRPr="00677F00">
        <w:t>p</w:t>
      </w:r>
      <w:r w:rsidR="008A3EA7" w:rsidRPr="00677F00">
        <w:t xml:space="preserve">ublic </w:t>
      </w:r>
      <w:r w:rsidR="00C14295" w:rsidRPr="00677F00">
        <w:t xml:space="preserve">versus </w:t>
      </w:r>
      <w:r w:rsidR="00F137FA" w:rsidRPr="00677F00">
        <w:t>p</w:t>
      </w:r>
      <w:r w:rsidR="008A3EA7" w:rsidRPr="00677F00">
        <w:t>rivate</w:t>
      </w:r>
      <w:r w:rsidR="00F137FA" w:rsidRPr="00677F00">
        <w:t xml:space="preserve"> investment split </w:t>
      </w:r>
      <w:r w:rsidRPr="00677F00">
        <w:t xml:space="preserve">in this sector is expected to </w:t>
      </w:r>
      <w:r w:rsidR="00CB4A51" w:rsidRPr="00677F00">
        <w:t>vary substantially, depending</w:t>
      </w:r>
      <w:r w:rsidRPr="00677F00">
        <w:t xml:space="preserve"> on whether the investment is targeted at constructing and upgrading the transport infrastructure, or whether it is aimed at decarbonising other components of the sector, such as vehicle fleet and fuel switching</w:t>
      </w:r>
      <w:r w:rsidR="00C14295" w:rsidRPr="00677F00">
        <w:t>:</w:t>
      </w:r>
    </w:p>
    <w:p w14:paraId="1224BBAE" w14:textId="751C00A3" w:rsidR="009371A2" w:rsidRPr="001A5EBC" w:rsidRDefault="00EC2193" w:rsidP="00EC2193">
      <w:pPr>
        <w:pStyle w:val="BodyText"/>
        <w:numPr>
          <w:ilvl w:val="0"/>
          <w:numId w:val="49"/>
        </w:numPr>
      </w:pPr>
      <w:r w:rsidRPr="00677F00">
        <w:t>B</w:t>
      </w:r>
      <w:r w:rsidR="00243C79" w:rsidRPr="00677F00">
        <w:t xml:space="preserve">uilding and </w:t>
      </w:r>
      <w:r w:rsidR="00A02800" w:rsidRPr="00677F00">
        <w:t>upgrading the existing</w:t>
      </w:r>
      <w:r w:rsidR="008E537E" w:rsidRPr="00677F00">
        <w:t xml:space="preserve"> public and active</w:t>
      </w:r>
      <w:r w:rsidR="00A02800" w:rsidRPr="00677F00">
        <w:t xml:space="preserve"> </w:t>
      </w:r>
      <w:r w:rsidR="00A02800" w:rsidRPr="00677F00">
        <w:rPr>
          <w:b/>
          <w:bCs/>
        </w:rPr>
        <w:t>transport infrastructure</w:t>
      </w:r>
      <w:r w:rsidR="0046221D" w:rsidRPr="00677F00">
        <w:t xml:space="preserve">, </w:t>
      </w:r>
      <w:r w:rsidR="00243C79" w:rsidRPr="00677F00">
        <w:t>r</w:t>
      </w:r>
      <w:r w:rsidR="0082465D" w:rsidRPr="00677F00">
        <w:t>anging from bus</w:t>
      </w:r>
      <w:r w:rsidR="003076B9" w:rsidRPr="00677F00">
        <w:t>,</w:t>
      </w:r>
      <w:r w:rsidR="0046221D" w:rsidRPr="00677F00">
        <w:t xml:space="preserve"> </w:t>
      </w:r>
      <w:r w:rsidR="0082465D" w:rsidRPr="00677F00">
        <w:t>rail, walking, and cycling facilitie</w:t>
      </w:r>
      <w:r w:rsidR="0046221D" w:rsidRPr="00677F00">
        <w:t xml:space="preserve">s, </w:t>
      </w:r>
      <w:r w:rsidR="00EB2AC4" w:rsidRPr="00677F00">
        <w:t>is crucial to en</w:t>
      </w:r>
      <w:r w:rsidR="000502EE" w:rsidRPr="00677F00">
        <w:t xml:space="preserve">sure </w:t>
      </w:r>
      <w:r w:rsidR="00243C79" w:rsidRPr="00677F00">
        <w:t>technolo</w:t>
      </w:r>
      <w:r w:rsidR="00A82E2A" w:rsidRPr="00677F00">
        <w:t>gical development progresses</w:t>
      </w:r>
      <w:r w:rsidR="00125D5A" w:rsidRPr="00677F00">
        <w:t xml:space="preserve"> at pace in these subsectors. </w:t>
      </w:r>
      <w:r w:rsidR="002000DE" w:rsidRPr="00677F00">
        <w:t>Our reviews show that investments in</w:t>
      </w:r>
      <w:r w:rsidR="00FB70FA" w:rsidRPr="00677F00">
        <w:t xml:space="preserve"> public and active</w:t>
      </w:r>
      <w:r w:rsidR="002000DE" w:rsidRPr="00677F00">
        <w:t xml:space="preserve"> </w:t>
      </w:r>
      <w:r w:rsidR="002D132A" w:rsidRPr="00677F00">
        <w:t>transport</w:t>
      </w:r>
      <w:r w:rsidR="002000DE" w:rsidRPr="00677F00">
        <w:t xml:space="preserve"> infrastructure are expected to </w:t>
      </w:r>
      <w:r w:rsidR="00CA0CDB" w:rsidRPr="00677F00">
        <w:t xml:space="preserve">be </w:t>
      </w:r>
      <w:r w:rsidR="00D64E5A" w:rsidRPr="00677F00">
        <w:t xml:space="preserve">raised </w:t>
      </w:r>
      <w:r w:rsidR="00605AEC" w:rsidRPr="00677F00">
        <w:t xml:space="preserve">almost </w:t>
      </w:r>
      <w:r w:rsidR="00D64E5A" w:rsidRPr="00677F00">
        <w:t>entirely from the public sector.</w:t>
      </w:r>
      <w:r w:rsidR="0023797E" w:rsidRPr="00677F00">
        <w:t xml:space="preserve"> As illustrated i</w:t>
      </w:r>
      <w:r w:rsidR="0046221D" w:rsidRPr="00677F00">
        <w:t>n Figure 3.</w:t>
      </w:r>
      <w:r w:rsidR="00C055B4" w:rsidRPr="00677F00">
        <w:t>, around 7</w:t>
      </w:r>
      <w:r w:rsidR="00BE0E5A" w:rsidRPr="00677F00">
        <w:t>7</w:t>
      </w:r>
      <w:r w:rsidR="00C055B4" w:rsidRPr="00677F00">
        <w:t xml:space="preserve">% of the required transport infrastructure investment will be </w:t>
      </w:r>
      <w:r w:rsidR="001949EB" w:rsidRPr="00677F00">
        <w:t>covered by public finances</w:t>
      </w:r>
      <w:r w:rsidR="0023797E" w:rsidRPr="00677F00">
        <w:t xml:space="preserve"> from 2022 onwards</w:t>
      </w:r>
      <w:r w:rsidR="001949EB" w:rsidRPr="00677F00">
        <w:t>, with the remaining 2</w:t>
      </w:r>
      <w:r w:rsidR="000B0A00" w:rsidRPr="00677F00">
        <w:t>3</w:t>
      </w:r>
      <w:r w:rsidR="001949EB" w:rsidRPr="00677F00">
        <w:t>%</w:t>
      </w:r>
      <w:r w:rsidR="005C0670" w:rsidRPr="00677F00">
        <w:t xml:space="preserve"> </w:t>
      </w:r>
      <w:r w:rsidR="00E75F53" w:rsidRPr="00677F00">
        <w:t>raised through public-private partnerships (House of Commons, 2023</w:t>
      </w:r>
      <w:r w:rsidR="0007168F" w:rsidRPr="00677F00">
        <w:t xml:space="preserve"> &amp; </w:t>
      </w:r>
      <w:r w:rsidR="0007168F" w:rsidRPr="00677F00">
        <w:rPr>
          <w:rStyle w:val="Hyperlink"/>
          <w:color w:val="auto"/>
          <w:u w:val="none"/>
        </w:rPr>
        <w:t>Infrastructure and Projects Authority, 2021</w:t>
      </w:r>
      <w:r w:rsidR="00E75F53" w:rsidRPr="00677F00">
        <w:t>)</w:t>
      </w:r>
      <w:r w:rsidR="006B4EF2" w:rsidRPr="00677F00">
        <w:t>.</w:t>
      </w:r>
      <w:r w:rsidR="005538E1" w:rsidRPr="00677F00">
        <w:t xml:space="preserve"> </w:t>
      </w:r>
      <w:r w:rsidR="0046221D" w:rsidRPr="00677F00">
        <w:t>Similarly, a</w:t>
      </w:r>
      <w:r w:rsidR="00A50E45" w:rsidRPr="00677F00">
        <w:t xml:space="preserve"> </w:t>
      </w:r>
      <w:r w:rsidR="00935E69" w:rsidRPr="00677F00">
        <w:t>previous study shows that from 2016 onwards public funds accounted for 90% of total infrastructure investments (Figure</w:t>
      </w:r>
      <w:r w:rsidR="0046221D" w:rsidRPr="00677F00">
        <w:t xml:space="preserve"> 3.</w:t>
      </w:r>
      <w:r w:rsidR="00935E69" w:rsidRPr="00677F00">
        <w:t>)</w:t>
      </w:r>
      <w:r w:rsidR="000D31E5" w:rsidRPr="00677F00">
        <w:t xml:space="preserve">. </w:t>
      </w:r>
      <w:r w:rsidR="0046221D" w:rsidRPr="00677F00">
        <w:t>A</w:t>
      </w:r>
      <w:r w:rsidR="00A67C10" w:rsidRPr="00677F00">
        <w:t>t a global level, the World Bank reports that</w:t>
      </w:r>
      <w:r w:rsidR="00AC6842" w:rsidRPr="00677F00">
        <w:t xml:space="preserve"> 88% of transport infrastructure projects are</w:t>
      </w:r>
      <w:r w:rsidR="00542D18" w:rsidRPr="00677F00">
        <w:t xml:space="preserve"> typically covered by public finances</w:t>
      </w:r>
      <w:r w:rsidR="0013532A" w:rsidRPr="00677F00">
        <w:t xml:space="preserve">, including </w:t>
      </w:r>
      <w:r w:rsidR="00EC4254" w:rsidRPr="00677F00">
        <w:t>central governments an</w:t>
      </w:r>
      <w:r w:rsidR="00C6192A" w:rsidRPr="00677F00">
        <w:t xml:space="preserve">d state-owned </w:t>
      </w:r>
      <w:r w:rsidR="00E9305B" w:rsidRPr="00677F00">
        <w:t>enterprises</w:t>
      </w:r>
      <w:r w:rsidR="00BC30A9" w:rsidRPr="001A5EBC">
        <w:t>, with most of the</w:t>
      </w:r>
      <w:r w:rsidR="00EA3FB2" w:rsidRPr="001A5EBC">
        <w:t xml:space="preserve"> investments directed to railway and road </w:t>
      </w:r>
      <w:r w:rsidR="00DA6E90" w:rsidRPr="001A5EBC">
        <w:t>infrastructure</w:t>
      </w:r>
      <w:r w:rsidR="00F23A85" w:rsidRPr="001A5EBC">
        <w:t xml:space="preserve"> (</w:t>
      </w:r>
      <w:r w:rsidR="00052C65" w:rsidRPr="001A5EBC">
        <w:t>World Bank, 2017</w:t>
      </w:r>
      <w:r w:rsidR="00F23A85" w:rsidRPr="001A5EBC">
        <w:t>)</w:t>
      </w:r>
      <w:r w:rsidR="00EA3FB2" w:rsidRPr="001A5EBC">
        <w:t xml:space="preserve">. </w:t>
      </w:r>
    </w:p>
    <w:p w14:paraId="0CF62EF8" w14:textId="6E2B0338" w:rsidR="005E0E4B" w:rsidRDefault="00AD6C00" w:rsidP="005E0E4B">
      <w:pPr>
        <w:pStyle w:val="BodyText"/>
        <w:numPr>
          <w:ilvl w:val="0"/>
          <w:numId w:val="49"/>
        </w:numPr>
      </w:pPr>
      <w:r w:rsidRPr="001A5EBC">
        <w:rPr>
          <w:b/>
          <w:bCs/>
        </w:rPr>
        <w:t xml:space="preserve">Non-infrastructure </w:t>
      </w:r>
      <w:r w:rsidR="00155147" w:rsidRPr="001A5EBC">
        <w:rPr>
          <w:b/>
          <w:bCs/>
        </w:rPr>
        <w:t>investment</w:t>
      </w:r>
      <w:r w:rsidR="00155147" w:rsidRPr="001A5EBC">
        <w:t xml:space="preserve"> </w:t>
      </w:r>
      <w:r w:rsidRPr="001A5EBC">
        <w:t>refer</w:t>
      </w:r>
      <w:r w:rsidR="0046221D">
        <w:t xml:space="preserve">s </w:t>
      </w:r>
      <w:r w:rsidRPr="001A5EBC">
        <w:t xml:space="preserve">to </w:t>
      </w:r>
      <w:r w:rsidR="0046221D">
        <w:t xml:space="preserve">the </w:t>
      </w:r>
      <w:r w:rsidRPr="001A5EBC">
        <w:t xml:space="preserve">deployment of </w:t>
      </w:r>
      <w:r w:rsidR="0046221D">
        <w:t xml:space="preserve">an </w:t>
      </w:r>
      <w:r w:rsidRPr="001A5EBC">
        <w:t xml:space="preserve">electric </w:t>
      </w:r>
      <w:r w:rsidR="00155147" w:rsidRPr="001A5EBC">
        <w:t>vehicle</w:t>
      </w:r>
      <w:r w:rsidRPr="001A5EBC">
        <w:t xml:space="preserve"> (EV)</w:t>
      </w:r>
      <w:r w:rsidR="00155147" w:rsidRPr="001A5EBC">
        <w:t xml:space="preserve"> fleet and</w:t>
      </w:r>
      <w:r w:rsidRPr="001A5EBC">
        <w:t xml:space="preserve"> the related EV chargers,</w:t>
      </w:r>
      <w:r w:rsidR="00155147" w:rsidRPr="001A5EBC">
        <w:t xml:space="preserve"> </w:t>
      </w:r>
      <w:r w:rsidRPr="001A5EBC">
        <w:t xml:space="preserve">fuel switching, and development of </w:t>
      </w:r>
      <w:r w:rsidR="00B77ADD">
        <w:t>L</w:t>
      </w:r>
      <w:r w:rsidRPr="001A5EBC">
        <w:t>o-</w:t>
      </w:r>
      <w:r w:rsidR="00B77ADD">
        <w:t>C</w:t>
      </w:r>
      <w:r w:rsidRPr="001A5EBC">
        <w:t>arbon solution for aviation and maritime transport</w:t>
      </w:r>
      <w:r w:rsidR="00155147" w:rsidRPr="001A5EBC">
        <w:t>.</w:t>
      </w:r>
      <w:r w:rsidR="00A10783" w:rsidRPr="001A5EBC">
        <w:t xml:space="preserve"> </w:t>
      </w:r>
      <w:r w:rsidR="004669B4" w:rsidRPr="001A5EBC">
        <w:t xml:space="preserve">It has been estimated that between 2022 and 2040 around 86% of the required investment </w:t>
      </w:r>
      <w:r w:rsidR="00173B2A" w:rsidRPr="001A5EBC">
        <w:t>in these</w:t>
      </w:r>
      <w:r w:rsidR="00AE0572" w:rsidRPr="001A5EBC">
        <w:t xml:space="preserve"> subsector</w:t>
      </w:r>
      <w:r w:rsidR="00605AEC" w:rsidRPr="001A5EBC">
        <w:t>s</w:t>
      </w:r>
      <w:r w:rsidR="00173B2A" w:rsidRPr="001A5EBC">
        <w:t xml:space="preserve"> </w:t>
      </w:r>
      <w:r w:rsidR="004669B4" w:rsidRPr="001A5EBC">
        <w:t xml:space="preserve">will be covered by private finance, </w:t>
      </w:r>
      <w:r w:rsidR="001442C3" w:rsidRPr="001A5EBC">
        <w:t>with</w:t>
      </w:r>
      <w:r w:rsidR="004669B4" w:rsidRPr="001A5EBC">
        <w:t xml:space="preserve"> the remaining 14% instead </w:t>
      </w:r>
      <w:r w:rsidR="005E0E4B" w:rsidRPr="001A5EBC">
        <w:t xml:space="preserve">funded by government </w:t>
      </w:r>
      <w:r w:rsidR="005148E4" w:rsidRPr="001A5EBC">
        <w:t>(UNFCC, 2022)</w:t>
      </w:r>
      <w:r w:rsidR="004669B4" w:rsidRPr="001A5EBC">
        <w:t>.</w:t>
      </w:r>
      <w:r w:rsidR="00553FF3" w:rsidRPr="001A5EBC">
        <w:t xml:space="preserve"> In this context, public investment will play a crucial role in accelerating the adoption of green transport technologies and ensuring that low-income households are supported in the transition to a decarbonised transport sector, along with enhanced access to public transport.</w:t>
      </w:r>
    </w:p>
    <w:p w14:paraId="1AA7B39C" w14:textId="77777777" w:rsidR="00B77ADD" w:rsidRPr="001A5EBC" w:rsidRDefault="00B77ADD" w:rsidP="00B77ADD">
      <w:pPr>
        <w:pStyle w:val="BodyText"/>
        <w:ind w:left="720"/>
      </w:pPr>
    </w:p>
    <w:p w14:paraId="7377ED94" w14:textId="4FD72BC7" w:rsidR="00BF43D4" w:rsidRPr="001A5EBC" w:rsidRDefault="005E0E4B" w:rsidP="00710CCA">
      <w:pPr>
        <w:pStyle w:val="BodyText"/>
        <w:ind w:left="720"/>
      </w:pPr>
      <w:r w:rsidRPr="001A5EBC">
        <w:lastRenderedPageBreak/>
        <w:t>When specifically considering investments in EV chargers in Europe, although current public investment is estimated to cover approximately 44% of the required needs between 2025 and 2050, this contribution is expected to decrease to an average of 24% as investment grows to an attractive size and government involvement drops off</w:t>
      </w:r>
      <w:r w:rsidR="00B77ADD">
        <w:t xml:space="preserve"> (UNFC, 2022)</w:t>
      </w:r>
      <w:r w:rsidRPr="001A5EBC">
        <w:t xml:space="preserve">. It follows that the remaining 76% of required investment in EV infrastructure in Europe is covered by private investment (UNFCC, 2022). As a matter of fact, </w:t>
      </w:r>
      <w:r w:rsidR="004669B4" w:rsidRPr="001A5EBC">
        <w:t xml:space="preserve">corporations and commercial </w:t>
      </w:r>
      <w:r w:rsidR="001442C3" w:rsidRPr="001A5EBC">
        <w:t>financial institutions</w:t>
      </w:r>
      <w:r w:rsidR="004669B4" w:rsidRPr="001A5EBC">
        <w:t xml:space="preserve"> are </w:t>
      </w:r>
      <w:r w:rsidR="0035774B" w:rsidRPr="001A5EBC">
        <w:t>expected</w:t>
      </w:r>
      <w:r w:rsidR="004669B4" w:rsidRPr="001A5EBC">
        <w:t xml:space="preserve"> to take a </w:t>
      </w:r>
      <w:r w:rsidR="00B11BB1" w:rsidRPr="001A5EBC">
        <w:t>greater</w:t>
      </w:r>
      <w:r w:rsidR="004669B4" w:rsidRPr="001A5EBC">
        <w:t xml:space="preserve"> role in addressing t</w:t>
      </w:r>
      <w:r w:rsidR="0035774B" w:rsidRPr="001A5EBC">
        <w:t>he required</w:t>
      </w:r>
      <w:r w:rsidR="004669B4" w:rsidRPr="001A5EBC">
        <w:t xml:space="preserve"> investment need. </w:t>
      </w:r>
      <w:r w:rsidRPr="001A5EBC">
        <w:t>Ho</w:t>
      </w:r>
      <w:r w:rsidR="00135D64" w:rsidRPr="001A5EBC">
        <w:t>useho</w:t>
      </w:r>
      <w:r w:rsidRPr="001A5EBC">
        <w:t>lds</w:t>
      </w:r>
      <w:r w:rsidR="00135D64" w:rsidRPr="001A5EBC">
        <w:t xml:space="preserve"> and businesses are expected to </w:t>
      </w:r>
      <w:r w:rsidR="0027679F" w:rsidRPr="001A5EBC">
        <w:t>cover most of the required investment</w:t>
      </w:r>
      <w:r w:rsidR="003D140D" w:rsidRPr="001A5EBC">
        <w:t xml:space="preserve"> to</w:t>
      </w:r>
      <w:r w:rsidR="003C1D4C" w:rsidRPr="001A5EBC">
        <w:t xml:space="preserve"> purchase electric passenger vehicles and trucks</w:t>
      </w:r>
      <w:r w:rsidR="003174F8" w:rsidRPr="001A5EBC">
        <w:t>, while being</w:t>
      </w:r>
      <w:r w:rsidR="00135D64" w:rsidRPr="001A5EBC">
        <w:t xml:space="preserve"> supported by loans from </w:t>
      </w:r>
      <w:r w:rsidR="00831310" w:rsidRPr="001A5EBC">
        <w:t>financial institutions</w:t>
      </w:r>
      <w:r w:rsidR="00135D64" w:rsidRPr="001A5EBC">
        <w:t xml:space="preserve">. </w:t>
      </w:r>
      <w:r w:rsidRPr="001A5EBC">
        <w:t>Similarly, c</w:t>
      </w:r>
      <w:r w:rsidR="00135D64" w:rsidRPr="001A5EBC">
        <w:t xml:space="preserve">orporations </w:t>
      </w:r>
      <w:r w:rsidR="00831310" w:rsidRPr="001A5EBC">
        <w:t>instead are expected to</w:t>
      </w:r>
      <w:r w:rsidR="00135D64" w:rsidRPr="001A5EBC">
        <w:t xml:space="preserve"> invest directly on</w:t>
      </w:r>
      <w:r w:rsidRPr="001A5EBC">
        <w:t xml:space="preserve"> greener technology for</w:t>
      </w:r>
      <w:r w:rsidR="00135D64" w:rsidRPr="001A5EBC">
        <w:t xml:space="preserve"> aviation and maritime transpor</w:t>
      </w:r>
      <w:r w:rsidR="00831310" w:rsidRPr="001A5EBC">
        <w:t xml:space="preserve">t. </w:t>
      </w:r>
    </w:p>
    <w:p w14:paraId="2C1422C3" w14:textId="364F0B59" w:rsidR="006B4EF2" w:rsidRPr="001A5EBC" w:rsidRDefault="00EF336F" w:rsidP="00EF336F">
      <w:pPr>
        <w:pStyle w:val="Caption"/>
        <w:jc w:val="center"/>
      </w:pPr>
      <w:bookmarkStart w:id="7" w:name="_Ref168669893"/>
      <w:r w:rsidRPr="00B77ADD">
        <w:rPr>
          <w:b/>
          <w:bCs/>
          <w:noProof/>
        </w:rPr>
        <w:drawing>
          <wp:anchor distT="0" distB="0" distL="114300" distR="114300" simplePos="0" relativeHeight="251657228" behindDoc="0" locked="0" layoutInCell="1" allowOverlap="1" wp14:anchorId="56B7B907" wp14:editId="54E328B8">
            <wp:simplePos x="0" y="0"/>
            <wp:positionH relativeFrom="margin">
              <wp:posOffset>724535</wp:posOffset>
            </wp:positionH>
            <wp:positionV relativeFrom="paragraph">
              <wp:posOffset>504825</wp:posOffset>
            </wp:positionV>
            <wp:extent cx="5241290" cy="2792730"/>
            <wp:effectExtent l="0" t="0" r="0" b="7620"/>
            <wp:wrapTopAndBottom/>
            <wp:docPr id="1317794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94368" name="Picture 1"/>
                    <pic:cNvPicPr/>
                  </pic:nvPicPr>
                  <pic:blipFill>
                    <a:blip r:embed="rId41">
                      <a:extLst>
                        <a:ext uri="{28A0092B-C50C-407E-A947-70E740481C1C}">
                          <a14:useLocalDpi xmlns:a14="http://schemas.microsoft.com/office/drawing/2010/main" val="0"/>
                        </a:ext>
                      </a:extLst>
                    </a:blip>
                    <a:stretch>
                      <a:fillRect/>
                    </a:stretch>
                  </pic:blipFill>
                  <pic:spPr>
                    <a:xfrm>
                      <a:off x="0" y="0"/>
                      <a:ext cx="5241290" cy="2792730"/>
                    </a:xfrm>
                    <a:prstGeom prst="rect">
                      <a:avLst/>
                    </a:prstGeom>
                  </pic:spPr>
                </pic:pic>
              </a:graphicData>
            </a:graphic>
            <wp14:sizeRelH relativeFrom="margin">
              <wp14:pctWidth>0</wp14:pctWidth>
            </wp14:sizeRelH>
            <wp14:sizeRelV relativeFrom="margin">
              <wp14:pctHeight>0</wp14:pctHeight>
            </wp14:sizeRelV>
          </wp:anchor>
        </w:drawing>
      </w:r>
      <w:r w:rsidR="00433286" w:rsidRPr="00B77ADD">
        <w:rPr>
          <w:b/>
          <w:bCs/>
          <w:noProof/>
        </w:rPr>
        <w:drawing>
          <wp:anchor distT="0" distB="0" distL="114300" distR="114300" simplePos="0" relativeHeight="251657229" behindDoc="0" locked="0" layoutInCell="1" allowOverlap="1" wp14:anchorId="339AC3A0" wp14:editId="29DA5B64">
            <wp:simplePos x="0" y="0"/>
            <wp:positionH relativeFrom="margin">
              <wp:posOffset>573865</wp:posOffset>
            </wp:positionH>
            <wp:positionV relativeFrom="paragraph">
              <wp:posOffset>3404148</wp:posOffset>
            </wp:positionV>
            <wp:extent cx="5342890" cy="2901950"/>
            <wp:effectExtent l="0" t="0" r="0" b="0"/>
            <wp:wrapTopAndBottom/>
            <wp:docPr id="643231222" name="Picture 1" descr="A graph with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31222" name="Picture 1" descr="A graph with different colored bars&#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5342890" cy="2901950"/>
                    </a:xfrm>
                    <a:prstGeom prst="rect">
                      <a:avLst/>
                    </a:prstGeom>
                  </pic:spPr>
                </pic:pic>
              </a:graphicData>
            </a:graphic>
            <wp14:sizeRelH relativeFrom="margin">
              <wp14:pctWidth>0</wp14:pctWidth>
            </wp14:sizeRelH>
            <wp14:sizeRelV relativeFrom="margin">
              <wp14:pctHeight>0</wp14:pctHeight>
            </wp14:sizeRelV>
          </wp:anchor>
        </w:drawing>
      </w:r>
      <w:r w:rsidR="00BF43D4" w:rsidRPr="00B77ADD">
        <w:rPr>
          <w:b/>
          <w:bCs/>
        </w:rPr>
        <w:t xml:space="preserve">Figure </w:t>
      </w:r>
      <w:r w:rsidR="00B77ADD" w:rsidRPr="00B77ADD">
        <w:rPr>
          <w:b/>
          <w:bCs/>
        </w:rPr>
        <w:t>3</w:t>
      </w:r>
      <w:bookmarkEnd w:id="7"/>
      <w:r w:rsidR="00B77ADD" w:rsidRPr="00B77ADD">
        <w:rPr>
          <w:b/>
          <w:bCs/>
        </w:rPr>
        <w:t>:</w:t>
      </w:r>
      <w:r w:rsidR="00B77ADD">
        <w:t xml:space="preserve"> </w:t>
      </w:r>
      <w:r w:rsidR="00BF43D4" w:rsidRPr="001A5EBC">
        <w:t xml:space="preserve">Funding </w:t>
      </w:r>
      <w:r w:rsidR="00B77ADD">
        <w:t>M</w:t>
      </w:r>
      <w:r w:rsidR="00BF43D4" w:rsidRPr="001A5EBC">
        <w:t xml:space="preserve">ix </w:t>
      </w:r>
      <w:r w:rsidR="00B77ADD">
        <w:t>T</w:t>
      </w:r>
      <w:r w:rsidR="000D31E5" w:rsidRPr="001A5EBC">
        <w:t>ransport</w:t>
      </w:r>
      <w:r w:rsidR="00BF43D4" w:rsidRPr="001A5EBC">
        <w:t xml:space="preserve"> </w:t>
      </w:r>
      <w:r w:rsidR="00B77ADD">
        <w:t>I</w:t>
      </w:r>
      <w:r w:rsidR="00BF43D4" w:rsidRPr="001A5EBC">
        <w:t>nfrastructure</w:t>
      </w:r>
      <w:r w:rsidR="00F80E74" w:rsidRPr="001A5EBC">
        <w:t xml:space="preserve"> </w:t>
      </w:r>
      <w:r w:rsidR="000D31E5" w:rsidRPr="001A5EBC">
        <w:t xml:space="preserve">in the UK </w:t>
      </w:r>
      <w:r w:rsidR="00F80E74" w:rsidRPr="001A5EBC">
        <w:t xml:space="preserve">according to </w:t>
      </w:r>
      <w:r w:rsidR="003E5DE4" w:rsidRPr="001A5EBC">
        <w:t xml:space="preserve">House of </w:t>
      </w:r>
      <w:r w:rsidR="00B77ADD">
        <w:t>C</w:t>
      </w:r>
      <w:r w:rsidR="003E5DE4" w:rsidRPr="001A5EBC">
        <w:t xml:space="preserve">ommons (above) and </w:t>
      </w:r>
      <w:r w:rsidR="0015484D" w:rsidRPr="001A5EBC">
        <w:t xml:space="preserve">Institute for Government </w:t>
      </w:r>
      <w:r w:rsidR="00A50E45" w:rsidRPr="001A5EBC">
        <w:t>(below)</w:t>
      </w:r>
    </w:p>
    <w:p w14:paraId="67F95AF2" w14:textId="41F143A9" w:rsidR="00155C68" w:rsidRPr="001A5EBC" w:rsidRDefault="00155C68" w:rsidP="00155C68">
      <w:pPr>
        <w:pStyle w:val="Heading2"/>
      </w:pPr>
      <w:r w:rsidRPr="001A5EBC">
        <w:lastRenderedPageBreak/>
        <w:t xml:space="preserve">Key </w:t>
      </w:r>
      <w:r w:rsidR="00B77ADD">
        <w:t>T</w:t>
      </w:r>
      <w:r w:rsidRPr="001A5EBC">
        <w:t>akeaways</w:t>
      </w:r>
    </w:p>
    <w:p w14:paraId="72463212" w14:textId="0961E271" w:rsidR="00FD6118" w:rsidRPr="001A5EBC" w:rsidRDefault="00836531" w:rsidP="004E09AB">
      <w:pPr>
        <w:pStyle w:val="BodyText"/>
      </w:pPr>
      <w:r w:rsidRPr="001A5EBC">
        <w:t>The</w:t>
      </w:r>
      <w:r w:rsidR="00D55A7A" w:rsidRPr="001A5EBC">
        <w:t xml:space="preserve"> Sixth Carbon </w:t>
      </w:r>
      <w:r w:rsidR="00D55A7A" w:rsidRPr="00677F00">
        <w:t>Budget</w:t>
      </w:r>
      <w:r w:rsidRPr="00677F00">
        <w:t xml:space="preserve"> from the Climate Change Committee</w:t>
      </w:r>
      <w:r w:rsidR="00B77ADD" w:rsidRPr="00677F00">
        <w:t xml:space="preserve"> (2020)</w:t>
      </w:r>
      <w:r w:rsidRPr="00677F00">
        <w:t xml:space="preserve"> indicates that</w:t>
      </w:r>
      <w:r w:rsidR="00D55A7A" w:rsidRPr="00677F00">
        <w:t xml:space="preserve">, </w:t>
      </w:r>
      <w:r w:rsidR="004C0448" w:rsidRPr="00677F00">
        <w:t>on average</w:t>
      </w:r>
      <w:r w:rsidRPr="00677F00">
        <w:t>,</w:t>
      </w:r>
      <w:r w:rsidR="004C0448" w:rsidRPr="00677F00">
        <w:t xml:space="preserve"> 15% of the investment</w:t>
      </w:r>
      <w:r w:rsidR="00D55A7A" w:rsidRPr="00677F00">
        <w:t xml:space="preserve"> </w:t>
      </w:r>
      <w:r w:rsidR="007C58C7" w:rsidRPr="00677F00">
        <w:t xml:space="preserve">in the transport sector will be </w:t>
      </w:r>
      <w:r w:rsidRPr="00677F00">
        <w:t>dedicated to the construction</w:t>
      </w:r>
      <w:r w:rsidR="007C58C7" w:rsidRPr="00677F00">
        <w:t xml:space="preserve"> and </w:t>
      </w:r>
      <w:r w:rsidRPr="00677F00">
        <w:t>enhancement of essential</w:t>
      </w:r>
      <w:r w:rsidR="007C58C7" w:rsidRPr="00677F00">
        <w:t xml:space="preserve"> infrastructure</w:t>
      </w:r>
      <w:r w:rsidRPr="00677F00">
        <w:t>. The</w:t>
      </w:r>
      <w:r w:rsidR="007C58C7" w:rsidRPr="00677F00">
        <w:t xml:space="preserve"> remaining </w:t>
      </w:r>
      <w:r w:rsidR="00BF2378" w:rsidRPr="00677F00">
        <w:t xml:space="preserve">75% will </w:t>
      </w:r>
      <w:r w:rsidR="005E33F8" w:rsidRPr="00677F00">
        <w:t xml:space="preserve">be </w:t>
      </w:r>
      <w:r w:rsidRPr="00677F00">
        <w:t>directed towards efforts</w:t>
      </w:r>
      <w:r w:rsidR="005E33F8" w:rsidRPr="00677F00">
        <w:t xml:space="preserve"> to decarbonise </w:t>
      </w:r>
      <w:r w:rsidRPr="00677F00">
        <w:t xml:space="preserve">various modes of transport, including </w:t>
      </w:r>
      <w:r w:rsidR="005E0E4B" w:rsidRPr="00677F00">
        <w:t>trains, buses and</w:t>
      </w:r>
      <w:r w:rsidR="005E33F8" w:rsidRPr="00677F00">
        <w:t xml:space="preserve"> aviation </w:t>
      </w:r>
      <w:r w:rsidR="005C5711" w:rsidRPr="00677F00">
        <w:t>(Climate Change Committee, 2020)</w:t>
      </w:r>
      <w:r w:rsidR="005E33F8" w:rsidRPr="00677F00">
        <w:t>.</w:t>
      </w:r>
      <w:r w:rsidR="00D55A7A" w:rsidRPr="00677F00">
        <w:t xml:space="preserve"> </w:t>
      </w:r>
      <w:r w:rsidRPr="00677F00">
        <w:t xml:space="preserve">After reviewing </w:t>
      </w:r>
      <w:r w:rsidR="00DB1D8E" w:rsidRPr="00677F00">
        <w:t>the</w:t>
      </w:r>
      <w:r w:rsidRPr="00677F00">
        <w:t xml:space="preserve"> </w:t>
      </w:r>
      <w:r w:rsidR="009D3379" w:rsidRPr="00677F00">
        <w:t xml:space="preserve">evidence, we </w:t>
      </w:r>
      <w:r w:rsidRPr="00677F00">
        <w:t>have determined</w:t>
      </w:r>
      <w:r w:rsidRPr="001A5EBC">
        <w:t xml:space="preserve"> that</w:t>
      </w:r>
      <w:r w:rsidR="009D3379" w:rsidRPr="001A5EBC">
        <w:t xml:space="preserve"> an accurate </w:t>
      </w:r>
      <w:r w:rsidRPr="001A5EBC">
        <w:t xml:space="preserve">split of </w:t>
      </w:r>
      <w:r w:rsidR="009D3379" w:rsidRPr="001A5EBC">
        <w:t>public</w:t>
      </w:r>
      <w:r w:rsidR="00641928" w:rsidRPr="001A5EBC">
        <w:t>-private</w:t>
      </w:r>
      <w:r w:rsidR="009D3379" w:rsidRPr="001A5EBC">
        <w:t xml:space="preserve"> investment </w:t>
      </w:r>
      <w:r w:rsidRPr="001A5EBC">
        <w:t xml:space="preserve">in </w:t>
      </w:r>
      <w:r w:rsidR="009D3379" w:rsidRPr="001A5EBC">
        <w:t xml:space="preserve">the </w:t>
      </w:r>
      <w:r w:rsidR="001F3A86" w:rsidRPr="001A5EBC">
        <w:t>transport</w:t>
      </w:r>
      <w:r w:rsidR="00640B80" w:rsidRPr="001A5EBC">
        <w:t xml:space="preserve"> sector </w:t>
      </w:r>
      <w:r w:rsidRPr="001A5EBC">
        <w:t>can</w:t>
      </w:r>
      <w:r w:rsidR="00640B80" w:rsidRPr="001A5EBC">
        <w:t xml:space="preserve"> be </w:t>
      </w:r>
      <w:r w:rsidR="00404E2F" w:rsidRPr="001A5EBC">
        <w:t>inferred</w:t>
      </w:r>
      <w:r w:rsidRPr="001A5EBC">
        <w:t xml:space="preserve"> by averaging </w:t>
      </w:r>
      <w:r w:rsidR="00D20B24" w:rsidRPr="001A5EBC">
        <w:t xml:space="preserve">the reviewed </w:t>
      </w:r>
      <w:r w:rsidR="005E0E4B" w:rsidRPr="001A5EBC">
        <w:t>public-private investment splits</w:t>
      </w:r>
      <w:r w:rsidR="00B77ADD">
        <w:t xml:space="preserve">. </w:t>
      </w:r>
      <w:r w:rsidRPr="001A5EBC">
        <w:t>Th</w:t>
      </w:r>
      <w:r w:rsidR="00812D4F" w:rsidRPr="001A5EBC">
        <w:t>e</w:t>
      </w:r>
      <w:r w:rsidRPr="001A5EBC">
        <w:t xml:space="preserve"> average </w:t>
      </w:r>
      <w:r w:rsidR="00812D4F" w:rsidRPr="001A5EBC">
        <w:t>is then</w:t>
      </w:r>
      <w:r w:rsidR="00F05E5E" w:rsidRPr="001A5EBC">
        <w:t xml:space="preserve"> </w:t>
      </w:r>
      <w:r w:rsidR="00D55A7A" w:rsidRPr="001A5EBC">
        <w:t xml:space="preserve">weighted </w:t>
      </w:r>
      <w:r w:rsidRPr="001A5EBC">
        <w:t xml:space="preserve">according to </w:t>
      </w:r>
      <w:r w:rsidR="00062404" w:rsidRPr="001A5EBC">
        <w:t xml:space="preserve">the volume of investments </w:t>
      </w:r>
      <w:r w:rsidR="006C7C85" w:rsidRPr="001A5EBC">
        <w:t>needed</w:t>
      </w:r>
      <w:r w:rsidRPr="001A5EBC">
        <w:t xml:space="preserve"> for </w:t>
      </w:r>
      <w:r w:rsidR="005B0B1D" w:rsidRPr="001A5EBC">
        <w:t>infrastructure</w:t>
      </w:r>
      <w:r w:rsidR="00022007" w:rsidRPr="001A5EBC">
        <w:t xml:space="preserve"> and non-infrastructure </w:t>
      </w:r>
      <w:r w:rsidR="00EB19B4" w:rsidRPr="001A5EBC">
        <w:t>investments</w:t>
      </w:r>
      <w:r w:rsidR="005B0B1D" w:rsidRPr="001A5EBC">
        <w:t xml:space="preserve">. </w:t>
      </w:r>
    </w:p>
    <w:p w14:paraId="755DDA37" w14:textId="0A65E7F9" w:rsidR="00E62517" w:rsidRPr="001A5EBC" w:rsidRDefault="00E62517" w:rsidP="004E09AB">
      <w:pPr>
        <w:pStyle w:val="BodyText"/>
      </w:pPr>
      <w:r w:rsidRPr="001A5EBC">
        <w:t>Investment in transport infrastructure has been predominantly driven by p</w:t>
      </w:r>
      <w:r w:rsidR="00B826A3" w:rsidRPr="001A5EBC">
        <w:t>ublic</w:t>
      </w:r>
      <w:r w:rsidRPr="001A5EBC">
        <w:t xml:space="preserve"> </w:t>
      </w:r>
      <w:r w:rsidR="00B826A3" w:rsidRPr="001A5EBC">
        <w:t>finances</w:t>
      </w:r>
      <w:r w:rsidRPr="001A5EBC">
        <w:t xml:space="preserve">, accounting for </w:t>
      </w:r>
      <w:r w:rsidR="0007168F" w:rsidRPr="001A5EBC">
        <w:t>77</w:t>
      </w:r>
      <w:r w:rsidR="0005314C" w:rsidRPr="001A5EBC">
        <w:t>%</w:t>
      </w:r>
      <w:r w:rsidRPr="001A5EBC">
        <w:t xml:space="preserve"> of the total</w:t>
      </w:r>
      <w:r w:rsidR="00B77ADD">
        <w:t xml:space="preserve"> </w:t>
      </w:r>
      <w:r w:rsidRPr="001A5EBC">
        <w:t>with the remaining 2</w:t>
      </w:r>
      <w:r w:rsidR="0007168F" w:rsidRPr="001A5EBC">
        <w:t>3</w:t>
      </w:r>
      <w:r w:rsidRPr="001A5EBC">
        <w:t xml:space="preserve">% funded by </w:t>
      </w:r>
      <w:r w:rsidR="00B826A3" w:rsidRPr="001A5EBC">
        <w:t>private capital</w:t>
      </w:r>
      <w:r w:rsidRPr="001A5EBC">
        <w:t>, according to the latest data from the UK (House of Commons, 2023). In addition, the financial requirements for the adoption of electric vehicles and fuel switching are projected to be covered primarily by private capital (86%), with public finances contributing the remaining 14%</w:t>
      </w:r>
      <w:r w:rsidR="00B77ADD">
        <w:t xml:space="preserve"> </w:t>
      </w:r>
      <w:r w:rsidRPr="001A5EBC">
        <w:t xml:space="preserve">(UNFCC, 2022). Consequently, when considering the transport sector as a whole, the </w:t>
      </w:r>
      <w:r w:rsidR="00CD7030" w:rsidRPr="001A5EBC">
        <w:t>sources of investments are estimated to be</w:t>
      </w:r>
      <w:r w:rsidRPr="001A5EBC">
        <w:t xml:space="preserve"> </w:t>
      </w:r>
      <w:r w:rsidR="00544749" w:rsidRPr="001A5EBC">
        <w:t>3</w:t>
      </w:r>
      <w:r w:rsidRPr="001A5EBC">
        <w:t>0% p</w:t>
      </w:r>
      <w:r w:rsidR="00544749" w:rsidRPr="001A5EBC">
        <w:t>ublic</w:t>
      </w:r>
      <w:r w:rsidRPr="001A5EBC">
        <w:t xml:space="preserve"> and </w:t>
      </w:r>
      <w:r w:rsidR="00544749" w:rsidRPr="001A5EBC">
        <w:t>7</w:t>
      </w:r>
      <w:r w:rsidRPr="001A5EBC">
        <w:t>0% p</w:t>
      </w:r>
      <w:r w:rsidR="005E0E4B" w:rsidRPr="001A5EBC">
        <w:t>rivate.</w:t>
      </w:r>
    </w:p>
    <w:p w14:paraId="5CA20DD1" w14:textId="351F7EC1" w:rsidR="007729D1" w:rsidRPr="001A5EBC" w:rsidRDefault="002D1B93" w:rsidP="004E09AB">
      <w:pPr>
        <w:pStyle w:val="BodyText"/>
        <w:rPr>
          <w:b/>
          <w:bCs/>
        </w:rPr>
      </w:pPr>
      <w:r w:rsidRPr="001A5EBC">
        <w:rPr>
          <w:b/>
          <w:bCs/>
        </w:rPr>
        <w:t xml:space="preserve">We assume that </w:t>
      </w:r>
      <w:r w:rsidR="007729D1" w:rsidRPr="001A5EBC">
        <w:rPr>
          <w:b/>
          <w:bCs/>
        </w:rPr>
        <w:t>£</w:t>
      </w:r>
      <w:r w:rsidR="00861EFB" w:rsidRPr="001A5EBC">
        <w:rPr>
          <w:b/>
          <w:bCs/>
        </w:rPr>
        <w:t>4</w:t>
      </w:r>
      <w:r w:rsidR="007729D1" w:rsidRPr="001A5EBC">
        <w:rPr>
          <w:b/>
          <w:bCs/>
        </w:rPr>
        <w:t xml:space="preserve">bn pa </w:t>
      </w:r>
      <w:r w:rsidRPr="001A5EBC">
        <w:rPr>
          <w:b/>
          <w:bCs/>
        </w:rPr>
        <w:t>investments in the transport sector are allocated to</w:t>
      </w:r>
      <w:r w:rsidR="007729D1" w:rsidRPr="001A5EBC">
        <w:rPr>
          <w:b/>
          <w:bCs/>
        </w:rPr>
        <w:t xml:space="preserve"> the North</w:t>
      </w:r>
      <w:r w:rsidRPr="001A5EBC">
        <w:rPr>
          <w:b/>
          <w:bCs/>
        </w:rPr>
        <w:t xml:space="preserve"> of England</w:t>
      </w:r>
      <w:r w:rsidR="007729D1" w:rsidRPr="001A5EBC">
        <w:rPr>
          <w:b/>
          <w:bCs/>
        </w:rPr>
        <w:t xml:space="preserve">, of which </w:t>
      </w:r>
      <w:r w:rsidR="00544749" w:rsidRPr="001A5EBC">
        <w:rPr>
          <w:b/>
          <w:bCs/>
        </w:rPr>
        <w:t>£1.2bn is public investments (primarily in upgrading</w:t>
      </w:r>
      <w:r w:rsidR="002016AF">
        <w:rPr>
          <w:b/>
          <w:bCs/>
        </w:rPr>
        <w:t xml:space="preserve"> public and active</w:t>
      </w:r>
      <w:r w:rsidR="00544749" w:rsidRPr="001A5EBC">
        <w:rPr>
          <w:b/>
          <w:bCs/>
        </w:rPr>
        <w:t xml:space="preserve"> transport infrastructure at the required scale and pace) and </w:t>
      </w:r>
      <w:r w:rsidR="007729D1" w:rsidRPr="001A5EBC">
        <w:rPr>
          <w:b/>
          <w:bCs/>
        </w:rPr>
        <w:t>£2</w:t>
      </w:r>
      <w:r w:rsidR="000E677C" w:rsidRPr="001A5EBC">
        <w:rPr>
          <w:b/>
          <w:bCs/>
        </w:rPr>
        <w:t>.8</w:t>
      </w:r>
      <w:r w:rsidR="007729D1" w:rsidRPr="001A5EBC">
        <w:rPr>
          <w:b/>
          <w:bCs/>
        </w:rPr>
        <w:t>bn is private investment.</w:t>
      </w:r>
    </w:p>
    <w:p w14:paraId="24860642" w14:textId="09C694FE" w:rsidR="00155C68" w:rsidRPr="001A5EBC" w:rsidRDefault="00155C68" w:rsidP="001E1429">
      <w:pPr>
        <w:pStyle w:val="Heading1"/>
        <w:numPr>
          <w:ilvl w:val="0"/>
          <w:numId w:val="47"/>
        </w:numPr>
      </w:pPr>
      <w:bookmarkStart w:id="8" w:name="_Toc169011865"/>
      <w:r w:rsidRPr="001A5EBC">
        <w:lastRenderedPageBreak/>
        <w:t>Industry</w:t>
      </w:r>
      <w:bookmarkEnd w:id="8"/>
    </w:p>
    <w:p w14:paraId="36DAF07C" w14:textId="06D12917" w:rsidR="00155C68" w:rsidRPr="001A5EBC" w:rsidRDefault="00155C68" w:rsidP="00155C68">
      <w:pPr>
        <w:pStyle w:val="Heading2"/>
      </w:pPr>
      <w:r w:rsidRPr="001A5EBC">
        <w:t xml:space="preserve">Evidence </w:t>
      </w:r>
      <w:r w:rsidR="00B77ADD">
        <w:t>R</w:t>
      </w:r>
      <w:r w:rsidRPr="001A5EBC">
        <w:t>eviewed</w:t>
      </w:r>
    </w:p>
    <w:p w14:paraId="428DE926" w14:textId="5B327CCC" w:rsidR="000163D1" w:rsidRPr="001A5EBC" w:rsidRDefault="000163D1" w:rsidP="000163D1">
      <w:pPr>
        <w:pStyle w:val="BodyText"/>
        <w:jc w:val="both"/>
        <w:rPr>
          <w:rFonts w:cstheme="minorHAnsi"/>
          <w:color w:val="242424"/>
          <w:shd w:val="clear" w:color="auto" w:fill="FFFFFF"/>
        </w:rPr>
      </w:pPr>
      <w:r w:rsidRPr="001A5EBC">
        <w:t xml:space="preserve">In the UK, industrial </w:t>
      </w:r>
      <w:r w:rsidRPr="001A5EBC">
        <w:rPr>
          <w:rFonts w:cs="Arial"/>
          <w:color w:val="0B0C0C"/>
          <w:shd w:val="clear" w:color="auto" w:fill="FFFFFF"/>
        </w:rPr>
        <w:t>sectors produce 16% (72 Mt CO2e) of UK emissions</w:t>
      </w:r>
      <w:r w:rsidR="002C23E3">
        <w:rPr>
          <w:rFonts w:cs="Arial"/>
          <w:color w:val="0B0C0C"/>
          <w:shd w:val="clear" w:color="auto" w:fill="FFFFFF"/>
        </w:rPr>
        <w:t xml:space="preserve"> </w:t>
      </w:r>
      <w:r w:rsidRPr="001A5EBC">
        <w:rPr>
          <w:rFonts w:cs="Arial"/>
          <w:color w:val="0B0C0C"/>
          <w:shd w:val="clear" w:color="auto" w:fill="FFFFFF"/>
        </w:rPr>
        <w:t xml:space="preserve">and around half of these emissions are </w:t>
      </w:r>
      <w:r w:rsidRPr="00B039EB">
        <w:rPr>
          <w:rFonts w:cs="Arial"/>
          <w:shd w:val="clear" w:color="auto" w:fill="FFFFFF"/>
        </w:rPr>
        <w:t>concentrated in industrial clusters. The Industrial Decarbonisation Strategy</w:t>
      </w:r>
      <w:r w:rsidR="00B039EB" w:rsidRPr="00B039EB">
        <w:rPr>
          <w:rFonts w:cs="Arial"/>
          <w:shd w:val="clear" w:color="auto" w:fill="FFFFFF"/>
        </w:rPr>
        <w:t xml:space="preserve"> (</w:t>
      </w:r>
      <w:r w:rsidR="00B039EB" w:rsidRPr="00B039EB">
        <w:t>BEIS &amp; DESNZ, 2021)</w:t>
      </w:r>
      <w:r w:rsidRPr="00B039EB">
        <w:rPr>
          <w:rFonts w:cs="Arial"/>
          <w:shd w:val="clear" w:color="auto" w:fill="FFFFFF"/>
        </w:rPr>
        <w:t xml:space="preserve"> sets out how the manufacturing industry should seek to </w:t>
      </w:r>
      <w:r w:rsidRPr="00B039EB">
        <w:rPr>
          <w:rFonts w:cs="Arial"/>
        </w:rPr>
        <w:t>shift away from fossil fuel sources of energy,</w:t>
      </w:r>
      <w:r w:rsidRPr="00B039EB">
        <w:rPr>
          <w:rFonts w:cs="Arial"/>
          <w:shd w:val="clear" w:color="auto" w:fill="FFFFFF"/>
        </w:rPr>
        <w:t xml:space="preserve"> </w:t>
      </w:r>
      <w:r w:rsidRPr="00B039EB">
        <w:rPr>
          <w:rFonts w:cs="Arial"/>
        </w:rPr>
        <w:t>adopt</w:t>
      </w:r>
      <w:r w:rsidRPr="00B039EB">
        <w:rPr>
          <w:rFonts w:cs="Arial"/>
          <w:shd w:val="clear" w:color="auto" w:fill="FFFFFF"/>
        </w:rPr>
        <w:t xml:space="preserve"> carbon capture </w:t>
      </w:r>
      <w:r w:rsidRPr="00B039EB">
        <w:rPr>
          <w:rFonts w:cs="Arial"/>
        </w:rPr>
        <w:t xml:space="preserve">and storage </w:t>
      </w:r>
      <w:r w:rsidRPr="00B039EB">
        <w:rPr>
          <w:rFonts w:cs="Arial"/>
          <w:shd w:val="clear" w:color="auto" w:fill="FFFFFF"/>
        </w:rPr>
        <w:t>technologies</w:t>
      </w:r>
      <w:r w:rsidR="00B039EB">
        <w:rPr>
          <w:rFonts w:cs="Arial"/>
          <w:shd w:val="clear" w:color="auto" w:fill="FFFFFF"/>
        </w:rPr>
        <w:t xml:space="preserve">, </w:t>
      </w:r>
      <w:r w:rsidRPr="00B039EB">
        <w:rPr>
          <w:rFonts w:cs="Arial"/>
          <w:shd w:val="clear" w:color="auto" w:fill="FFFFFF"/>
        </w:rPr>
        <w:t>and make efficient use of energy and materials, including how materials are used, repaired and recycled</w:t>
      </w:r>
      <w:r w:rsidRPr="00B039EB">
        <w:rPr>
          <w:rFonts w:cs="Arial"/>
        </w:rPr>
        <w:t xml:space="preserve">. However, </w:t>
      </w:r>
      <w:r w:rsidRPr="00B039EB">
        <w:rPr>
          <w:rFonts w:eastAsia="Arial" w:cs="Arial"/>
        </w:rPr>
        <w:t>the adoption of these abatement measures represents an economic burden for firms. A report by Frontier Economics for E3G and WWF suggest</w:t>
      </w:r>
      <w:r w:rsidR="00B039EB">
        <w:rPr>
          <w:rFonts w:eastAsia="Arial" w:cs="Arial"/>
        </w:rPr>
        <w:t>s</w:t>
      </w:r>
      <w:r w:rsidRPr="00B039EB">
        <w:rPr>
          <w:rFonts w:eastAsia="Arial" w:cs="Arial"/>
        </w:rPr>
        <w:t xml:space="preserve"> that whil</w:t>
      </w:r>
      <w:r w:rsidR="00B039EB">
        <w:rPr>
          <w:rFonts w:eastAsia="Arial" w:cs="Arial"/>
        </w:rPr>
        <w:t>st</w:t>
      </w:r>
      <w:r w:rsidRPr="00B039EB">
        <w:rPr>
          <w:rFonts w:eastAsia="Arial" w:cs="Arial"/>
        </w:rPr>
        <w:t xml:space="preserve"> the government could help fund abatement measures, the manufacturing and construction sectors</w:t>
      </w:r>
      <w:r w:rsidR="00B039EB">
        <w:rPr>
          <w:rFonts w:eastAsia="Arial" w:cs="Arial"/>
        </w:rPr>
        <w:t xml:space="preserve">, </w:t>
      </w:r>
      <w:r w:rsidRPr="00B039EB">
        <w:rPr>
          <w:rFonts w:eastAsia="Arial" w:cs="Arial"/>
        </w:rPr>
        <w:t>among others</w:t>
      </w:r>
      <w:r w:rsidR="00B039EB">
        <w:rPr>
          <w:rFonts w:eastAsia="Arial" w:cs="Arial"/>
        </w:rPr>
        <w:t>,</w:t>
      </w:r>
      <w:r w:rsidRPr="00B039EB">
        <w:rPr>
          <w:rFonts w:eastAsia="Arial" w:cs="Arial"/>
        </w:rPr>
        <w:t xml:space="preserve"> would require most of its decarboni</w:t>
      </w:r>
      <w:r w:rsidR="001A5EBC" w:rsidRPr="00B039EB">
        <w:rPr>
          <w:rFonts w:eastAsia="Arial" w:cs="Arial"/>
        </w:rPr>
        <w:t>s</w:t>
      </w:r>
      <w:r w:rsidRPr="00B039EB">
        <w:rPr>
          <w:rFonts w:eastAsia="Arial" w:cs="Arial"/>
        </w:rPr>
        <w:t>ation investment to come from the private sector (Frontier Economics, 2022). S</w:t>
      </w:r>
      <w:r w:rsidRPr="00B039EB">
        <w:rPr>
          <w:rFonts w:cstheme="minorHAnsi"/>
          <w:shd w:val="clear" w:color="auto" w:fill="FFFFFF"/>
        </w:rPr>
        <w:t xml:space="preserve">pecifically </w:t>
      </w:r>
      <w:r w:rsidR="00B039EB">
        <w:rPr>
          <w:rFonts w:cstheme="minorHAnsi"/>
          <w:shd w:val="clear" w:color="auto" w:fill="FFFFFF"/>
        </w:rPr>
        <w:t xml:space="preserve">regarding </w:t>
      </w:r>
      <w:r w:rsidRPr="00B039EB">
        <w:rPr>
          <w:rFonts w:cstheme="minorHAnsi"/>
          <w:shd w:val="clear" w:color="auto" w:fill="FFFFFF"/>
        </w:rPr>
        <w:t xml:space="preserve">Manufacturing and Construction industries, the report identified that abatement measures like fuel switching to hydrogen, electrification, and the adoption of carbon capture and storage would require both capital and revenue support for investors, with the expectation that the majority of funding will </w:t>
      </w:r>
      <w:r w:rsidR="00B039EB">
        <w:rPr>
          <w:rFonts w:cstheme="minorHAnsi"/>
          <w:shd w:val="clear" w:color="auto" w:fill="FFFFFF"/>
        </w:rPr>
        <w:t xml:space="preserve">come </w:t>
      </w:r>
      <w:r w:rsidRPr="00B039EB">
        <w:rPr>
          <w:rFonts w:cstheme="minorHAnsi"/>
          <w:shd w:val="clear" w:color="auto" w:fill="FFFFFF"/>
        </w:rPr>
        <w:t xml:space="preserve">from private sources. </w:t>
      </w:r>
    </w:p>
    <w:p w14:paraId="3A0B236C" w14:textId="3F3A8EAA" w:rsidR="000163D1" w:rsidRPr="001A5EBC" w:rsidRDefault="000163D1" w:rsidP="000163D1">
      <w:pPr>
        <w:pStyle w:val="BodyText"/>
        <w:jc w:val="both"/>
      </w:pPr>
      <w:r w:rsidRPr="001A5EBC">
        <w:t xml:space="preserve">However, our main evidence comes from </w:t>
      </w:r>
      <w:r w:rsidRPr="001A5EBC">
        <w:rPr>
          <w:i/>
          <w:iCs/>
        </w:rPr>
        <w:t>The Race to Zero</w:t>
      </w:r>
      <w:r w:rsidR="004E67B2">
        <w:rPr>
          <w:i/>
          <w:iCs/>
        </w:rPr>
        <w:t>:</w:t>
      </w:r>
      <w:r w:rsidRPr="001A5EBC">
        <w:rPr>
          <w:i/>
          <w:iCs/>
        </w:rPr>
        <w:t xml:space="preserve"> Net Zero Financing Roadmaps</w:t>
      </w:r>
      <w:r w:rsidRPr="001A5EBC">
        <w:t xml:space="preserve"> report, as presented at the UN Climate Change Conference in 2020. In this report, the investments needed to achieve net zero globally by 2050 were set out, and the investment roles and opportunities for private and public actors to drive this transition identified</w:t>
      </w:r>
      <w:r w:rsidR="00C20F88">
        <w:t xml:space="preserve">, as shown in </w:t>
      </w:r>
      <w:r w:rsidR="00B039EB">
        <w:t>F</w:t>
      </w:r>
      <w:r w:rsidR="00C20F88">
        <w:t xml:space="preserve">igure </w:t>
      </w:r>
      <w:r w:rsidR="00B039EB">
        <w:t>4</w:t>
      </w:r>
      <w:r w:rsidRPr="001A5EBC">
        <w:t>. The report stated that for the industrial sector globally, around 30%</w:t>
      </w:r>
      <w:r w:rsidR="00B039EB">
        <w:t xml:space="preserve"> </w:t>
      </w:r>
      <w:r w:rsidRPr="001A5EBC">
        <w:t>of</w:t>
      </w:r>
      <w:r w:rsidR="00B039EB">
        <w:t xml:space="preserve"> </w:t>
      </w:r>
      <w:r w:rsidRPr="001A5EBC">
        <w:t>industry decarboni</w:t>
      </w:r>
      <w:r w:rsidR="001A5EBC" w:rsidRPr="001A5EBC">
        <w:t>s</w:t>
      </w:r>
      <w:r w:rsidRPr="001A5EBC">
        <w:t>ation investments could flow from corporations themselves, whil</w:t>
      </w:r>
      <w:r w:rsidR="00B039EB">
        <w:t>st</w:t>
      </w:r>
      <w:r w:rsidRPr="001A5EBC">
        <w:t xml:space="preserve"> government financing might support the development of immature technologies through initial co-investment to help commercialise and reduce costs through deployment (Climate Champions, 2021). Following the methodology of this report</w:t>
      </w:r>
      <w:r w:rsidR="00B039EB">
        <w:t>, i</w:t>
      </w:r>
      <w:r w:rsidRPr="001A5EBC">
        <w:t>t is</w:t>
      </w:r>
      <w:r w:rsidR="00B039EB">
        <w:t xml:space="preserve"> </w:t>
      </w:r>
      <w:r w:rsidRPr="001A5EBC">
        <w:t xml:space="preserve">estimated that the government, including expenditure and funding from development and state-owned financial institutions, would account for </w:t>
      </w:r>
      <w:r w:rsidR="007A5A9F">
        <w:t>20</w:t>
      </w:r>
      <w:r w:rsidRPr="001A5EBC">
        <w:t>% of decarbonisation investments, whil</w:t>
      </w:r>
      <w:r w:rsidR="00B039EB">
        <w:t>st</w:t>
      </w:r>
      <w:r w:rsidRPr="001A5EBC">
        <w:t xml:space="preserve"> around </w:t>
      </w:r>
      <w:r w:rsidR="007A5A9F">
        <w:t>80</w:t>
      </w:r>
      <w:r w:rsidRPr="001A5EBC">
        <w:t>% would come from the private sector</w:t>
      </w:r>
      <w:r w:rsidRPr="001A5EBC">
        <w:rPr>
          <w:rStyle w:val="FootnoteReference"/>
        </w:rPr>
        <w:footnoteReference w:id="2"/>
      </w:r>
      <w:r w:rsidRPr="001A5EBC">
        <w:t>, which includes</w:t>
      </w:r>
      <w:r w:rsidR="00B039EB">
        <w:t>:</w:t>
      </w:r>
      <w:r w:rsidRPr="001A5EBC">
        <w:t xml:space="preserve"> private equity/venture capital, corporations, infrastructure funds, </w:t>
      </w:r>
      <w:r w:rsidR="00B039EB">
        <w:t xml:space="preserve">and </w:t>
      </w:r>
      <w:r w:rsidRPr="001A5EBC">
        <w:t xml:space="preserve">commercial financial institutions as part of the private sector. </w:t>
      </w:r>
    </w:p>
    <w:p w14:paraId="39552AF2" w14:textId="77777777" w:rsidR="00B039EB" w:rsidRDefault="00B039EB" w:rsidP="000163D1">
      <w:pPr>
        <w:pStyle w:val="Caption"/>
      </w:pPr>
    </w:p>
    <w:p w14:paraId="0146143F" w14:textId="77777777" w:rsidR="00B039EB" w:rsidRDefault="00B039EB" w:rsidP="000163D1">
      <w:pPr>
        <w:pStyle w:val="Caption"/>
      </w:pPr>
    </w:p>
    <w:p w14:paraId="61CC460A" w14:textId="77777777" w:rsidR="00B039EB" w:rsidRDefault="00B039EB" w:rsidP="000163D1">
      <w:pPr>
        <w:pStyle w:val="Caption"/>
      </w:pPr>
    </w:p>
    <w:p w14:paraId="63CA3C8F" w14:textId="77777777" w:rsidR="00B039EB" w:rsidRDefault="00B039EB" w:rsidP="000163D1">
      <w:pPr>
        <w:pStyle w:val="Caption"/>
      </w:pPr>
    </w:p>
    <w:p w14:paraId="7AD06BF2" w14:textId="77777777" w:rsidR="00B039EB" w:rsidRDefault="00B039EB" w:rsidP="000163D1">
      <w:pPr>
        <w:pStyle w:val="Caption"/>
      </w:pPr>
    </w:p>
    <w:p w14:paraId="6D674B01" w14:textId="77777777" w:rsidR="00B039EB" w:rsidRDefault="00B039EB" w:rsidP="000163D1">
      <w:pPr>
        <w:pStyle w:val="Caption"/>
      </w:pPr>
    </w:p>
    <w:p w14:paraId="76C8F678" w14:textId="3844AC0A" w:rsidR="000163D1" w:rsidRPr="001A5EBC" w:rsidRDefault="000163D1" w:rsidP="0066224E">
      <w:pPr>
        <w:pStyle w:val="Caption"/>
        <w:jc w:val="center"/>
      </w:pPr>
      <w:r w:rsidRPr="00753CC4">
        <w:rPr>
          <w:b/>
          <w:bCs/>
        </w:rPr>
        <w:t xml:space="preserve">Figure </w:t>
      </w:r>
      <w:r w:rsidR="00B039EB" w:rsidRPr="00753CC4">
        <w:rPr>
          <w:b/>
          <w:bCs/>
        </w:rPr>
        <w:t>4</w:t>
      </w:r>
      <w:r w:rsidRPr="00753CC4">
        <w:rPr>
          <w:b/>
          <w:bCs/>
        </w:rPr>
        <w:t>.</w:t>
      </w:r>
      <w:r w:rsidRPr="001A5EBC">
        <w:t xml:space="preserve"> Adaptation of </w:t>
      </w:r>
      <w:r w:rsidR="00B039EB">
        <w:t>I</w:t>
      </w:r>
      <w:r w:rsidRPr="001A5EBC">
        <w:t xml:space="preserve">nvestment </w:t>
      </w:r>
      <w:r w:rsidR="00B039EB">
        <w:t>D</w:t>
      </w:r>
      <w:r w:rsidRPr="001A5EBC">
        <w:t>istributions of Race to Zero roadmaps to the UK</w:t>
      </w:r>
      <w:r w:rsidR="0066224E">
        <w:t>;</w:t>
      </w:r>
      <w:r w:rsidRPr="001A5EBC">
        <w:t xml:space="preserve"> Annual bn in USD</w:t>
      </w:r>
    </w:p>
    <w:p w14:paraId="7B7FE022" w14:textId="3A951824" w:rsidR="000163D1" w:rsidRPr="001A5EBC" w:rsidRDefault="000163D1" w:rsidP="0066224E">
      <w:pPr>
        <w:pStyle w:val="BodyText"/>
        <w:jc w:val="center"/>
      </w:pPr>
      <w:r w:rsidRPr="001A5EBC">
        <w:rPr>
          <w:noProof/>
        </w:rPr>
        <w:drawing>
          <wp:inline distT="0" distB="0" distL="0" distR="0" wp14:anchorId="04CBE58A" wp14:editId="25D76AF0">
            <wp:extent cx="5779778" cy="4356553"/>
            <wp:effectExtent l="0" t="0" r="0" b="6350"/>
            <wp:docPr id="1241447497" name="Chart 1">
              <a:extLst xmlns:a="http://schemas.openxmlformats.org/drawingml/2006/main">
                <a:ext uri="{FF2B5EF4-FFF2-40B4-BE49-F238E27FC236}">
                  <a16:creationId xmlns:a16="http://schemas.microsoft.com/office/drawing/2014/main" id="{B5B8218C-08C5-5EAC-BCA7-A479226425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8488D95" w14:textId="433EEDFA" w:rsidR="00155C68" w:rsidRPr="001A5EBC" w:rsidRDefault="00155C68" w:rsidP="00155C68">
      <w:pPr>
        <w:pStyle w:val="Heading2"/>
      </w:pPr>
      <w:r w:rsidRPr="001A5EBC">
        <w:t xml:space="preserve">Key </w:t>
      </w:r>
      <w:r w:rsidR="0066224E">
        <w:t>T</w:t>
      </w:r>
      <w:r w:rsidRPr="001A5EBC">
        <w:t>akeaways</w:t>
      </w:r>
    </w:p>
    <w:p w14:paraId="10528094" w14:textId="0BBD9EEF" w:rsidR="000163D1" w:rsidRPr="001A5EBC" w:rsidRDefault="000163D1" w:rsidP="000163D1">
      <w:pPr>
        <w:pStyle w:val="BodyText"/>
        <w:jc w:val="both"/>
      </w:pPr>
      <w:r w:rsidRPr="001A5EBC">
        <w:t xml:space="preserve">By </w:t>
      </w:r>
      <w:r w:rsidRPr="00677F00">
        <w:t xml:space="preserve">considering the adaptations to the UK context of </w:t>
      </w:r>
      <w:r w:rsidRPr="00677F00">
        <w:rPr>
          <w:i/>
          <w:iCs/>
        </w:rPr>
        <w:t>The Race to Zero</w:t>
      </w:r>
      <w:r w:rsidR="004E67B2" w:rsidRPr="00677F00">
        <w:rPr>
          <w:i/>
          <w:iCs/>
        </w:rPr>
        <w:t>:</w:t>
      </w:r>
      <w:r w:rsidR="0066224E" w:rsidRPr="00677F00">
        <w:rPr>
          <w:i/>
          <w:iCs/>
        </w:rPr>
        <w:t xml:space="preserve"> </w:t>
      </w:r>
      <w:r w:rsidRPr="00677F00">
        <w:rPr>
          <w:i/>
          <w:iCs/>
        </w:rPr>
        <w:t>Net Zero Financing Roadmaps</w:t>
      </w:r>
      <w:r w:rsidR="004E67B2" w:rsidRPr="00677F00">
        <w:t xml:space="preserve"> report, </w:t>
      </w:r>
      <w:r w:rsidRPr="00677F00">
        <w:t xml:space="preserve">we consider that </w:t>
      </w:r>
      <w:r w:rsidR="00775214" w:rsidRPr="00677F00">
        <w:t>20</w:t>
      </w:r>
      <w:r w:rsidRPr="00677F00">
        <w:t>% of investments to decarbonise the industrial sector would come from the public sector, whil</w:t>
      </w:r>
      <w:r w:rsidR="0066224E" w:rsidRPr="00677F00">
        <w:t>st</w:t>
      </w:r>
      <w:r w:rsidRPr="00677F00">
        <w:t xml:space="preserve"> the remaining</w:t>
      </w:r>
      <w:r w:rsidRPr="001A5EBC">
        <w:t xml:space="preserve"> </w:t>
      </w:r>
      <w:r w:rsidR="00775214">
        <w:t>80</w:t>
      </w:r>
      <w:r w:rsidRPr="001A5EBC">
        <w:t>% would come from private investors. Although these figures are not specific to the UK, they are consistent with UK studies (Frontier Economics, 2022) which indicate that most funding would come from the private sector.</w:t>
      </w:r>
    </w:p>
    <w:p w14:paraId="481B65BD" w14:textId="1777B24A" w:rsidR="000163D1" w:rsidRPr="001A5EBC" w:rsidRDefault="00775214" w:rsidP="000163D1">
      <w:pPr>
        <w:pStyle w:val="ListBullet"/>
        <w:numPr>
          <w:ilvl w:val="0"/>
          <w:numId w:val="0"/>
        </w:numPr>
        <w:jc w:val="both"/>
      </w:pPr>
      <w:r>
        <w:rPr>
          <w:b/>
          <w:bCs/>
        </w:rPr>
        <w:t>Of the</w:t>
      </w:r>
      <w:r w:rsidR="000163D1" w:rsidRPr="001A5EBC">
        <w:rPr>
          <w:b/>
          <w:bCs/>
        </w:rPr>
        <w:t xml:space="preserve"> £4bn pa of the investments in the industry sector allocated to the North of England, </w:t>
      </w:r>
      <w:r>
        <w:rPr>
          <w:b/>
          <w:bCs/>
        </w:rPr>
        <w:t>we assume</w:t>
      </w:r>
      <w:r w:rsidR="000163D1" w:rsidRPr="001A5EBC">
        <w:rPr>
          <w:b/>
          <w:bCs/>
        </w:rPr>
        <w:t xml:space="preserve"> </w:t>
      </w:r>
      <w:r>
        <w:rPr>
          <w:b/>
          <w:bCs/>
        </w:rPr>
        <w:t>20</w:t>
      </w:r>
      <w:r w:rsidR="000163D1" w:rsidRPr="001A5EBC">
        <w:rPr>
          <w:b/>
          <w:bCs/>
        </w:rPr>
        <w:t>% (£</w:t>
      </w:r>
      <w:r>
        <w:rPr>
          <w:b/>
          <w:bCs/>
        </w:rPr>
        <w:t>0.8</w:t>
      </w:r>
      <w:r w:rsidR="000163D1" w:rsidRPr="001A5EBC">
        <w:rPr>
          <w:b/>
          <w:bCs/>
        </w:rPr>
        <w:t xml:space="preserve">bn) is public investment (primarily to funding publicly owned CCUS and hydrogen infrastructure and grants/tax incentives to accelerate fuel switching) and </w:t>
      </w:r>
      <w:r>
        <w:rPr>
          <w:b/>
          <w:bCs/>
        </w:rPr>
        <w:t>80</w:t>
      </w:r>
      <w:r w:rsidR="000163D1" w:rsidRPr="001A5EBC">
        <w:rPr>
          <w:b/>
          <w:bCs/>
        </w:rPr>
        <w:t>% (£</w:t>
      </w:r>
      <w:r>
        <w:rPr>
          <w:b/>
          <w:bCs/>
        </w:rPr>
        <w:t>3.2</w:t>
      </w:r>
      <w:r w:rsidR="000163D1" w:rsidRPr="001A5EBC">
        <w:rPr>
          <w:b/>
          <w:bCs/>
        </w:rPr>
        <w:t>bn pa) from the private sector.</w:t>
      </w:r>
    </w:p>
    <w:p w14:paraId="4C60F87A" w14:textId="77777777" w:rsidR="0078767B" w:rsidRPr="001A5EBC" w:rsidRDefault="0078767B" w:rsidP="00A9204C">
      <w:pPr>
        <w:pStyle w:val="BodyText"/>
        <w:jc w:val="both"/>
        <w:rPr>
          <w:b/>
          <w:bCs/>
        </w:rPr>
      </w:pPr>
    </w:p>
    <w:p w14:paraId="626C3A02" w14:textId="015DE2A7" w:rsidR="00155C68" w:rsidRPr="001A5EBC" w:rsidRDefault="00155C68" w:rsidP="001E1429">
      <w:pPr>
        <w:pStyle w:val="Heading1"/>
        <w:numPr>
          <w:ilvl w:val="0"/>
          <w:numId w:val="47"/>
        </w:numPr>
      </w:pPr>
      <w:bookmarkStart w:id="9" w:name="_Toc169011866"/>
      <w:r w:rsidRPr="001A5EBC">
        <w:lastRenderedPageBreak/>
        <w:t>Land</w:t>
      </w:r>
      <w:bookmarkEnd w:id="9"/>
      <w:r w:rsidR="0042172C" w:rsidRPr="001A5EBC">
        <w:t xml:space="preserve"> use</w:t>
      </w:r>
    </w:p>
    <w:p w14:paraId="57DAECA1" w14:textId="799F1451" w:rsidR="00155C68" w:rsidRPr="001A5EBC" w:rsidRDefault="00155C68" w:rsidP="00155C68">
      <w:pPr>
        <w:pStyle w:val="Heading2"/>
      </w:pPr>
      <w:r w:rsidRPr="001A5EBC">
        <w:t xml:space="preserve">Evidence </w:t>
      </w:r>
      <w:r w:rsidR="00AC40F2">
        <w:t>R</w:t>
      </w:r>
      <w:r w:rsidRPr="001A5EBC">
        <w:t>eviewed</w:t>
      </w:r>
    </w:p>
    <w:p w14:paraId="50813FEC" w14:textId="6D901FFC" w:rsidR="000163D1" w:rsidRPr="00677F00" w:rsidRDefault="000163D1" w:rsidP="00155E03">
      <w:pPr>
        <w:widowControl/>
        <w:autoSpaceDE/>
        <w:autoSpaceDN/>
        <w:spacing w:before="100" w:beforeAutospacing="1" w:after="100" w:afterAutospacing="1" w:line="240" w:lineRule="auto"/>
        <w:jc w:val="both"/>
      </w:pPr>
      <w:r w:rsidRPr="00677F00">
        <w:t xml:space="preserve">The </w:t>
      </w:r>
      <w:r w:rsidR="00753CC4" w:rsidRPr="00677F00">
        <w:t>A</w:t>
      </w:r>
      <w:r w:rsidRPr="00677F00">
        <w:t xml:space="preserve">griculture, </w:t>
      </w:r>
      <w:r w:rsidR="00753CC4" w:rsidRPr="00677F00">
        <w:t>F</w:t>
      </w:r>
      <w:r w:rsidRPr="00677F00">
        <w:t xml:space="preserve">orestry and </w:t>
      </w:r>
      <w:r w:rsidR="00753CC4" w:rsidRPr="00677F00">
        <w:t>O</w:t>
      </w:r>
      <w:r w:rsidRPr="00677F00">
        <w:t xml:space="preserve">ther </w:t>
      </w:r>
      <w:r w:rsidR="00753CC4" w:rsidRPr="00677F00">
        <w:t>L</w:t>
      </w:r>
      <w:r w:rsidRPr="00677F00">
        <w:t xml:space="preserve">and </w:t>
      </w:r>
      <w:r w:rsidR="00753CC4" w:rsidRPr="00677F00">
        <w:t>U</w:t>
      </w:r>
      <w:r w:rsidRPr="00677F00">
        <w:t>se sector (AFOLU) is composed</w:t>
      </w:r>
      <w:r w:rsidR="00753CC4" w:rsidRPr="00677F00">
        <w:t xml:space="preserve"> of</w:t>
      </w:r>
      <w:r w:rsidRPr="00677F00">
        <w:t xml:space="preserve"> the </w:t>
      </w:r>
      <w:r w:rsidR="00753CC4" w:rsidRPr="00677F00">
        <w:t>a</w:t>
      </w:r>
      <w:r w:rsidRPr="00677F00">
        <w:t xml:space="preserve">griculture sector and the Land </w:t>
      </w:r>
      <w:r w:rsidR="00753CC4" w:rsidRPr="00677F00">
        <w:t>U</w:t>
      </w:r>
      <w:r w:rsidRPr="00677F00">
        <w:t xml:space="preserve">se, </w:t>
      </w:r>
      <w:r w:rsidR="00753CC4" w:rsidRPr="00677F00">
        <w:t>L</w:t>
      </w:r>
      <w:r w:rsidRPr="00677F00">
        <w:t xml:space="preserve">and </w:t>
      </w:r>
      <w:r w:rsidR="00753CC4" w:rsidRPr="00677F00">
        <w:t>U</w:t>
      </w:r>
      <w:r w:rsidRPr="00677F00">
        <w:t xml:space="preserve">se </w:t>
      </w:r>
      <w:r w:rsidR="00753CC4" w:rsidRPr="00677F00">
        <w:t>C</w:t>
      </w:r>
      <w:r w:rsidRPr="00677F00">
        <w:t xml:space="preserve">hange and </w:t>
      </w:r>
      <w:r w:rsidR="00753CC4" w:rsidRPr="00677F00">
        <w:t>F</w:t>
      </w:r>
      <w:r w:rsidRPr="00677F00">
        <w:t>orestry</w:t>
      </w:r>
      <w:r w:rsidR="00753CC4" w:rsidRPr="00677F00">
        <w:t xml:space="preserve"> sector</w:t>
      </w:r>
      <w:r w:rsidRPr="00677F00">
        <w:t xml:space="preserve"> (LULUCF) (Climate and Land Use Alliance, 2014). The agricultural sector is estimated to have been responsible for 11% of greenhouse gas emissions in the UK in 2021, wit</w:t>
      </w:r>
      <w:r w:rsidR="00753CC4" w:rsidRPr="00677F00">
        <w:t>h</w:t>
      </w:r>
      <w:r w:rsidRPr="00677F00">
        <w:t xml:space="preserve"> GHG emissions</w:t>
      </w:r>
      <w:r w:rsidR="00753CC4" w:rsidRPr="00677F00">
        <w:t xml:space="preserve"> around</w:t>
      </w:r>
      <w:r w:rsidRPr="00677F00">
        <w:t xml:space="preserve"> 47 MtCO2</w:t>
      </w:r>
      <w:r w:rsidR="00753CC4" w:rsidRPr="00677F00">
        <w:t xml:space="preserve"> (BEIS, 2023)</w:t>
      </w:r>
      <w:r w:rsidRPr="00677F00">
        <w:t xml:space="preserve">. </w:t>
      </w:r>
      <w:r w:rsidR="00753CC4" w:rsidRPr="00677F00">
        <w:t>T</w:t>
      </w:r>
      <w:r w:rsidRPr="00677F00">
        <w:t>he LULUCF sector had net emissions of 1.1 MtCO2e in 2021 (BEIS</w:t>
      </w:r>
      <w:r w:rsidR="00753CC4" w:rsidRPr="00677F00">
        <w:t>,</w:t>
      </w:r>
      <w:r w:rsidRPr="00677F00">
        <w:t xml:space="preserve"> 2023). </w:t>
      </w:r>
      <w:r w:rsidRPr="00677F00">
        <w:rPr>
          <w:rFonts w:eastAsia="Times New Roman" w:cstheme="minorHAnsi"/>
          <w:lang w:eastAsia="en-GB"/>
        </w:rPr>
        <w:t xml:space="preserve">Achieving the </w:t>
      </w:r>
      <w:r w:rsidR="0073199E" w:rsidRPr="00677F00">
        <w:rPr>
          <w:rFonts w:eastAsia="Times New Roman" w:cstheme="minorHAnsi"/>
          <w:lang w:eastAsia="en-GB"/>
        </w:rPr>
        <w:t>n</w:t>
      </w:r>
      <w:r w:rsidRPr="00677F00">
        <w:rPr>
          <w:rFonts w:eastAsia="Times New Roman" w:cstheme="minorHAnsi"/>
          <w:lang w:eastAsia="en-GB"/>
        </w:rPr>
        <w:t xml:space="preserve">et </w:t>
      </w:r>
      <w:r w:rsidR="0073199E" w:rsidRPr="00677F00">
        <w:rPr>
          <w:rFonts w:eastAsia="Times New Roman" w:cstheme="minorHAnsi"/>
          <w:lang w:eastAsia="en-GB"/>
        </w:rPr>
        <w:t>z</w:t>
      </w:r>
      <w:r w:rsidRPr="00677F00">
        <w:rPr>
          <w:rFonts w:eastAsia="Times New Roman" w:cstheme="minorHAnsi"/>
          <w:lang w:eastAsia="en-GB"/>
        </w:rPr>
        <w:t>ero goal for th</w:t>
      </w:r>
      <w:r w:rsidR="0042172C" w:rsidRPr="00677F00">
        <w:rPr>
          <w:rFonts w:eastAsia="Times New Roman" w:cstheme="minorHAnsi"/>
          <w:lang w:eastAsia="en-GB"/>
        </w:rPr>
        <w:t>ese</w:t>
      </w:r>
      <w:r w:rsidRPr="00677F00">
        <w:rPr>
          <w:rFonts w:eastAsia="Times New Roman" w:cstheme="minorHAnsi"/>
          <w:lang w:eastAsia="en-GB"/>
        </w:rPr>
        <w:t xml:space="preserve"> sector</w:t>
      </w:r>
      <w:r w:rsidR="0042172C" w:rsidRPr="00677F00">
        <w:rPr>
          <w:rFonts w:eastAsia="Times New Roman" w:cstheme="minorHAnsi"/>
          <w:lang w:eastAsia="en-GB"/>
        </w:rPr>
        <w:t>s</w:t>
      </w:r>
      <w:r w:rsidRPr="00677F00">
        <w:rPr>
          <w:rFonts w:eastAsia="Times New Roman" w:cstheme="minorHAnsi"/>
          <w:lang w:eastAsia="en-GB"/>
        </w:rPr>
        <w:t xml:space="preserve"> requires a multifaceted approach, including increasing tree planting, reducing food waste, and cutting down on the consumption of carbon-intensive foods (CCC, 2020). Determining who should bear the greater responsibility for investing in net zero goals and the extent of their intervention creates a dilemma, as there are various actors benefitting from land use and natural resources. Farmers benefit economically from sustainable land use, whil</w:t>
      </w:r>
      <w:r w:rsidR="00753CC4" w:rsidRPr="00677F00">
        <w:rPr>
          <w:rFonts w:eastAsia="Times New Roman" w:cstheme="minorHAnsi"/>
          <w:lang w:eastAsia="en-GB"/>
        </w:rPr>
        <w:t>st</w:t>
      </w:r>
      <w:r w:rsidRPr="00677F00">
        <w:rPr>
          <w:rFonts w:eastAsia="Times New Roman" w:cstheme="minorHAnsi"/>
          <w:lang w:eastAsia="en-GB"/>
        </w:rPr>
        <w:t xml:space="preserve"> governments are tasked with ensuring broader societal benefits associated with the sustainable management of natural habitats (i.e., encompassing benefits such as recreational spaces, improved air quality, and flood risk mitigation).</w:t>
      </w:r>
    </w:p>
    <w:p w14:paraId="097E2837" w14:textId="77777777" w:rsidR="000163D1" w:rsidRPr="00677F00" w:rsidRDefault="000163D1" w:rsidP="000163D1">
      <w:pPr>
        <w:widowControl/>
        <w:autoSpaceDE/>
        <w:autoSpaceDN/>
        <w:spacing w:before="100" w:beforeAutospacing="1" w:after="100" w:afterAutospacing="1" w:line="240" w:lineRule="auto"/>
        <w:jc w:val="both"/>
        <w:rPr>
          <w:rFonts w:eastAsia="Times New Roman" w:cstheme="minorHAnsi"/>
          <w:lang w:eastAsia="en-GB"/>
        </w:rPr>
      </w:pPr>
      <w:r w:rsidRPr="00677F00">
        <w:rPr>
          <w:rFonts w:eastAsia="Times New Roman" w:cstheme="minorHAnsi"/>
          <w:lang w:eastAsia="en-GB"/>
        </w:rPr>
        <w:t>A report by the Climate Change Committee analysing the Sixth Carbon Budget in the UK suggests that measures aimed at reducing land-based emissions in the Balanced Net Zero Pathway</w:t>
      </w:r>
      <w:r w:rsidRPr="00677F00">
        <w:rPr>
          <w:rStyle w:val="FootnoteReference"/>
          <w:rFonts w:cstheme="minorHAnsi"/>
        </w:rPr>
        <w:footnoteReference w:id="3"/>
      </w:r>
      <w:r w:rsidRPr="00677F00">
        <w:rPr>
          <w:rFonts w:eastAsia="Times New Roman" w:cstheme="minorHAnsi"/>
          <w:lang w:eastAsia="en-GB"/>
        </w:rPr>
        <w:t>, such as afforestation, peatland restoration, bioenergy crops, agroforestry, and hedges, are often not cost-effective for farmers or land managers (CCC, 2020). The private costs of these measures tend to outweigh the private benefits and often involve high upfront costs (CCC, 2020). This finding aligns with a United Nations Environment Programme report estimating that total annual finance flows to Nature-based Solutions</w:t>
      </w:r>
      <w:r w:rsidRPr="00677F00">
        <w:rPr>
          <w:rStyle w:val="FootnoteReference"/>
          <w:rFonts w:eastAsia="Times New Roman" w:cstheme="minorHAnsi"/>
          <w:lang w:eastAsia="en-GB"/>
        </w:rPr>
        <w:footnoteReference w:id="4"/>
      </w:r>
      <w:r w:rsidRPr="00677F00">
        <w:rPr>
          <w:rFonts w:eastAsia="Times New Roman" w:cstheme="minorHAnsi"/>
          <w:lang w:eastAsia="en-GB"/>
        </w:rPr>
        <w:t xml:space="preserve"> (NbS) in 2022 were approximately US$200bn [£157 billion], with public finance constituting 82% (US$165 billion) [£129.6 billion] and private finance making up a modest 18% (US$35bn) [£27.4 billion] worldwide (UNEP, 2023).</w:t>
      </w:r>
    </w:p>
    <w:p w14:paraId="76EE007E" w14:textId="30A24602" w:rsidR="679B7461" w:rsidRDefault="000163D1" w:rsidP="0B1B7285">
      <w:pPr>
        <w:widowControl/>
        <w:spacing w:beforeAutospacing="1" w:afterAutospacing="1" w:line="240" w:lineRule="auto"/>
        <w:jc w:val="both"/>
        <w:rPr>
          <w:rFonts w:eastAsia="Times New Roman"/>
          <w:lang w:eastAsia="en-GB"/>
        </w:rPr>
      </w:pPr>
      <w:r w:rsidRPr="00677F00">
        <w:rPr>
          <w:rFonts w:eastAsia="Times New Roman"/>
          <w:lang w:eastAsia="en-GB"/>
        </w:rPr>
        <w:t>Furthermore, one of the Glasgow Financial Alliance for Net Zero’s case studies about a forest, mangrove, and peatland restoration project in Central and South America</w:t>
      </w:r>
      <w:r w:rsidR="004E67B2" w:rsidRPr="00677F00">
        <w:rPr>
          <w:rFonts w:eastAsia="Times New Roman"/>
          <w:lang w:eastAsia="en-GB"/>
        </w:rPr>
        <w:t xml:space="preserve"> </w:t>
      </w:r>
      <w:r w:rsidRPr="00677F00">
        <w:rPr>
          <w:rFonts w:eastAsia="Times New Roman"/>
          <w:lang w:eastAsia="en-GB"/>
        </w:rPr>
        <w:t xml:space="preserve">shows that average investment is projected to be approximately 60% from the public sector and 40% from the private sector through a carbon offsetting market, between 2021 and 2040 (UNFCC,2022) (see Figure </w:t>
      </w:r>
      <w:r w:rsidR="004E67B2" w:rsidRPr="00677F00">
        <w:rPr>
          <w:rFonts w:eastAsia="Times New Roman"/>
          <w:lang w:eastAsia="en-GB"/>
        </w:rPr>
        <w:t>5.</w:t>
      </w:r>
      <w:r w:rsidRPr="00677F00">
        <w:rPr>
          <w:rFonts w:eastAsia="Times New Roman"/>
          <w:lang w:eastAsia="en-GB"/>
        </w:rPr>
        <w:t>). In addition</w:t>
      </w:r>
      <w:r w:rsidRPr="001A5EBC">
        <w:rPr>
          <w:rFonts w:eastAsia="Times New Roman"/>
          <w:lang w:eastAsia="en-GB"/>
        </w:rPr>
        <w:t>, a report made by the UK Infrastructure Bank suggests that only around 10% of total investment in nature will be covered by the private sector between now and 2050 (UKBI,</w:t>
      </w:r>
      <w:r w:rsidR="004E67B2">
        <w:rPr>
          <w:rFonts w:eastAsia="Times New Roman"/>
          <w:lang w:eastAsia="en-GB"/>
        </w:rPr>
        <w:t xml:space="preserve"> </w:t>
      </w:r>
      <w:r w:rsidRPr="001A5EBC">
        <w:rPr>
          <w:rFonts w:eastAsia="Times New Roman"/>
          <w:lang w:eastAsia="en-GB"/>
        </w:rPr>
        <w:t xml:space="preserve">2022). </w:t>
      </w:r>
    </w:p>
    <w:p w14:paraId="11C6EB7B" w14:textId="77777777" w:rsidR="004E67B2" w:rsidRDefault="004E67B2" w:rsidP="0B1B7285">
      <w:pPr>
        <w:widowControl/>
        <w:spacing w:beforeAutospacing="1" w:afterAutospacing="1" w:line="240" w:lineRule="auto"/>
        <w:jc w:val="both"/>
        <w:rPr>
          <w:rFonts w:eastAsia="Times New Roman"/>
          <w:lang w:eastAsia="en-GB"/>
        </w:rPr>
      </w:pPr>
    </w:p>
    <w:p w14:paraId="38F6A0C2" w14:textId="77777777" w:rsidR="004E67B2" w:rsidRDefault="004E67B2" w:rsidP="0B1B7285">
      <w:pPr>
        <w:widowControl/>
        <w:spacing w:beforeAutospacing="1" w:afterAutospacing="1" w:line="240" w:lineRule="auto"/>
        <w:jc w:val="both"/>
        <w:rPr>
          <w:rFonts w:eastAsia="Times New Roman"/>
          <w:lang w:eastAsia="en-GB"/>
        </w:rPr>
      </w:pPr>
    </w:p>
    <w:p w14:paraId="5FCED4B8" w14:textId="77777777" w:rsidR="004E67B2" w:rsidRDefault="004E67B2" w:rsidP="0B1B7285">
      <w:pPr>
        <w:widowControl/>
        <w:spacing w:beforeAutospacing="1" w:afterAutospacing="1" w:line="240" w:lineRule="auto"/>
        <w:jc w:val="both"/>
        <w:rPr>
          <w:rFonts w:eastAsia="Times New Roman"/>
          <w:lang w:eastAsia="en-GB"/>
        </w:rPr>
      </w:pPr>
    </w:p>
    <w:p w14:paraId="10C0FB82" w14:textId="77777777" w:rsidR="004E67B2" w:rsidRDefault="004E67B2" w:rsidP="0B1B7285">
      <w:pPr>
        <w:widowControl/>
        <w:spacing w:beforeAutospacing="1" w:afterAutospacing="1" w:line="240" w:lineRule="auto"/>
        <w:jc w:val="both"/>
        <w:rPr>
          <w:rFonts w:eastAsia="Times New Roman"/>
          <w:lang w:eastAsia="en-GB"/>
        </w:rPr>
      </w:pPr>
    </w:p>
    <w:p w14:paraId="23AB869D" w14:textId="77777777" w:rsidR="004E67B2" w:rsidRPr="001A5EBC" w:rsidRDefault="004E67B2" w:rsidP="0B1B7285">
      <w:pPr>
        <w:widowControl/>
        <w:spacing w:beforeAutospacing="1" w:afterAutospacing="1" w:line="240" w:lineRule="auto"/>
        <w:jc w:val="both"/>
        <w:rPr>
          <w:rFonts w:ascii="Arial" w:eastAsia="Arial" w:hAnsi="Arial" w:cs="Arial"/>
        </w:rPr>
      </w:pPr>
    </w:p>
    <w:p w14:paraId="009AFBBC" w14:textId="0AA16ACF" w:rsidR="004B4E50" w:rsidRPr="001A5EBC" w:rsidRDefault="00DE3099" w:rsidP="0005341E">
      <w:pPr>
        <w:pStyle w:val="Caption"/>
        <w:jc w:val="center"/>
        <w:rPr>
          <w:rFonts w:eastAsia="Times New Roman" w:cstheme="minorHAnsi"/>
          <w:lang w:eastAsia="en-GB"/>
        </w:rPr>
      </w:pPr>
      <w:r w:rsidRPr="00762C0A">
        <w:rPr>
          <w:b/>
          <w:bCs/>
        </w:rPr>
        <w:lastRenderedPageBreak/>
        <w:t xml:space="preserve">Figure </w:t>
      </w:r>
      <w:r w:rsidR="004E67B2" w:rsidRPr="00762C0A">
        <w:rPr>
          <w:b/>
          <w:bCs/>
        </w:rPr>
        <w:t>5</w:t>
      </w:r>
      <w:r w:rsidRPr="001A5EBC">
        <w:t xml:space="preserve">. </w:t>
      </w:r>
      <w:r w:rsidR="00ED75D3" w:rsidRPr="001A5EBC">
        <w:t xml:space="preserve">Evidence </w:t>
      </w:r>
      <w:r w:rsidR="004E67B2">
        <w:t>R</w:t>
      </w:r>
      <w:r w:rsidR="00ED75D3" w:rsidRPr="001A5EBC">
        <w:t>e</w:t>
      </w:r>
      <w:r w:rsidR="0005341E" w:rsidRPr="001A5EBC">
        <w:t>v</w:t>
      </w:r>
      <w:r w:rsidR="00ED75D3" w:rsidRPr="001A5EBC">
        <w:t>ie</w:t>
      </w:r>
      <w:r w:rsidR="004E67B2">
        <w:t>we</w:t>
      </w:r>
      <w:r w:rsidR="00ED75D3" w:rsidRPr="001A5EBC">
        <w:t>d on</w:t>
      </w:r>
      <w:r w:rsidR="004E67B2">
        <w:t xml:space="preserve"> P</w:t>
      </w:r>
      <w:r w:rsidR="00ED75D3" w:rsidRPr="001A5EBC">
        <w:t xml:space="preserve">ublic and </w:t>
      </w:r>
      <w:r w:rsidR="004E67B2">
        <w:t>P</w:t>
      </w:r>
      <w:r w:rsidR="00ED75D3" w:rsidRPr="001A5EBC">
        <w:t xml:space="preserve">rivate </w:t>
      </w:r>
      <w:r w:rsidR="004E67B2">
        <w:t>F</w:t>
      </w:r>
      <w:r w:rsidR="00ED75D3" w:rsidRPr="001A5EBC">
        <w:t>inances</w:t>
      </w:r>
      <w:r w:rsidR="00285EB1" w:rsidRPr="001A5EBC">
        <w:t xml:space="preserve"> </w:t>
      </w:r>
      <w:r w:rsidR="006C5A08" w:rsidRPr="001A5EBC">
        <w:t>in the GFANZ</w:t>
      </w:r>
      <w:r w:rsidR="00285EB1" w:rsidRPr="001A5EBC">
        <w:t xml:space="preserve"> Financing Roadmaps</w:t>
      </w:r>
    </w:p>
    <w:p w14:paraId="2FB5D612" w14:textId="3DA3E0AD" w:rsidR="001544F6" w:rsidRPr="001A5EBC" w:rsidRDefault="00493EDB" w:rsidP="00D51FAC">
      <w:pPr>
        <w:widowControl/>
        <w:autoSpaceDE/>
        <w:autoSpaceDN/>
        <w:spacing w:before="100" w:beforeAutospacing="1" w:after="100" w:afterAutospacing="1" w:line="240" w:lineRule="auto"/>
        <w:jc w:val="center"/>
        <w:rPr>
          <w:rFonts w:eastAsia="Times New Roman" w:cstheme="minorHAnsi"/>
          <w:lang w:eastAsia="en-GB"/>
        </w:rPr>
      </w:pPr>
      <w:r w:rsidRPr="001A5EBC">
        <w:rPr>
          <w:noProof/>
        </w:rPr>
        <w:drawing>
          <wp:inline distT="0" distB="0" distL="0" distR="0" wp14:anchorId="54CBCE27" wp14:editId="5A63BC45">
            <wp:extent cx="1696720" cy="2172345"/>
            <wp:effectExtent l="0" t="0" r="0" b="0"/>
            <wp:docPr id="6061848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84827" name="Picture 1" descr="A screenshot of a computer&#10;&#10;Description automatically generated"/>
                    <pic:cNvPicPr/>
                  </pic:nvPicPr>
                  <pic:blipFill rotWithShape="1">
                    <a:blip r:embed="rId44"/>
                    <a:srcRect l="17344" t="23661" r="57666" b="28343"/>
                    <a:stretch/>
                  </pic:blipFill>
                  <pic:spPr bwMode="auto">
                    <a:xfrm>
                      <a:off x="0" y="0"/>
                      <a:ext cx="1704080" cy="2181768"/>
                    </a:xfrm>
                    <a:prstGeom prst="rect">
                      <a:avLst/>
                    </a:prstGeom>
                    <a:ln>
                      <a:noFill/>
                    </a:ln>
                    <a:extLst>
                      <a:ext uri="{53640926-AAD7-44D8-BBD7-CCE9431645EC}">
                        <a14:shadowObscured xmlns:a14="http://schemas.microsoft.com/office/drawing/2010/main"/>
                      </a:ext>
                    </a:extLst>
                  </pic:spPr>
                </pic:pic>
              </a:graphicData>
            </a:graphic>
          </wp:inline>
        </w:drawing>
      </w:r>
      <w:r w:rsidR="00637658" w:rsidRPr="001A5EBC">
        <w:rPr>
          <w:noProof/>
        </w:rPr>
        <w:drawing>
          <wp:inline distT="0" distB="0" distL="0" distR="0" wp14:anchorId="0C247A92" wp14:editId="6F69A686">
            <wp:extent cx="1627537" cy="2168923"/>
            <wp:effectExtent l="0" t="0" r="0" b="3175"/>
            <wp:docPr id="9969464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946432" name="Picture 1" descr="A screenshot of a computer&#10;&#10;Description automatically generated"/>
                    <pic:cNvPicPr/>
                  </pic:nvPicPr>
                  <pic:blipFill rotWithShape="1">
                    <a:blip r:embed="rId45"/>
                    <a:srcRect l="16883" t="24078" r="59768" b="29248"/>
                    <a:stretch/>
                  </pic:blipFill>
                  <pic:spPr bwMode="auto">
                    <a:xfrm>
                      <a:off x="0" y="0"/>
                      <a:ext cx="1631225" cy="2173838"/>
                    </a:xfrm>
                    <a:prstGeom prst="rect">
                      <a:avLst/>
                    </a:prstGeom>
                    <a:ln>
                      <a:noFill/>
                    </a:ln>
                    <a:extLst>
                      <a:ext uri="{53640926-AAD7-44D8-BBD7-CCE9431645EC}">
                        <a14:shadowObscured xmlns:a14="http://schemas.microsoft.com/office/drawing/2010/main"/>
                      </a:ext>
                    </a:extLst>
                  </pic:spPr>
                </pic:pic>
              </a:graphicData>
            </a:graphic>
          </wp:inline>
        </w:drawing>
      </w:r>
      <w:r w:rsidR="00D51FAC" w:rsidRPr="001A5EBC">
        <w:rPr>
          <w:noProof/>
        </w:rPr>
        <w:drawing>
          <wp:inline distT="0" distB="0" distL="0" distR="0" wp14:anchorId="42F6CD09" wp14:editId="571F0515">
            <wp:extent cx="1706880" cy="2175360"/>
            <wp:effectExtent l="0" t="0" r="7620" b="0"/>
            <wp:docPr id="19525955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95574" name="Picture 1" descr="A screenshot of a computer&#10;&#10;Description automatically generated"/>
                    <pic:cNvPicPr/>
                  </pic:nvPicPr>
                  <pic:blipFill rotWithShape="1">
                    <a:blip r:embed="rId46"/>
                    <a:srcRect l="16050" t="23938" r="59126" b="28603"/>
                    <a:stretch/>
                  </pic:blipFill>
                  <pic:spPr bwMode="auto">
                    <a:xfrm>
                      <a:off x="0" y="0"/>
                      <a:ext cx="1729429" cy="2204097"/>
                    </a:xfrm>
                    <a:prstGeom prst="rect">
                      <a:avLst/>
                    </a:prstGeom>
                    <a:ln>
                      <a:noFill/>
                    </a:ln>
                    <a:extLst>
                      <a:ext uri="{53640926-AAD7-44D8-BBD7-CCE9431645EC}">
                        <a14:shadowObscured xmlns:a14="http://schemas.microsoft.com/office/drawing/2010/main"/>
                      </a:ext>
                    </a:extLst>
                  </pic:spPr>
                </pic:pic>
              </a:graphicData>
            </a:graphic>
          </wp:inline>
        </w:drawing>
      </w:r>
    </w:p>
    <w:p w14:paraId="39FBF7E5" w14:textId="71554A84" w:rsidR="4D76C34A" w:rsidRPr="001A5EBC" w:rsidRDefault="00CC6D59" w:rsidP="003A7A44">
      <w:pPr>
        <w:widowControl/>
        <w:autoSpaceDE/>
        <w:autoSpaceDN/>
        <w:spacing w:before="100" w:beforeAutospacing="1" w:after="100" w:afterAutospacing="1" w:line="240" w:lineRule="auto"/>
        <w:jc w:val="center"/>
        <w:rPr>
          <w:rFonts w:eastAsia="Times New Roman"/>
          <w:lang w:eastAsia="en-GB"/>
        </w:rPr>
      </w:pPr>
      <w:r w:rsidRPr="001A5EBC">
        <w:rPr>
          <w:rFonts w:eastAsia="Times New Roman"/>
          <w:sz w:val="16"/>
          <w:szCs w:val="16"/>
          <w:lang w:eastAsia="en-GB"/>
        </w:rPr>
        <w:t xml:space="preserve">Source: </w:t>
      </w:r>
      <w:r w:rsidR="00FE0A24" w:rsidRPr="001A5EBC">
        <w:rPr>
          <w:rFonts w:eastAsia="Times New Roman"/>
          <w:sz w:val="16"/>
          <w:szCs w:val="16"/>
          <w:lang w:eastAsia="en-GB"/>
        </w:rPr>
        <w:t xml:space="preserve">Glasgow Financial </w:t>
      </w:r>
      <w:r w:rsidR="0005341E" w:rsidRPr="001A5EBC">
        <w:rPr>
          <w:rFonts w:eastAsia="Times New Roman"/>
          <w:sz w:val="16"/>
          <w:szCs w:val="16"/>
          <w:lang w:eastAsia="en-GB"/>
        </w:rPr>
        <w:t xml:space="preserve">Alliance for </w:t>
      </w:r>
      <w:r w:rsidR="00FB3932" w:rsidRPr="001A5EBC">
        <w:rPr>
          <w:rFonts w:eastAsia="Times New Roman"/>
          <w:sz w:val="16"/>
          <w:szCs w:val="16"/>
          <w:lang w:eastAsia="en-GB"/>
        </w:rPr>
        <w:t>Net zero</w:t>
      </w:r>
      <w:r w:rsidR="0005341E" w:rsidRPr="001A5EBC">
        <w:rPr>
          <w:rFonts w:eastAsia="Times New Roman"/>
          <w:sz w:val="16"/>
          <w:szCs w:val="16"/>
          <w:lang w:eastAsia="en-GB"/>
        </w:rPr>
        <w:t>.</w:t>
      </w:r>
    </w:p>
    <w:p w14:paraId="2A854221" w14:textId="495C8928" w:rsidR="000163D1" w:rsidRPr="004E67B2" w:rsidRDefault="000163D1" w:rsidP="000163D1">
      <w:pPr>
        <w:pStyle w:val="BodyText"/>
        <w:jc w:val="both"/>
        <w:rPr>
          <w:rFonts w:eastAsia="Arial" w:cs="Arial"/>
        </w:rPr>
      </w:pPr>
      <w:r w:rsidRPr="00677F00">
        <w:rPr>
          <w:rFonts w:eastAsia="Times New Roman"/>
          <w:lang w:eastAsia="en-GB"/>
        </w:rPr>
        <w:t xml:space="preserve">However, </w:t>
      </w:r>
      <w:r w:rsidRPr="00677F00">
        <w:rPr>
          <w:rFonts w:eastAsia="Times New Roman"/>
          <w:i/>
          <w:iCs/>
          <w:lang w:eastAsia="en-GB"/>
        </w:rPr>
        <w:t>The Race to Zero: Net Zero Roadmaps</w:t>
      </w:r>
      <w:r w:rsidRPr="00677F00">
        <w:rPr>
          <w:rFonts w:eastAsia="Times New Roman"/>
          <w:lang w:eastAsia="en-GB"/>
        </w:rPr>
        <w:t xml:space="preserve"> report </w:t>
      </w:r>
      <w:r w:rsidR="004E67B2" w:rsidRPr="00677F00">
        <w:rPr>
          <w:rFonts w:eastAsia="Times New Roman"/>
          <w:lang w:eastAsia="en-GB"/>
        </w:rPr>
        <w:t xml:space="preserve">presents </w:t>
      </w:r>
      <w:r w:rsidRPr="00677F00">
        <w:rPr>
          <w:rFonts w:eastAsia="Times New Roman"/>
          <w:lang w:eastAsia="en-GB"/>
        </w:rPr>
        <w:t>a countervailing viewpoint</w:t>
      </w:r>
      <w:r w:rsidR="004E67B2" w:rsidRPr="00677F00">
        <w:rPr>
          <w:rFonts w:eastAsia="Times New Roman"/>
          <w:lang w:eastAsia="en-GB"/>
        </w:rPr>
        <w:t>; it s</w:t>
      </w:r>
      <w:r w:rsidRPr="00677F00">
        <w:rPr>
          <w:rFonts w:eastAsia="Times New Roman"/>
          <w:lang w:eastAsia="en-GB"/>
        </w:rPr>
        <w:t>uggest</w:t>
      </w:r>
      <w:r w:rsidR="004E67B2" w:rsidRPr="00677F00">
        <w:rPr>
          <w:rFonts w:eastAsia="Times New Roman"/>
          <w:lang w:eastAsia="en-GB"/>
        </w:rPr>
        <w:t>s</w:t>
      </w:r>
      <w:r w:rsidRPr="00677F00">
        <w:rPr>
          <w:rFonts w:eastAsia="Times New Roman"/>
          <w:lang w:eastAsia="en-GB"/>
        </w:rPr>
        <w:t xml:space="preserve"> that c</w:t>
      </w:r>
      <w:r w:rsidRPr="00677F00">
        <w:rPr>
          <w:rFonts w:eastAsia="Arial" w:cs="Arial"/>
        </w:rPr>
        <w:t>orporations, including agri-food companies, could actually</w:t>
      </w:r>
      <w:r w:rsidRPr="004E67B2">
        <w:rPr>
          <w:rFonts w:eastAsia="Arial" w:cs="Arial"/>
        </w:rPr>
        <w:t xml:space="preserve"> provide over 50% of global investments and be very active in financing the decarbonisation of agriculture particularly, and that a range of corporates and land owners may invest in nature-based offsets.</w:t>
      </w:r>
    </w:p>
    <w:p w14:paraId="1441BCD7" w14:textId="40D3466A" w:rsidR="00155C68" w:rsidRPr="001A5EBC" w:rsidRDefault="00155C68" w:rsidP="00155C68">
      <w:pPr>
        <w:pStyle w:val="Heading2"/>
      </w:pPr>
      <w:r w:rsidRPr="001A5EBC">
        <w:t xml:space="preserve">Key </w:t>
      </w:r>
      <w:r w:rsidR="00BE4CF1">
        <w:t>T</w:t>
      </w:r>
      <w:r w:rsidRPr="001A5EBC">
        <w:t>akeaways</w:t>
      </w:r>
    </w:p>
    <w:p w14:paraId="57E881BD" w14:textId="0374EA3B" w:rsidR="000163D1" w:rsidRPr="001A5EBC" w:rsidRDefault="00BB3451" w:rsidP="000163D1">
      <w:pPr>
        <w:pStyle w:val="BodyText"/>
        <w:jc w:val="both"/>
      </w:pPr>
      <w:r>
        <w:t xml:space="preserve">Some reports </w:t>
      </w:r>
      <w:r w:rsidR="004E67B2">
        <w:t xml:space="preserve">have </w:t>
      </w:r>
      <w:r>
        <w:t xml:space="preserve">suggested </w:t>
      </w:r>
      <w:r w:rsidR="000F44DB">
        <w:t xml:space="preserve">that </w:t>
      </w:r>
      <w:r>
        <w:t xml:space="preserve">slightly more public sector funding would be required than private sector, and other reports </w:t>
      </w:r>
      <w:r w:rsidR="00BE4CF1">
        <w:t xml:space="preserve">have </w:t>
      </w:r>
      <w:r>
        <w:t xml:space="preserve">reversed this. </w:t>
      </w:r>
      <w:r w:rsidR="000163D1" w:rsidRPr="001A5EBC">
        <w:t xml:space="preserve">Even though we did not find UK specific data sources, by calculating an average of the suggested splits between the public and private sectors in the reviewed literature, on balance we think </w:t>
      </w:r>
      <w:r w:rsidR="00053D4D">
        <w:t>50</w:t>
      </w:r>
      <w:r w:rsidR="000163D1" w:rsidRPr="001A5EBC">
        <w:t>% of investment in decarbonising the land use sector</w:t>
      </w:r>
      <w:r w:rsidR="00BE4CF1">
        <w:t xml:space="preserve"> </w:t>
      </w:r>
      <w:r w:rsidR="000163D1" w:rsidRPr="001A5EBC">
        <w:t xml:space="preserve">would come from public funding and the remaining </w:t>
      </w:r>
      <w:r w:rsidR="00053D4D">
        <w:t>50</w:t>
      </w:r>
      <w:r w:rsidR="000163D1" w:rsidRPr="001A5EBC">
        <w:t xml:space="preserve">% from the private sector. </w:t>
      </w:r>
    </w:p>
    <w:p w14:paraId="0DC60202" w14:textId="34FA8736" w:rsidR="000163D1" w:rsidRPr="00BE4CF1" w:rsidRDefault="000163D1" w:rsidP="000163D1">
      <w:pPr>
        <w:pStyle w:val="BodyText"/>
        <w:jc w:val="both"/>
        <w:rPr>
          <w:b/>
          <w:bCs/>
        </w:rPr>
      </w:pPr>
      <w:r w:rsidRPr="00BE4CF1">
        <w:rPr>
          <w:b/>
          <w:bCs/>
        </w:rPr>
        <w:t xml:space="preserve">We assume £1bn pa of investments for decarbonising the land use sector are allocated to the North of England, of which </w:t>
      </w:r>
      <w:r w:rsidR="00053D4D" w:rsidRPr="00BE4CF1">
        <w:rPr>
          <w:b/>
          <w:bCs/>
        </w:rPr>
        <w:t>50</w:t>
      </w:r>
      <w:r w:rsidRPr="00BE4CF1">
        <w:rPr>
          <w:b/>
          <w:bCs/>
        </w:rPr>
        <w:t xml:space="preserve">% (£0.5bn) is public investment (primarily in directly funding environmental restoration and grants to encourage sustainable land use practices) and the remaining </w:t>
      </w:r>
      <w:r w:rsidR="00053D4D" w:rsidRPr="00BE4CF1">
        <w:rPr>
          <w:b/>
          <w:bCs/>
        </w:rPr>
        <w:t>50</w:t>
      </w:r>
      <w:r w:rsidRPr="00BE4CF1">
        <w:rPr>
          <w:b/>
          <w:bCs/>
        </w:rPr>
        <w:t>% (£0.5 bn, primarily in sustainable agriculture and offsetting) would be private investment.</w:t>
      </w:r>
    </w:p>
    <w:p w14:paraId="05E8D334" w14:textId="77777777" w:rsidR="00155C68" w:rsidRPr="001A5EBC" w:rsidRDefault="00155C68" w:rsidP="00155C68">
      <w:pPr>
        <w:pStyle w:val="BodyText"/>
      </w:pPr>
    </w:p>
    <w:bookmarkStart w:id="10" w:name="_Toc169011867"/>
    <w:p w14:paraId="19C8E301" w14:textId="4016F22C" w:rsidR="000900F5" w:rsidRPr="001A5EBC" w:rsidRDefault="008A3865" w:rsidP="001E1429">
      <w:pPr>
        <w:pStyle w:val="Heading1"/>
        <w:numPr>
          <w:ilvl w:val="0"/>
          <w:numId w:val="47"/>
        </w:numPr>
      </w:pPr>
      <w:r w:rsidRPr="001A5EBC">
        <w:rPr>
          <w:noProof/>
        </w:rPr>
        <w:lastRenderedPageBreak/>
        <mc:AlternateContent>
          <mc:Choice Requires="wpg">
            <w:drawing>
              <wp:anchor distT="0" distB="0" distL="114300" distR="114300" simplePos="0" relativeHeight="251657230" behindDoc="0" locked="0" layoutInCell="1" allowOverlap="1" wp14:anchorId="349FE9DA" wp14:editId="38F0E0E6">
                <wp:simplePos x="0" y="0"/>
                <wp:positionH relativeFrom="page">
                  <wp:align>left</wp:align>
                </wp:positionH>
                <wp:positionV relativeFrom="paragraph">
                  <wp:posOffset>781887</wp:posOffset>
                </wp:positionV>
                <wp:extent cx="7019925" cy="1643865"/>
                <wp:effectExtent l="0" t="0" r="9525" b="13970"/>
                <wp:wrapNone/>
                <wp:docPr id="1465676311" name="Group 12"/>
                <wp:cNvGraphicFramePr/>
                <a:graphic xmlns:a="http://schemas.openxmlformats.org/drawingml/2006/main">
                  <a:graphicData uri="http://schemas.microsoft.com/office/word/2010/wordprocessingGroup">
                    <wpg:wgp>
                      <wpg:cNvGrpSpPr/>
                      <wpg:grpSpPr>
                        <a:xfrm>
                          <a:off x="0" y="0"/>
                          <a:ext cx="7019925" cy="1643865"/>
                          <a:chOff x="0" y="0"/>
                          <a:chExt cx="7020000" cy="1198800"/>
                        </a:xfrm>
                      </wpg:grpSpPr>
                      <wps:wsp>
                        <wps:cNvPr id="1005512662" name="Rectangle 9"/>
                        <wps:cNvSpPr/>
                        <wps:spPr>
                          <a:xfrm>
                            <a:off x="0" y="0"/>
                            <a:ext cx="7020000" cy="11988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704135" name="Text Box 10"/>
                        <wps:cNvSpPr txBox="1"/>
                        <wps:spPr>
                          <a:xfrm>
                            <a:off x="393405" y="159489"/>
                            <a:ext cx="554355" cy="762635"/>
                          </a:xfrm>
                          <a:prstGeom prst="callout1">
                            <a:avLst>
                              <a:gd name="adj1" fmla="val -182"/>
                              <a:gd name="adj2" fmla="val 100186"/>
                              <a:gd name="adj3" fmla="val 100614"/>
                              <a:gd name="adj4" fmla="val 99739"/>
                            </a:avLst>
                          </a:prstGeom>
                          <a:noFill/>
                          <a:ln w="6350">
                            <a:solidFill>
                              <a:schemeClr val="bg1"/>
                            </a:solidFill>
                          </a:ln>
                        </wps:spPr>
                        <wps:txbx>
                          <w:txbxContent>
                            <w:p w14:paraId="5757F4EA" w14:textId="77777777" w:rsidR="000900F5" w:rsidRPr="001A5EBC" w:rsidRDefault="000900F5" w:rsidP="000900F5">
                              <w:pPr>
                                <w:jc w:val="right"/>
                                <w:rPr>
                                  <w:rFonts w:asciiTheme="majorHAnsi" w:hAnsiTheme="majorHAnsi"/>
                                  <w:b/>
                                  <w:bCs/>
                                  <w:color w:val="FFFFFF" w:themeColor="background1"/>
                                  <w:sz w:val="80"/>
                                  <w:szCs w:val="80"/>
                                </w:rPr>
                              </w:pPr>
                              <w:r w:rsidRPr="001A5EBC">
                                <w:rPr>
                                  <w:rFonts w:asciiTheme="majorHAnsi" w:hAnsiTheme="majorHAnsi"/>
                                  <w:b/>
                                  <w:bCs/>
                                  <w:color w:val="FFFFFF" w:themeColor="background1"/>
                                  <w:sz w:val="80"/>
                                  <w:szCs w:val="8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892655" name="Text Box 11"/>
                        <wps:cNvSpPr txBox="1"/>
                        <wps:spPr>
                          <a:xfrm>
                            <a:off x="1105786" y="138160"/>
                            <a:ext cx="5472000" cy="1060244"/>
                          </a:xfrm>
                          <a:prstGeom prst="rect">
                            <a:avLst/>
                          </a:prstGeom>
                          <a:noFill/>
                          <a:ln w="6350">
                            <a:noFill/>
                          </a:ln>
                        </wps:spPr>
                        <wps:txbx>
                          <w:txbxContent>
                            <w:p w14:paraId="645B906B" w14:textId="77777777" w:rsidR="000900F5" w:rsidRPr="001A5EBC" w:rsidRDefault="00A20E03" w:rsidP="000900F5">
                              <w:pPr>
                                <w:pStyle w:val="StandardHeading16ptBlack"/>
                              </w:pPr>
                              <w:r w:rsidRPr="001A5EBC">
                                <w:t>Energy</w:t>
                              </w:r>
                            </w:p>
                            <w:p w14:paraId="4334EA20" w14:textId="0C010D4F" w:rsidR="00B6521A" w:rsidRPr="001A5EBC" w:rsidRDefault="004A569C" w:rsidP="000900F5">
                              <w:pPr>
                                <w:pStyle w:val="StandardHeading16ptBlack"/>
                                <w:rPr>
                                  <w:rFonts w:ascii="Arial" w:hAnsi="Arial" w:cs="Arial"/>
                                  <w:b/>
                                  <w:bCs/>
                                  <w:color w:val="FFFFFF" w:themeColor="background1"/>
                                  <w:sz w:val="24"/>
                                  <w:szCs w:val="24"/>
                                </w:rPr>
                              </w:pPr>
                              <w:r w:rsidRPr="001A5EBC">
                                <w:rPr>
                                  <w:rFonts w:ascii="Arial" w:hAnsi="Arial" w:cs="Arial"/>
                                  <w:b/>
                                  <w:bCs/>
                                  <w:color w:val="FFFFFF" w:themeColor="background1"/>
                                  <w:sz w:val="24"/>
                                  <w:szCs w:val="24"/>
                                </w:rPr>
                                <w:t xml:space="preserve">In the energy sector, </w:t>
                              </w:r>
                              <w:r w:rsidRPr="001A5EBC">
                                <w:rPr>
                                  <w:rFonts w:asciiTheme="minorHAnsi" w:hAnsiTheme="minorHAnsi" w:cstheme="minorHAnsi"/>
                                  <w:b/>
                                  <w:bCs/>
                                  <w:color w:val="FFFFFF" w:themeColor="background1"/>
                                  <w:sz w:val="24"/>
                                  <w:szCs w:val="24"/>
                                </w:rPr>
                                <w:t>p</w:t>
                              </w:r>
                              <w:r w:rsidR="005D50AA" w:rsidRPr="001A5EBC">
                                <w:rPr>
                                  <w:rFonts w:asciiTheme="minorHAnsi" w:hAnsiTheme="minorHAnsi" w:cstheme="minorHAnsi"/>
                                  <w:b/>
                                  <w:bCs/>
                                  <w:color w:val="FFFFFF" w:themeColor="background1"/>
                                  <w:sz w:val="24"/>
                                  <w:szCs w:val="24"/>
                                </w:rPr>
                                <w:t>ublic</w:t>
                              </w:r>
                              <w:r w:rsidRPr="001A5EBC">
                                <w:rPr>
                                  <w:rFonts w:asciiTheme="minorHAnsi" w:hAnsiTheme="minorHAnsi" w:cstheme="minorHAnsi"/>
                                  <w:b/>
                                  <w:bCs/>
                                  <w:color w:val="FFFFFF" w:themeColor="background1"/>
                                  <w:sz w:val="24"/>
                                  <w:szCs w:val="24"/>
                                </w:rPr>
                                <w:t xml:space="preserve"> investments will constitute </w:t>
                              </w:r>
                              <w:r w:rsidR="005D50AA" w:rsidRPr="001A5EBC">
                                <w:rPr>
                                  <w:rFonts w:asciiTheme="minorHAnsi" w:hAnsiTheme="minorHAnsi" w:cstheme="minorHAnsi"/>
                                  <w:b/>
                                  <w:bCs/>
                                  <w:color w:val="FFFFFF" w:themeColor="background1"/>
                                  <w:sz w:val="24"/>
                                  <w:szCs w:val="24"/>
                                </w:rPr>
                                <w:t>3</w:t>
                              </w:r>
                              <w:r w:rsidRPr="001A5EBC">
                                <w:rPr>
                                  <w:rFonts w:asciiTheme="minorHAnsi" w:hAnsiTheme="minorHAnsi" w:cstheme="minorHAnsi"/>
                                  <w:b/>
                                  <w:bCs/>
                                  <w:color w:val="FFFFFF" w:themeColor="background1"/>
                                  <w:sz w:val="24"/>
                                  <w:szCs w:val="24"/>
                                </w:rPr>
                                <w:t xml:space="preserve">0% of the necessary funding, with the remaining </w:t>
                              </w:r>
                              <w:r w:rsidR="005D50AA" w:rsidRPr="001A5EBC">
                                <w:rPr>
                                  <w:rFonts w:asciiTheme="minorHAnsi" w:hAnsiTheme="minorHAnsi" w:cstheme="minorHAnsi"/>
                                  <w:b/>
                                  <w:bCs/>
                                  <w:color w:val="FFFFFF" w:themeColor="background1"/>
                                  <w:sz w:val="24"/>
                                  <w:szCs w:val="24"/>
                                </w:rPr>
                                <w:t>7</w:t>
                              </w:r>
                              <w:r w:rsidRPr="001A5EBC">
                                <w:rPr>
                                  <w:rFonts w:asciiTheme="minorHAnsi" w:hAnsiTheme="minorHAnsi" w:cstheme="minorHAnsi"/>
                                  <w:b/>
                                  <w:bCs/>
                                  <w:color w:val="FFFFFF" w:themeColor="background1"/>
                                  <w:sz w:val="24"/>
                                  <w:szCs w:val="24"/>
                                </w:rPr>
                                <w:t xml:space="preserve">0% expected to be covered by </w:t>
                              </w:r>
                              <w:r w:rsidR="005D50AA" w:rsidRPr="001A5EBC">
                                <w:rPr>
                                  <w:rFonts w:asciiTheme="minorHAnsi" w:hAnsiTheme="minorHAnsi" w:cstheme="minorHAnsi"/>
                                  <w:b/>
                                  <w:bCs/>
                                  <w:color w:val="FFFFFF" w:themeColor="background1"/>
                                  <w:sz w:val="24"/>
                                  <w:szCs w:val="24"/>
                                </w:rPr>
                                <w:t>private</w:t>
                              </w:r>
                              <w:r w:rsidRPr="001A5EBC">
                                <w:rPr>
                                  <w:rFonts w:asciiTheme="minorHAnsi" w:hAnsiTheme="minorHAnsi" w:cstheme="minorHAnsi"/>
                                  <w:b/>
                                  <w:bCs/>
                                  <w:color w:val="FFFFFF" w:themeColor="background1"/>
                                  <w:sz w:val="24"/>
                                  <w:szCs w:val="24"/>
                                </w:rPr>
                                <w:t xml:space="preserve"> investments.</w:t>
                              </w:r>
                              <w:r w:rsidR="00B6521A" w:rsidRPr="001A5EBC">
                                <w:rPr>
                                  <w:rFonts w:asciiTheme="minorHAnsi" w:hAnsiTheme="minorHAnsi" w:cstheme="minorHAnsi"/>
                                  <w:b/>
                                  <w:bCs/>
                                  <w:color w:val="FFFFFF" w:themeColor="background1"/>
                                  <w:sz w:val="24"/>
                                  <w:szCs w:val="24"/>
                                </w:rPr>
                                <w:t xml:space="preserve"> </w:t>
                              </w:r>
                              <w:r w:rsidR="00B6521A" w:rsidRPr="001A5EBC">
                                <w:rPr>
                                  <w:rFonts w:ascii="Arial" w:hAnsi="Arial" w:cs="Arial"/>
                                  <w:color w:val="FFFFFF" w:themeColor="background1"/>
                                  <w:sz w:val="24"/>
                                  <w:szCs w:val="24"/>
                                </w:rPr>
                                <w:t>Of the</w:t>
                              </w:r>
                              <w:r w:rsidR="00BD4CDC" w:rsidRPr="001A5EBC">
                                <w:rPr>
                                  <w:rFonts w:ascii="Arial" w:hAnsi="Arial" w:cs="Arial"/>
                                  <w:color w:val="FFFFFF" w:themeColor="background1"/>
                                  <w:sz w:val="24"/>
                                  <w:szCs w:val="24"/>
                                </w:rPr>
                                <w:t xml:space="preserve"> </w:t>
                              </w:r>
                              <w:r w:rsidR="00B6521A" w:rsidRPr="001A5EBC">
                                <w:rPr>
                                  <w:rFonts w:ascii="Arial" w:hAnsi="Arial" w:cs="Arial"/>
                                  <w:color w:val="FFFFFF" w:themeColor="background1"/>
                                  <w:sz w:val="24"/>
                                  <w:szCs w:val="24"/>
                                </w:rPr>
                                <w:t>£10bn</w:t>
                              </w:r>
                              <w:r w:rsidR="00415229" w:rsidRPr="001A5EBC">
                                <w:rPr>
                                  <w:rFonts w:ascii="Arial" w:hAnsi="Arial" w:cs="Arial"/>
                                  <w:color w:val="FFFFFF" w:themeColor="background1"/>
                                  <w:sz w:val="24"/>
                                  <w:szCs w:val="24"/>
                                </w:rPr>
                                <w:t xml:space="preserve"> energy investments allocated to </w:t>
                              </w:r>
                              <w:r w:rsidR="00B6521A" w:rsidRPr="001A5EBC">
                                <w:rPr>
                                  <w:rFonts w:ascii="Arial" w:hAnsi="Arial" w:cs="Arial"/>
                                  <w:color w:val="FFFFFF" w:themeColor="background1"/>
                                  <w:sz w:val="24"/>
                                  <w:szCs w:val="24"/>
                                </w:rPr>
                                <w:t>the North</w:t>
                              </w:r>
                              <w:r w:rsidR="00415229" w:rsidRPr="001A5EBC">
                                <w:rPr>
                                  <w:rFonts w:ascii="Arial" w:hAnsi="Arial" w:cs="Arial"/>
                                  <w:color w:val="FFFFFF" w:themeColor="background1"/>
                                  <w:sz w:val="24"/>
                                  <w:szCs w:val="24"/>
                                </w:rPr>
                                <w:t xml:space="preserve"> of England</w:t>
                              </w:r>
                              <w:r w:rsidR="00B6521A" w:rsidRPr="001A5EBC">
                                <w:rPr>
                                  <w:rFonts w:ascii="Arial" w:hAnsi="Arial" w:cs="Arial"/>
                                  <w:color w:val="FFFFFF" w:themeColor="background1"/>
                                  <w:sz w:val="24"/>
                                  <w:szCs w:val="24"/>
                                </w:rPr>
                                <w:t>, £</w:t>
                              </w:r>
                              <w:r w:rsidR="005D50AA" w:rsidRPr="001A5EBC">
                                <w:rPr>
                                  <w:rFonts w:ascii="Arial" w:hAnsi="Arial" w:cs="Arial"/>
                                  <w:color w:val="FFFFFF" w:themeColor="background1"/>
                                  <w:sz w:val="24"/>
                                  <w:szCs w:val="24"/>
                                </w:rPr>
                                <w:t>3</w:t>
                              </w:r>
                              <w:r w:rsidR="00B6521A" w:rsidRPr="001A5EBC">
                                <w:rPr>
                                  <w:rFonts w:ascii="Arial" w:hAnsi="Arial" w:cs="Arial"/>
                                  <w:color w:val="FFFFFF" w:themeColor="background1"/>
                                  <w:sz w:val="24"/>
                                  <w:szCs w:val="24"/>
                                </w:rPr>
                                <w:t>bn is p</w:t>
                              </w:r>
                              <w:r w:rsidR="005D50AA" w:rsidRPr="001A5EBC">
                                <w:rPr>
                                  <w:rFonts w:ascii="Arial" w:hAnsi="Arial" w:cs="Arial"/>
                                  <w:color w:val="FFFFFF" w:themeColor="background1"/>
                                  <w:sz w:val="24"/>
                                  <w:szCs w:val="24"/>
                                </w:rPr>
                                <w:t>ublic</w:t>
                              </w:r>
                              <w:r w:rsidR="00B6521A" w:rsidRPr="001A5EBC">
                                <w:rPr>
                                  <w:rFonts w:ascii="Arial" w:hAnsi="Arial" w:cs="Arial"/>
                                  <w:color w:val="FFFFFF" w:themeColor="background1"/>
                                  <w:sz w:val="24"/>
                                  <w:szCs w:val="24"/>
                                </w:rPr>
                                <w:t xml:space="preserve"> investment </w:t>
                              </w:r>
                              <w:r w:rsidR="005D50AA" w:rsidRPr="001A5EBC">
                                <w:rPr>
                                  <w:rFonts w:ascii="Arial" w:hAnsi="Arial" w:cs="Arial"/>
                                  <w:color w:val="FFFFFF" w:themeColor="background1"/>
                                  <w:sz w:val="24"/>
                                  <w:szCs w:val="24"/>
                                </w:rPr>
                                <w:t>(</w:t>
                              </w:r>
                              <w:r w:rsidR="005E4EF3" w:rsidRPr="001A5EBC">
                                <w:rPr>
                                  <w:rFonts w:ascii="Arial" w:hAnsi="Arial" w:cs="Arial"/>
                                  <w:color w:val="FFFFFF" w:themeColor="background1"/>
                                  <w:sz w:val="24"/>
                                  <w:szCs w:val="24"/>
                                </w:rPr>
                                <w:t xml:space="preserve">primarily in direct funding of </w:t>
                              </w:r>
                              <w:r w:rsidR="005E0E4B" w:rsidRPr="001A5EBC">
                                <w:rPr>
                                  <w:rFonts w:ascii="Arial" w:hAnsi="Arial" w:cs="Arial"/>
                                  <w:color w:val="FFFFFF" w:themeColor="background1"/>
                                  <w:sz w:val="24"/>
                                  <w:szCs w:val="24"/>
                                </w:rPr>
                                <w:t xml:space="preserve">renewable </w:t>
                              </w:r>
                              <w:r w:rsidR="005E4EF3" w:rsidRPr="001A5EBC">
                                <w:rPr>
                                  <w:rFonts w:ascii="Arial" w:hAnsi="Arial" w:cs="Arial"/>
                                  <w:color w:val="FFFFFF" w:themeColor="background1"/>
                                  <w:sz w:val="24"/>
                                  <w:szCs w:val="24"/>
                                </w:rPr>
                                <w:t>energy generation and supporting low-income households in the energy transition</w:t>
                              </w:r>
                              <w:r w:rsidR="005D50AA" w:rsidRPr="001A5EBC">
                                <w:rPr>
                                  <w:rFonts w:ascii="Arial" w:hAnsi="Arial" w:cs="Arial"/>
                                  <w:color w:val="FFFFFF" w:themeColor="background1"/>
                                  <w:sz w:val="24"/>
                                  <w:szCs w:val="24"/>
                                </w:rPr>
                                <w:t xml:space="preserve">) </w:t>
                              </w:r>
                              <w:r w:rsidR="00B6521A" w:rsidRPr="001A5EBC">
                                <w:rPr>
                                  <w:rFonts w:ascii="Arial" w:hAnsi="Arial" w:cs="Arial"/>
                                  <w:color w:val="FFFFFF" w:themeColor="background1"/>
                                  <w:sz w:val="24"/>
                                  <w:szCs w:val="24"/>
                                </w:rPr>
                                <w:t>and £</w:t>
                              </w:r>
                              <w:r w:rsidR="005D50AA" w:rsidRPr="001A5EBC">
                                <w:rPr>
                                  <w:rFonts w:ascii="Arial" w:hAnsi="Arial" w:cs="Arial"/>
                                  <w:color w:val="FFFFFF" w:themeColor="background1"/>
                                  <w:sz w:val="24"/>
                                  <w:szCs w:val="24"/>
                                </w:rPr>
                                <w:t>7</w:t>
                              </w:r>
                              <w:r w:rsidR="00B6521A" w:rsidRPr="001A5EBC">
                                <w:rPr>
                                  <w:rFonts w:ascii="Arial" w:hAnsi="Arial" w:cs="Arial"/>
                                  <w:color w:val="FFFFFF" w:themeColor="background1"/>
                                  <w:sz w:val="24"/>
                                  <w:szCs w:val="24"/>
                                </w:rPr>
                                <w:t xml:space="preserve">bn is </w:t>
                              </w:r>
                              <w:r w:rsidR="005E0E4B" w:rsidRPr="001A5EBC">
                                <w:rPr>
                                  <w:rFonts w:ascii="Arial" w:hAnsi="Arial" w:cs="Arial"/>
                                  <w:color w:val="FFFFFF" w:themeColor="background1"/>
                                  <w:sz w:val="24"/>
                                  <w:szCs w:val="24"/>
                                </w:rPr>
                                <w:t xml:space="preserve">private </w:t>
                              </w:r>
                              <w:r w:rsidR="00B6521A" w:rsidRPr="001A5EBC">
                                <w:rPr>
                                  <w:rFonts w:ascii="Arial" w:hAnsi="Arial" w:cs="Arial"/>
                                  <w:color w:val="FFFFFF" w:themeColor="background1"/>
                                  <w:sz w:val="24"/>
                                  <w:szCs w:val="24"/>
                                </w:rPr>
                                <w:t>investments.</w:t>
                              </w:r>
                            </w:p>
                            <w:p w14:paraId="27C049CA" w14:textId="77777777" w:rsidR="000900F5" w:rsidRPr="001A5EBC" w:rsidRDefault="000900F5" w:rsidP="000900F5">
                              <w:pPr>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49FE9DA" id="Group 12" o:spid="_x0000_s1032" style="position:absolute;left:0;text-align:left;margin-left:0;margin-top:61.55pt;width:552.75pt;height:129.45pt;z-index:251657230;mso-position-horizontal:left;mso-position-horizontal-relative:page;mso-height-relative:margin" coordsize="70200,1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">
                <v:rect id="Rectangle 9" o:spid="_x0000_s1033" style="position:absolute;width:70200;height:1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" fillcolor="#009fe3 [3204]" stroked="f" strokeweight="2p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_x0000_s1034" type="#_x0000_t41" style="position:absolute;left:3934;top:1594;width:5543;height:7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" adj="21544,21733,21640,-39" filled="f" strokecolor="white [3212]" strokeweight=".5pt">
                  <v:textbox>
                    <w:txbxContent>
                      <w:p w14:paraId="5757F4EA" w14:textId="77777777" w:rsidR="000900F5" w:rsidRPr="001A5EBC" w:rsidRDefault="000900F5" w:rsidP="000900F5">
                        <w:pPr>
                          <w:jc w:val="right"/>
                          <w:rPr>
                            <w:rFonts w:asciiTheme="majorHAnsi" w:hAnsiTheme="majorHAnsi"/>
                            <w:b/>
                            <w:bCs/>
                            <w:color w:val="FFFFFF" w:themeColor="background1"/>
                            <w:sz w:val="80"/>
                            <w:szCs w:val="80"/>
                          </w:rPr>
                        </w:pPr>
                        <w:r w:rsidRPr="001A5EBC">
                          <w:rPr>
                            <w:rFonts w:asciiTheme="majorHAnsi" w:hAnsiTheme="majorHAnsi"/>
                            <w:b/>
                            <w:bCs/>
                            <w:color w:val="FFFFFF" w:themeColor="background1"/>
                            <w:sz w:val="80"/>
                            <w:szCs w:val="80"/>
                          </w:rPr>
                          <w:t>1</w:t>
                        </w:r>
                      </w:p>
                    </w:txbxContent>
                  </v:textbox>
                  <o:callout v:ext="edit" minusy="t"/>
                </v:shape>
                <v:shape id="Text Box 11" o:spid="_x0000_s1035" type="#_x0000_t202" style="position:absolute;left:11057;top:1381;width:54720;height:10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" filled="f" stroked="f" strokeweight=".5pt">
                  <v:textbox inset="0,0,0,0">
                    <w:txbxContent>
                      <w:p w14:paraId="645B906B" w14:textId="77777777" w:rsidR="000900F5" w:rsidRPr="001A5EBC" w:rsidRDefault="00A20E03" w:rsidP="000900F5">
                        <w:pPr>
                          <w:pStyle w:val="StandardHeading16ptBlack"/>
                        </w:pPr>
                        <w:r w:rsidRPr="001A5EBC">
                          <w:t>Energy</w:t>
                        </w:r>
                      </w:p>
                      <w:p w14:paraId="4334EA20" w14:textId="0C010D4F" w:rsidR="00B6521A" w:rsidRPr="001A5EBC" w:rsidRDefault="004A569C" w:rsidP="000900F5">
                        <w:pPr>
                          <w:pStyle w:val="StandardHeading16ptBlack"/>
                          <w:rPr>
                            <w:rFonts w:ascii="Arial" w:hAnsi="Arial" w:cs="Arial"/>
                            <w:b/>
                            <w:bCs/>
                            <w:color w:val="FFFFFF" w:themeColor="background1"/>
                            <w:sz w:val="24"/>
                            <w:szCs w:val="24"/>
                          </w:rPr>
                        </w:pPr>
                        <w:r w:rsidRPr="001A5EBC">
                          <w:rPr>
                            <w:rFonts w:ascii="Arial" w:hAnsi="Arial" w:cs="Arial"/>
                            <w:b/>
                            <w:bCs/>
                            <w:color w:val="FFFFFF" w:themeColor="background1"/>
                            <w:sz w:val="24"/>
                            <w:szCs w:val="24"/>
                          </w:rPr>
                          <w:t xml:space="preserve">In the energy sector, </w:t>
                        </w:r>
                        <w:r w:rsidRPr="001A5EBC">
                          <w:rPr>
                            <w:rFonts w:asciiTheme="minorHAnsi" w:hAnsiTheme="minorHAnsi" w:cstheme="minorHAnsi"/>
                            <w:b/>
                            <w:bCs/>
                            <w:color w:val="FFFFFF" w:themeColor="background1"/>
                            <w:sz w:val="24"/>
                            <w:szCs w:val="24"/>
                          </w:rPr>
                          <w:t>p</w:t>
                        </w:r>
                        <w:r w:rsidR="005D50AA" w:rsidRPr="001A5EBC">
                          <w:rPr>
                            <w:rFonts w:asciiTheme="minorHAnsi" w:hAnsiTheme="minorHAnsi" w:cstheme="minorHAnsi"/>
                            <w:b/>
                            <w:bCs/>
                            <w:color w:val="FFFFFF" w:themeColor="background1"/>
                            <w:sz w:val="24"/>
                            <w:szCs w:val="24"/>
                          </w:rPr>
                          <w:t>ublic</w:t>
                        </w:r>
                        <w:r w:rsidRPr="001A5EBC">
                          <w:rPr>
                            <w:rFonts w:asciiTheme="minorHAnsi" w:hAnsiTheme="minorHAnsi" w:cstheme="minorHAnsi"/>
                            <w:b/>
                            <w:bCs/>
                            <w:color w:val="FFFFFF" w:themeColor="background1"/>
                            <w:sz w:val="24"/>
                            <w:szCs w:val="24"/>
                          </w:rPr>
                          <w:t xml:space="preserve"> investments will constitute </w:t>
                        </w:r>
                        <w:r w:rsidR="005D50AA" w:rsidRPr="001A5EBC">
                          <w:rPr>
                            <w:rFonts w:asciiTheme="minorHAnsi" w:hAnsiTheme="minorHAnsi" w:cstheme="minorHAnsi"/>
                            <w:b/>
                            <w:bCs/>
                            <w:color w:val="FFFFFF" w:themeColor="background1"/>
                            <w:sz w:val="24"/>
                            <w:szCs w:val="24"/>
                          </w:rPr>
                          <w:t>3</w:t>
                        </w:r>
                        <w:r w:rsidRPr="001A5EBC">
                          <w:rPr>
                            <w:rFonts w:asciiTheme="minorHAnsi" w:hAnsiTheme="minorHAnsi" w:cstheme="minorHAnsi"/>
                            <w:b/>
                            <w:bCs/>
                            <w:color w:val="FFFFFF" w:themeColor="background1"/>
                            <w:sz w:val="24"/>
                            <w:szCs w:val="24"/>
                          </w:rPr>
                          <w:t xml:space="preserve">0% of the necessary funding, with the remaining </w:t>
                        </w:r>
                        <w:r w:rsidR="005D50AA" w:rsidRPr="001A5EBC">
                          <w:rPr>
                            <w:rFonts w:asciiTheme="minorHAnsi" w:hAnsiTheme="minorHAnsi" w:cstheme="minorHAnsi"/>
                            <w:b/>
                            <w:bCs/>
                            <w:color w:val="FFFFFF" w:themeColor="background1"/>
                            <w:sz w:val="24"/>
                            <w:szCs w:val="24"/>
                          </w:rPr>
                          <w:t>7</w:t>
                        </w:r>
                        <w:r w:rsidRPr="001A5EBC">
                          <w:rPr>
                            <w:rFonts w:asciiTheme="minorHAnsi" w:hAnsiTheme="minorHAnsi" w:cstheme="minorHAnsi"/>
                            <w:b/>
                            <w:bCs/>
                            <w:color w:val="FFFFFF" w:themeColor="background1"/>
                            <w:sz w:val="24"/>
                            <w:szCs w:val="24"/>
                          </w:rPr>
                          <w:t xml:space="preserve">0% expected to be covered by </w:t>
                        </w:r>
                        <w:r w:rsidR="005D50AA" w:rsidRPr="001A5EBC">
                          <w:rPr>
                            <w:rFonts w:asciiTheme="minorHAnsi" w:hAnsiTheme="minorHAnsi" w:cstheme="minorHAnsi"/>
                            <w:b/>
                            <w:bCs/>
                            <w:color w:val="FFFFFF" w:themeColor="background1"/>
                            <w:sz w:val="24"/>
                            <w:szCs w:val="24"/>
                          </w:rPr>
                          <w:t>private</w:t>
                        </w:r>
                        <w:r w:rsidRPr="001A5EBC">
                          <w:rPr>
                            <w:rFonts w:asciiTheme="minorHAnsi" w:hAnsiTheme="minorHAnsi" w:cstheme="minorHAnsi"/>
                            <w:b/>
                            <w:bCs/>
                            <w:color w:val="FFFFFF" w:themeColor="background1"/>
                            <w:sz w:val="24"/>
                            <w:szCs w:val="24"/>
                          </w:rPr>
                          <w:t xml:space="preserve"> investments.</w:t>
                        </w:r>
                        <w:r w:rsidR="00B6521A" w:rsidRPr="001A5EBC">
                          <w:rPr>
                            <w:rFonts w:asciiTheme="minorHAnsi" w:hAnsiTheme="minorHAnsi" w:cstheme="minorHAnsi"/>
                            <w:b/>
                            <w:bCs/>
                            <w:color w:val="FFFFFF" w:themeColor="background1"/>
                            <w:sz w:val="24"/>
                            <w:szCs w:val="24"/>
                          </w:rPr>
                          <w:t xml:space="preserve"> </w:t>
                        </w:r>
                        <w:r w:rsidR="00B6521A" w:rsidRPr="001A5EBC">
                          <w:rPr>
                            <w:rFonts w:ascii="Arial" w:hAnsi="Arial" w:cs="Arial"/>
                            <w:color w:val="FFFFFF" w:themeColor="background1"/>
                            <w:sz w:val="24"/>
                            <w:szCs w:val="24"/>
                          </w:rPr>
                          <w:t>Of the</w:t>
                        </w:r>
                        <w:r w:rsidR="00BD4CDC" w:rsidRPr="001A5EBC">
                          <w:rPr>
                            <w:rFonts w:ascii="Arial" w:hAnsi="Arial" w:cs="Arial"/>
                            <w:color w:val="FFFFFF" w:themeColor="background1"/>
                            <w:sz w:val="24"/>
                            <w:szCs w:val="24"/>
                          </w:rPr>
                          <w:t xml:space="preserve"> </w:t>
                        </w:r>
                        <w:r w:rsidR="00B6521A" w:rsidRPr="001A5EBC">
                          <w:rPr>
                            <w:rFonts w:ascii="Arial" w:hAnsi="Arial" w:cs="Arial"/>
                            <w:color w:val="FFFFFF" w:themeColor="background1"/>
                            <w:sz w:val="24"/>
                            <w:szCs w:val="24"/>
                          </w:rPr>
                          <w:t>£10bn</w:t>
                        </w:r>
                        <w:r w:rsidR="00415229" w:rsidRPr="001A5EBC">
                          <w:rPr>
                            <w:rFonts w:ascii="Arial" w:hAnsi="Arial" w:cs="Arial"/>
                            <w:color w:val="FFFFFF" w:themeColor="background1"/>
                            <w:sz w:val="24"/>
                            <w:szCs w:val="24"/>
                          </w:rPr>
                          <w:t xml:space="preserve"> energy investments allocated to </w:t>
                        </w:r>
                        <w:r w:rsidR="00B6521A" w:rsidRPr="001A5EBC">
                          <w:rPr>
                            <w:rFonts w:ascii="Arial" w:hAnsi="Arial" w:cs="Arial"/>
                            <w:color w:val="FFFFFF" w:themeColor="background1"/>
                            <w:sz w:val="24"/>
                            <w:szCs w:val="24"/>
                          </w:rPr>
                          <w:t>the North</w:t>
                        </w:r>
                        <w:r w:rsidR="00415229" w:rsidRPr="001A5EBC">
                          <w:rPr>
                            <w:rFonts w:ascii="Arial" w:hAnsi="Arial" w:cs="Arial"/>
                            <w:color w:val="FFFFFF" w:themeColor="background1"/>
                            <w:sz w:val="24"/>
                            <w:szCs w:val="24"/>
                          </w:rPr>
                          <w:t xml:space="preserve"> of England</w:t>
                        </w:r>
                        <w:r w:rsidR="00B6521A" w:rsidRPr="001A5EBC">
                          <w:rPr>
                            <w:rFonts w:ascii="Arial" w:hAnsi="Arial" w:cs="Arial"/>
                            <w:color w:val="FFFFFF" w:themeColor="background1"/>
                            <w:sz w:val="24"/>
                            <w:szCs w:val="24"/>
                          </w:rPr>
                          <w:t>, £</w:t>
                        </w:r>
                        <w:r w:rsidR="005D50AA" w:rsidRPr="001A5EBC">
                          <w:rPr>
                            <w:rFonts w:ascii="Arial" w:hAnsi="Arial" w:cs="Arial"/>
                            <w:color w:val="FFFFFF" w:themeColor="background1"/>
                            <w:sz w:val="24"/>
                            <w:szCs w:val="24"/>
                          </w:rPr>
                          <w:t>3</w:t>
                        </w:r>
                        <w:r w:rsidR="00B6521A" w:rsidRPr="001A5EBC">
                          <w:rPr>
                            <w:rFonts w:ascii="Arial" w:hAnsi="Arial" w:cs="Arial"/>
                            <w:color w:val="FFFFFF" w:themeColor="background1"/>
                            <w:sz w:val="24"/>
                            <w:szCs w:val="24"/>
                          </w:rPr>
                          <w:t>bn is p</w:t>
                        </w:r>
                        <w:r w:rsidR="005D50AA" w:rsidRPr="001A5EBC">
                          <w:rPr>
                            <w:rFonts w:ascii="Arial" w:hAnsi="Arial" w:cs="Arial"/>
                            <w:color w:val="FFFFFF" w:themeColor="background1"/>
                            <w:sz w:val="24"/>
                            <w:szCs w:val="24"/>
                          </w:rPr>
                          <w:t>ublic</w:t>
                        </w:r>
                        <w:r w:rsidR="00B6521A" w:rsidRPr="001A5EBC">
                          <w:rPr>
                            <w:rFonts w:ascii="Arial" w:hAnsi="Arial" w:cs="Arial"/>
                            <w:color w:val="FFFFFF" w:themeColor="background1"/>
                            <w:sz w:val="24"/>
                            <w:szCs w:val="24"/>
                          </w:rPr>
                          <w:t xml:space="preserve"> investment </w:t>
                        </w:r>
                        <w:r w:rsidR="005D50AA" w:rsidRPr="001A5EBC">
                          <w:rPr>
                            <w:rFonts w:ascii="Arial" w:hAnsi="Arial" w:cs="Arial"/>
                            <w:color w:val="FFFFFF" w:themeColor="background1"/>
                            <w:sz w:val="24"/>
                            <w:szCs w:val="24"/>
                          </w:rPr>
                          <w:t>(</w:t>
                        </w:r>
                        <w:r w:rsidR="005E4EF3" w:rsidRPr="001A5EBC">
                          <w:rPr>
                            <w:rFonts w:ascii="Arial" w:hAnsi="Arial" w:cs="Arial"/>
                            <w:color w:val="FFFFFF" w:themeColor="background1"/>
                            <w:sz w:val="24"/>
                            <w:szCs w:val="24"/>
                          </w:rPr>
                          <w:t xml:space="preserve">primarily in direct funding of </w:t>
                        </w:r>
                        <w:r w:rsidR="005E0E4B" w:rsidRPr="001A5EBC">
                          <w:rPr>
                            <w:rFonts w:ascii="Arial" w:hAnsi="Arial" w:cs="Arial"/>
                            <w:color w:val="FFFFFF" w:themeColor="background1"/>
                            <w:sz w:val="24"/>
                            <w:szCs w:val="24"/>
                          </w:rPr>
                          <w:t xml:space="preserve">renewable </w:t>
                        </w:r>
                        <w:r w:rsidR="005E4EF3" w:rsidRPr="001A5EBC">
                          <w:rPr>
                            <w:rFonts w:ascii="Arial" w:hAnsi="Arial" w:cs="Arial"/>
                            <w:color w:val="FFFFFF" w:themeColor="background1"/>
                            <w:sz w:val="24"/>
                            <w:szCs w:val="24"/>
                          </w:rPr>
                          <w:t>energy generation and supporting low-income households in the energy transition</w:t>
                        </w:r>
                        <w:r w:rsidR="005D50AA" w:rsidRPr="001A5EBC">
                          <w:rPr>
                            <w:rFonts w:ascii="Arial" w:hAnsi="Arial" w:cs="Arial"/>
                            <w:color w:val="FFFFFF" w:themeColor="background1"/>
                            <w:sz w:val="24"/>
                            <w:szCs w:val="24"/>
                          </w:rPr>
                          <w:t xml:space="preserve">) </w:t>
                        </w:r>
                        <w:r w:rsidR="00B6521A" w:rsidRPr="001A5EBC">
                          <w:rPr>
                            <w:rFonts w:ascii="Arial" w:hAnsi="Arial" w:cs="Arial"/>
                            <w:color w:val="FFFFFF" w:themeColor="background1"/>
                            <w:sz w:val="24"/>
                            <w:szCs w:val="24"/>
                          </w:rPr>
                          <w:t>and £</w:t>
                        </w:r>
                        <w:r w:rsidR="005D50AA" w:rsidRPr="001A5EBC">
                          <w:rPr>
                            <w:rFonts w:ascii="Arial" w:hAnsi="Arial" w:cs="Arial"/>
                            <w:color w:val="FFFFFF" w:themeColor="background1"/>
                            <w:sz w:val="24"/>
                            <w:szCs w:val="24"/>
                          </w:rPr>
                          <w:t>7</w:t>
                        </w:r>
                        <w:r w:rsidR="00B6521A" w:rsidRPr="001A5EBC">
                          <w:rPr>
                            <w:rFonts w:ascii="Arial" w:hAnsi="Arial" w:cs="Arial"/>
                            <w:color w:val="FFFFFF" w:themeColor="background1"/>
                            <w:sz w:val="24"/>
                            <w:szCs w:val="24"/>
                          </w:rPr>
                          <w:t xml:space="preserve">bn is </w:t>
                        </w:r>
                        <w:r w:rsidR="005E0E4B" w:rsidRPr="001A5EBC">
                          <w:rPr>
                            <w:rFonts w:ascii="Arial" w:hAnsi="Arial" w:cs="Arial"/>
                            <w:color w:val="FFFFFF" w:themeColor="background1"/>
                            <w:sz w:val="24"/>
                            <w:szCs w:val="24"/>
                          </w:rPr>
                          <w:t xml:space="preserve">private </w:t>
                        </w:r>
                        <w:r w:rsidR="00B6521A" w:rsidRPr="001A5EBC">
                          <w:rPr>
                            <w:rFonts w:ascii="Arial" w:hAnsi="Arial" w:cs="Arial"/>
                            <w:color w:val="FFFFFF" w:themeColor="background1"/>
                            <w:sz w:val="24"/>
                            <w:szCs w:val="24"/>
                          </w:rPr>
                          <w:t>investments.</w:t>
                        </w:r>
                      </w:p>
                      <w:p w14:paraId="27C049CA" w14:textId="77777777" w:rsidR="000900F5" w:rsidRPr="001A5EBC" w:rsidRDefault="000900F5" w:rsidP="000900F5">
                        <w:pPr>
                          <w:rPr>
                            <w:color w:val="FFFFFF" w:themeColor="background1"/>
                          </w:rPr>
                        </w:pPr>
                      </w:p>
                    </w:txbxContent>
                  </v:textbox>
                </v:shape>
                <w10:wrap anchorx="page"/>
              </v:group>
            </w:pict>
          </mc:Fallback>
        </mc:AlternateContent>
      </w:r>
      <w:r w:rsidR="00155C68" w:rsidRPr="001A5EBC">
        <w:t>Conclusion</w:t>
      </w:r>
      <w:r w:rsidR="000900F5" w:rsidRPr="001A5EBC">
        <w:t>s</w:t>
      </w:r>
      <w:bookmarkEnd w:id="10"/>
    </w:p>
    <w:p w14:paraId="22D7E9C8" w14:textId="5AA67D04" w:rsidR="00E86FE0" w:rsidRPr="001A5EBC" w:rsidRDefault="00E86FE0" w:rsidP="00E86FE0">
      <w:pPr>
        <w:rPr>
          <w:color w:val="FFFFFF" w:themeColor="background1"/>
        </w:rPr>
      </w:pPr>
      <w:r w:rsidRPr="001A5EBC">
        <w:rPr>
          <w:color w:val="FFFFFF" w:themeColor="background1"/>
        </w:rPr>
        <w:t>footprint of an individual born today in Nigeria</w:t>
      </w:r>
    </w:p>
    <w:p w14:paraId="456456FB" w14:textId="5B79190B" w:rsidR="000900F5" w:rsidRPr="001A5EBC" w:rsidRDefault="000900F5" w:rsidP="000900F5">
      <w:pPr>
        <w:pStyle w:val="BodyText"/>
      </w:pPr>
    </w:p>
    <w:p w14:paraId="3569BDB7" w14:textId="77777777" w:rsidR="000900F5" w:rsidRPr="001A5EBC" w:rsidRDefault="000900F5" w:rsidP="000900F5">
      <w:pPr>
        <w:pStyle w:val="BodyText"/>
      </w:pPr>
    </w:p>
    <w:p w14:paraId="0C0AC2F3" w14:textId="077EA263" w:rsidR="000900F5" w:rsidRPr="001A5EBC" w:rsidRDefault="001F5843" w:rsidP="000900F5">
      <w:pPr>
        <w:pStyle w:val="BodyText"/>
      </w:pPr>
      <w:r w:rsidRPr="001A5EBC">
        <w:rPr>
          <w:noProof/>
        </w:rPr>
        <mc:AlternateContent>
          <mc:Choice Requires="wpg">
            <w:drawing>
              <wp:anchor distT="0" distB="0" distL="114300" distR="114300" simplePos="0" relativeHeight="251657231" behindDoc="0" locked="0" layoutInCell="1" allowOverlap="1" wp14:anchorId="1AF2281E" wp14:editId="201032D9">
                <wp:simplePos x="0" y="0"/>
                <wp:positionH relativeFrom="page">
                  <wp:posOffset>-19050</wp:posOffset>
                </wp:positionH>
                <wp:positionV relativeFrom="paragraph">
                  <wp:posOffset>4357370</wp:posOffset>
                </wp:positionV>
                <wp:extent cx="7037705" cy="1715135"/>
                <wp:effectExtent l="0" t="0" r="0" b="0"/>
                <wp:wrapNone/>
                <wp:docPr id="306609309" name="Group 12"/>
                <wp:cNvGraphicFramePr/>
                <a:graphic xmlns:a="http://schemas.openxmlformats.org/drawingml/2006/main">
                  <a:graphicData uri="http://schemas.microsoft.com/office/word/2010/wordprocessingGroup">
                    <wpg:wgp>
                      <wpg:cNvGrpSpPr/>
                      <wpg:grpSpPr>
                        <a:xfrm>
                          <a:off x="0" y="0"/>
                          <a:ext cx="7037705" cy="1715135"/>
                          <a:chOff x="0" y="102070"/>
                          <a:chExt cx="7020000" cy="1198800"/>
                        </a:xfrm>
                      </wpg:grpSpPr>
                      <wps:wsp>
                        <wps:cNvPr id="1511980885" name="Rectangle 9"/>
                        <wps:cNvSpPr/>
                        <wps:spPr>
                          <a:xfrm>
                            <a:off x="0" y="102070"/>
                            <a:ext cx="7020000" cy="11988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12397" name="Text Box 10"/>
                        <wps:cNvSpPr txBox="1"/>
                        <wps:spPr>
                          <a:xfrm>
                            <a:off x="393405" y="159489"/>
                            <a:ext cx="554355" cy="762635"/>
                          </a:xfrm>
                          <a:prstGeom prst="callout1">
                            <a:avLst>
                              <a:gd name="adj1" fmla="val -182"/>
                              <a:gd name="adj2" fmla="val 100186"/>
                              <a:gd name="adj3" fmla="val 100614"/>
                              <a:gd name="adj4" fmla="val 99739"/>
                            </a:avLst>
                          </a:prstGeom>
                          <a:noFill/>
                          <a:ln w="6350">
                            <a:solidFill>
                              <a:schemeClr val="bg1"/>
                            </a:solidFill>
                          </a:ln>
                        </wps:spPr>
                        <wps:txbx>
                          <w:txbxContent>
                            <w:p w14:paraId="7F956A91" w14:textId="77777777" w:rsidR="00E86FE0" w:rsidRPr="001A5EBC" w:rsidRDefault="00E86FE0" w:rsidP="00E86FE0">
                              <w:pPr>
                                <w:jc w:val="right"/>
                                <w:rPr>
                                  <w:rFonts w:asciiTheme="majorHAnsi" w:hAnsiTheme="majorHAnsi"/>
                                  <w:b/>
                                  <w:bCs/>
                                  <w:color w:val="FFFFFF" w:themeColor="background1"/>
                                  <w:sz w:val="80"/>
                                  <w:szCs w:val="80"/>
                                </w:rPr>
                              </w:pPr>
                              <w:r w:rsidRPr="001A5EBC">
                                <w:rPr>
                                  <w:rFonts w:asciiTheme="majorHAnsi" w:hAnsiTheme="majorHAnsi"/>
                                  <w:b/>
                                  <w:bCs/>
                                  <w:color w:val="FFFFFF" w:themeColor="background1"/>
                                  <w:sz w:val="80"/>
                                  <w:szCs w:val="8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3653870" name="Text Box 11"/>
                        <wps:cNvSpPr txBox="1"/>
                        <wps:spPr>
                          <a:xfrm>
                            <a:off x="1105760" y="138198"/>
                            <a:ext cx="5732435" cy="976091"/>
                          </a:xfrm>
                          <a:prstGeom prst="rect">
                            <a:avLst/>
                          </a:prstGeom>
                          <a:noFill/>
                          <a:ln w="6350">
                            <a:noFill/>
                          </a:ln>
                        </wps:spPr>
                        <wps:txbx>
                          <w:txbxContent>
                            <w:p w14:paraId="22264413" w14:textId="77777777" w:rsidR="00E86FE0" w:rsidRPr="001A5EBC" w:rsidRDefault="00A20E03" w:rsidP="00E86FE0">
                              <w:pPr>
                                <w:pStyle w:val="StandardHeading16ptBlack"/>
                              </w:pPr>
                              <w:r w:rsidRPr="001A5EBC">
                                <w:t>Industry</w:t>
                              </w:r>
                            </w:p>
                            <w:p w14:paraId="533544D5" w14:textId="58EB0DD9" w:rsidR="00E5465D" w:rsidRPr="001A5EBC" w:rsidRDefault="004A569C" w:rsidP="00E5465D">
                              <w:pPr>
                                <w:pStyle w:val="ListBullet"/>
                                <w:numPr>
                                  <w:ilvl w:val="0"/>
                                  <w:numId w:val="0"/>
                                </w:numPr>
                                <w:jc w:val="both"/>
                                <w:rPr>
                                  <w:color w:val="FFFFFF" w:themeColor="background1"/>
                                  <w:sz w:val="24"/>
                                  <w:szCs w:val="24"/>
                                </w:rPr>
                              </w:pPr>
                              <w:r w:rsidRPr="001A5EBC">
                                <w:rPr>
                                  <w:b/>
                                  <w:bCs/>
                                  <w:color w:val="FFFFFF" w:themeColor="background1"/>
                                  <w:sz w:val="24"/>
                                  <w:szCs w:val="24"/>
                                </w:rPr>
                                <w:t xml:space="preserve">In the industrial sector, </w:t>
                              </w:r>
                              <w:r w:rsidR="00E642CA" w:rsidRPr="001A5EBC">
                                <w:rPr>
                                  <w:b/>
                                  <w:bCs/>
                                  <w:color w:val="FFFFFF" w:themeColor="background1"/>
                                  <w:sz w:val="24"/>
                                  <w:szCs w:val="24"/>
                                </w:rPr>
                                <w:t>p</w:t>
                              </w:r>
                              <w:r w:rsidR="0073199E" w:rsidRPr="001A5EBC">
                                <w:rPr>
                                  <w:b/>
                                  <w:bCs/>
                                  <w:color w:val="FFFFFF" w:themeColor="background1"/>
                                  <w:sz w:val="24"/>
                                  <w:szCs w:val="24"/>
                                </w:rPr>
                                <w:t>ublic</w:t>
                              </w:r>
                              <w:r w:rsidR="00E642CA" w:rsidRPr="001A5EBC">
                                <w:rPr>
                                  <w:b/>
                                  <w:bCs/>
                                  <w:color w:val="FFFFFF" w:themeColor="background1"/>
                                  <w:sz w:val="24"/>
                                  <w:szCs w:val="24"/>
                                </w:rPr>
                                <w:t xml:space="preserve"> </w:t>
                              </w:r>
                              <w:r w:rsidRPr="001A5EBC">
                                <w:rPr>
                                  <w:b/>
                                  <w:bCs/>
                                  <w:color w:val="FFFFFF" w:themeColor="background1"/>
                                  <w:sz w:val="24"/>
                                  <w:szCs w:val="24"/>
                                </w:rPr>
                                <w:t xml:space="preserve">investments will constitute </w:t>
                              </w:r>
                              <w:r w:rsidR="00053D4D">
                                <w:rPr>
                                  <w:b/>
                                  <w:bCs/>
                                  <w:color w:val="FFFFFF" w:themeColor="background1"/>
                                  <w:sz w:val="24"/>
                                  <w:szCs w:val="24"/>
                                </w:rPr>
                                <w:t>20</w:t>
                              </w:r>
                              <w:r w:rsidRPr="001A5EBC">
                                <w:rPr>
                                  <w:b/>
                                  <w:bCs/>
                                  <w:color w:val="FFFFFF" w:themeColor="background1"/>
                                  <w:sz w:val="24"/>
                                  <w:szCs w:val="24"/>
                                </w:rPr>
                                <w:t xml:space="preserve">% of the necessary funding, with the remaining </w:t>
                              </w:r>
                              <w:r w:rsidR="00053D4D">
                                <w:rPr>
                                  <w:b/>
                                  <w:bCs/>
                                  <w:color w:val="FFFFFF" w:themeColor="background1"/>
                                  <w:sz w:val="24"/>
                                  <w:szCs w:val="24"/>
                                </w:rPr>
                                <w:t>80</w:t>
                              </w:r>
                              <w:r w:rsidRPr="001A5EBC">
                                <w:rPr>
                                  <w:b/>
                                  <w:bCs/>
                                  <w:color w:val="FFFFFF" w:themeColor="background1"/>
                                  <w:sz w:val="24"/>
                                  <w:szCs w:val="24"/>
                                </w:rPr>
                                <w:t xml:space="preserve">% expected to be covered by </w:t>
                              </w:r>
                              <w:r w:rsidR="003B16FB" w:rsidRPr="001A5EBC">
                                <w:rPr>
                                  <w:b/>
                                  <w:bCs/>
                                  <w:color w:val="FFFFFF" w:themeColor="background1"/>
                                  <w:sz w:val="24"/>
                                  <w:szCs w:val="24"/>
                                </w:rPr>
                                <w:t>private investments</w:t>
                              </w:r>
                              <w:r w:rsidR="00E5465D" w:rsidRPr="001A5EBC">
                                <w:rPr>
                                  <w:b/>
                                  <w:bCs/>
                                  <w:color w:val="FFFFFF" w:themeColor="background1"/>
                                  <w:sz w:val="24"/>
                                  <w:szCs w:val="24"/>
                                </w:rPr>
                                <w:t xml:space="preserve">. </w:t>
                              </w:r>
                              <w:r w:rsidR="00E5465D" w:rsidRPr="001A5EBC">
                                <w:rPr>
                                  <w:color w:val="FFFFFF" w:themeColor="background1"/>
                                  <w:sz w:val="24"/>
                                  <w:szCs w:val="24"/>
                                </w:rPr>
                                <w:t>Of the £4bn pa</w:t>
                              </w:r>
                              <w:r w:rsidR="00BE1D77" w:rsidRPr="001A5EBC">
                                <w:rPr>
                                  <w:color w:val="FFFFFF" w:themeColor="background1"/>
                                  <w:sz w:val="24"/>
                                  <w:szCs w:val="24"/>
                                </w:rPr>
                                <w:t xml:space="preserve"> </w:t>
                              </w:r>
                              <w:r w:rsidR="00237DBA" w:rsidRPr="001A5EBC">
                                <w:rPr>
                                  <w:color w:val="FFFFFF" w:themeColor="background1"/>
                                  <w:sz w:val="24"/>
                                  <w:szCs w:val="24"/>
                                </w:rPr>
                                <w:t>industry</w:t>
                              </w:r>
                              <w:r w:rsidR="00E5465D" w:rsidRPr="001A5EBC">
                                <w:rPr>
                                  <w:color w:val="FFFFFF" w:themeColor="background1"/>
                                  <w:sz w:val="24"/>
                                  <w:szCs w:val="24"/>
                                </w:rPr>
                                <w:t xml:space="preserve"> investments allocated in the North</w:t>
                              </w:r>
                              <w:r w:rsidR="004A7E3F" w:rsidRPr="001A5EBC">
                                <w:rPr>
                                  <w:color w:val="FFFFFF" w:themeColor="background1"/>
                                  <w:sz w:val="24"/>
                                  <w:szCs w:val="24"/>
                                </w:rPr>
                                <w:t xml:space="preserve"> of England</w:t>
                              </w:r>
                              <w:r w:rsidR="00E5465D" w:rsidRPr="001A5EBC">
                                <w:rPr>
                                  <w:color w:val="FFFFFF" w:themeColor="background1"/>
                                  <w:sz w:val="24"/>
                                  <w:szCs w:val="24"/>
                                </w:rPr>
                                <w:t xml:space="preserve">, </w:t>
                              </w:r>
                              <w:r w:rsidR="001F5843">
                                <w:rPr>
                                  <w:color w:val="FFFFFF" w:themeColor="background1"/>
                                  <w:sz w:val="24"/>
                                  <w:szCs w:val="24"/>
                                </w:rPr>
                                <w:t>20</w:t>
                              </w:r>
                              <w:r w:rsidR="003B16FB" w:rsidRPr="003B16FB">
                                <w:rPr>
                                  <w:color w:val="FFFFFF" w:themeColor="background1"/>
                                  <w:sz w:val="24"/>
                                  <w:szCs w:val="24"/>
                                </w:rPr>
                                <w:t>% (</w:t>
                              </w:r>
                              <w:r w:rsidR="00E5465D" w:rsidRPr="003B16FB">
                                <w:rPr>
                                  <w:color w:val="FFFFFF" w:themeColor="background1"/>
                                  <w:sz w:val="24"/>
                                  <w:szCs w:val="24"/>
                                </w:rPr>
                                <w:t>£</w:t>
                              </w:r>
                              <w:r w:rsidR="001F5843" w:rsidRPr="003B16FB">
                                <w:rPr>
                                  <w:color w:val="FFFFFF" w:themeColor="background1"/>
                                  <w:sz w:val="24"/>
                                  <w:szCs w:val="24"/>
                                </w:rPr>
                                <w:t>0</w:t>
                              </w:r>
                              <w:r w:rsidR="001F5843">
                                <w:rPr>
                                  <w:color w:val="FFFFFF" w:themeColor="background1"/>
                                  <w:sz w:val="24"/>
                                  <w:szCs w:val="24"/>
                                </w:rPr>
                                <w:t>.8</w:t>
                              </w:r>
                              <w:r w:rsidR="00E5465D" w:rsidRPr="001A5EBC">
                                <w:rPr>
                                  <w:color w:val="FFFFFF" w:themeColor="background1"/>
                                  <w:sz w:val="24"/>
                                  <w:szCs w:val="24"/>
                                </w:rPr>
                                <w:t>bn)</w:t>
                              </w:r>
                              <w:r w:rsidR="00E5465D" w:rsidRPr="001A5EBC">
                                <w:rPr>
                                  <w:color w:val="FF0000"/>
                                  <w:sz w:val="24"/>
                                  <w:szCs w:val="24"/>
                                </w:rPr>
                                <w:t xml:space="preserve"> </w:t>
                              </w:r>
                              <w:r w:rsidR="004A7E3F" w:rsidRPr="001A5EBC">
                                <w:rPr>
                                  <w:color w:val="FFFFFF" w:themeColor="background1"/>
                                  <w:sz w:val="24"/>
                                  <w:szCs w:val="24"/>
                                </w:rPr>
                                <w:t>would</w:t>
                              </w:r>
                              <w:r w:rsidR="003B16FB">
                                <w:rPr>
                                  <w:color w:val="FFFFFF" w:themeColor="background1"/>
                                  <w:sz w:val="24"/>
                                  <w:szCs w:val="24"/>
                                </w:rPr>
                                <w:t xml:space="preserve"> </w:t>
                              </w:r>
                              <w:r w:rsidR="004A7E3F" w:rsidRPr="001A5EBC">
                                <w:rPr>
                                  <w:color w:val="FFFFFF" w:themeColor="background1"/>
                                  <w:sz w:val="24"/>
                                  <w:szCs w:val="24"/>
                                </w:rPr>
                                <w:t xml:space="preserve">come from </w:t>
                              </w:r>
                              <w:r w:rsidR="00E5465D" w:rsidRPr="001A5EBC">
                                <w:rPr>
                                  <w:color w:val="FFFFFF" w:themeColor="background1"/>
                                  <w:sz w:val="24"/>
                                  <w:szCs w:val="24"/>
                                </w:rPr>
                                <w:t xml:space="preserve">public </w:t>
                              </w:r>
                              <w:r w:rsidR="004A7E3F" w:rsidRPr="001A5EBC">
                                <w:rPr>
                                  <w:color w:val="FFFFFF" w:themeColor="background1"/>
                                  <w:sz w:val="24"/>
                                  <w:szCs w:val="24"/>
                                </w:rPr>
                                <w:t>fundin</w:t>
                              </w:r>
                              <w:r w:rsidR="009534C2" w:rsidRPr="001A5EBC">
                                <w:rPr>
                                  <w:color w:val="FFFFFF" w:themeColor="background1"/>
                                  <w:sz w:val="24"/>
                                  <w:szCs w:val="24"/>
                                </w:rPr>
                                <w:t xml:space="preserve">g </w:t>
                              </w:r>
                              <w:r w:rsidR="00E5465D" w:rsidRPr="001A5EBC">
                                <w:rPr>
                                  <w:color w:val="FFFFFF" w:themeColor="background1"/>
                                  <w:sz w:val="24"/>
                                  <w:szCs w:val="24"/>
                                </w:rPr>
                                <w:t>(primarily to funding publicly owned CCUS and hydrogen infrastructure and grants/tax incentives to accelerate fuel switching)</w:t>
                              </w:r>
                              <w:r w:rsidR="001F5843">
                                <w:rPr>
                                  <w:color w:val="FFFFFF" w:themeColor="background1"/>
                                  <w:sz w:val="24"/>
                                  <w:szCs w:val="24"/>
                                </w:rPr>
                                <w:t xml:space="preserve">, </w:t>
                              </w:r>
                              <w:r w:rsidR="001F5843" w:rsidRPr="001A5EBC">
                                <w:rPr>
                                  <w:color w:val="FFFFFF" w:themeColor="background1"/>
                                  <w:sz w:val="24"/>
                                  <w:szCs w:val="24"/>
                                </w:rPr>
                                <w:t>and £</w:t>
                              </w:r>
                              <w:r w:rsidR="001F5843">
                                <w:rPr>
                                  <w:color w:val="FFFFFF" w:themeColor="background1"/>
                                  <w:sz w:val="24"/>
                                  <w:szCs w:val="24"/>
                                </w:rPr>
                                <w:t>3.2</w:t>
                              </w:r>
                              <w:r w:rsidR="001F5843" w:rsidRPr="001A5EBC">
                                <w:rPr>
                                  <w:color w:val="FFFFFF" w:themeColor="background1"/>
                                  <w:sz w:val="24"/>
                                  <w:szCs w:val="24"/>
                                </w:rPr>
                                <w:t>bn from private sector</w:t>
                              </w:r>
                              <w:r w:rsidR="001F5843">
                                <w:rPr>
                                  <w:color w:val="FFFFFF" w:themeColor="background1"/>
                                  <w:sz w:val="24"/>
                                  <w:szCs w:val="24"/>
                                </w:rPr>
                                <w:t>.</w:t>
                              </w:r>
                            </w:p>
                            <w:p w14:paraId="46A6CB35" w14:textId="3D9E8FFF" w:rsidR="00D125AB" w:rsidRPr="001A5EBC" w:rsidRDefault="00D125AB" w:rsidP="0057028F">
                              <w:pPr>
                                <w:pStyle w:val="ListBullet"/>
                                <w:numPr>
                                  <w:ilvl w:val="0"/>
                                  <w:numId w:val="0"/>
                                </w:numPr>
                                <w:jc w:val="both"/>
                                <w:rPr>
                                  <w:sz w:val="24"/>
                                  <w:szCs w:val="24"/>
                                </w:rPr>
                              </w:pPr>
                            </w:p>
                            <w:p w14:paraId="310E4912" w14:textId="77777777" w:rsidR="00E86FE0" w:rsidRPr="001A5EBC" w:rsidRDefault="00E86FE0" w:rsidP="00E86FE0">
                              <w:pPr>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F2281E" id="_x0000_s1036" style="position:absolute;margin-left:-1.5pt;margin-top:343.1pt;width:554.15pt;height:135.05pt;z-index:251657231;mso-position-horizontal-relative:page;mso-width-relative:margin;mso-height-relative:margin" coordorigin=",1020" coordsize="70200,1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">
                <v:rect id="Rectangle 9" o:spid="_x0000_s1037" style="position:absolute;top:1020;width:70200;height:1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" fillcolor="#009fe3 [3204]" stroked="f" strokeweight="2pt"/>
                <v:shape id="_x0000_s1038" type="#_x0000_t41" style="position:absolute;left:3934;top:1594;width:5543;height:7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" adj="21544,21733,21640,-39" filled="f" strokecolor="white [3212]" strokeweight=".5pt">
                  <v:textbox>
                    <w:txbxContent>
                      <w:p w14:paraId="7F956A91" w14:textId="77777777" w:rsidR="00E86FE0" w:rsidRPr="001A5EBC" w:rsidRDefault="00E86FE0" w:rsidP="00E86FE0">
                        <w:pPr>
                          <w:jc w:val="right"/>
                          <w:rPr>
                            <w:rFonts w:asciiTheme="majorHAnsi" w:hAnsiTheme="majorHAnsi"/>
                            <w:b/>
                            <w:bCs/>
                            <w:color w:val="FFFFFF" w:themeColor="background1"/>
                            <w:sz w:val="80"/>
                            <w:szCs w:val="80"/>
                          </w:rPr>
                        </w:pPr>
                        <w:r w:rsidRPr="001A5EBC">
                          <w:rPr>
                            <w:rFonts w:asciiTheme="majorHAnsi" w:hAnsiTheme="majorHAnsi"/>
                            <w:b/>
                            <w:bCs/>
                            <w:color w:val="FFFFFF" w:themeColor="background1"/>
                            <w:sz w:val="80"/>
                            <w:szCs w:val="80"/>
                          </w:rPr>
                          <w:t>4</w:t>
                        </w:r>
                      </w:p>
                    </w:txbxContent>
                  </v:textbox>
                  <o:callout v:ext="edit" minusy="t"/>
                </v:shape>
                <v:shape id="Text Box 11" o:spid="_x0000_s1039" type="#_x0000_t202" style="position:absolute;left:11057;top:1381;width:57324;height:9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" filled="f" stroked="f" strokeweight=".5pt">
                  <v:textbox inset="0,0,0,0">
                    <w:txbxContent>
                      <w:p w14:paraId="22264413" w14:textId="77777777" w:rsidR="00E86FE0" w:rsidRPr="001A5EBC" w:rsidRDefault="00A20E03" w:rsidP="00E86FE0">
                        <w:pPr>
                          <w:pStyle w:val="StandardHeading16ptBlack"/>
                        </w:pPr>
                        <w:r w:rsidRPr="001A5EBC">
                          <w:t>Industry</w:t>
                        </w:r>
                      </w:p>
                      <w:p w14:paraId="533544D5" w14:textId="58EB0DD9" w:rsidR="00E5465D" w:rsidRPr="001A5EBC" w:rsidRDefault="004A569C" w:rsidP="00E5465D">
                        <w:pPr>
                          <w:pStyle w:val="ListBullet"/>
                          <w:numPr>
                            <w:ilvl w:val="0"/>
                            <w:numId w:val="0"/>
                          </w:numPr>
                          <w:jc w:val="both"/>
                          <w:rPr>
                            <w:color w:val="FFFFFF" w:themeColor="background1"/>
                            <w:sz w:val="24"/>
                            <w:szCs w:val="24"/>
                          </w:rPr>
                        </w:pPr>
                        <w:r w:rsidRPr="001A5EBC">
                          <w:rPr>
                            <w:b/>
                            <w:bCs/>
                            <w:color w:val="FFFFFF" w:themeColor="background1"/>
                            <w:sz w:val="24"/>
                            <w:szCs w:val="24"/>
                          </w:rPr>
                          <w:t xml:space="preserve">In the industrial sector, </w:t>
                        </w:r>
                        <w:r w:rsidR="00E642CA" w:rsidRPr="001A5EBC">
                          <w:rPr>
                            <w:b/>
                            <w:bCs/>
                            <w:color w:val="FFFFFF" w:themeColor="background1"/>
                            <w:sz w:val="24"/>
                            <w:szCs w:val="24"/>
                          </w:rPr>
                          <w:t>p</w:t>
                        </w:r>
                        <w:r w:rsidR="0073199E" w:rsidRPr="001A5EBC">
                          <w:rPr>
                            <w:b/>
                            <w:bCs/>
                            <w:color w:val="FFFFFF" w:themeColor="background1"/>
                            <w:sz w:val="24"/>
                            <w:szCs w:val="24"/>
                          </w:rPr>
                          <w:t>ublic</w:t>
                        </w:r>
                        <w:r w:rsidR="00E642CA" w:rsidRPr="001A5EBC">
                          <w:rPr>
                            <w:b/>
                            <w:bCs/>
                            <w:color w:val="FFFFFF" w:themeColor="background1"/>
                            <w:sz w:val="24"/>
                            <w:szCs w:val="24"/>
                          </w:rPr>
                          <w:t xml:space="preserve"> </w:t>
                        </w:r>
                        <w:r w:rsidRPr="001A5EBC">
                          <w:rPr>
                            <w:b/>
                            <w:bCs/>
                            <w:color w:val="FFFFFF" w:themeColor="background1"/>
                            <w:sz w:val="24"/>
                            <w:szCs w:val="24"/>
                          </w:rPr>
                          <w:t xml:space="preserve">investments will constitute </w:t>
                        </w:r>
                        <w:r w:rsidR="00053D4D">
                          <w:rPr>
                            <w:b/>
                            <w:bCs/>
                            <w:color w:val="FFFFFF" w:themeColor="background1"/>
                            <w:sz w:val="24"/>
                            <w:szCs w:val="24"/>
                          </w:rPr>
                          <w:t>20</w:t>
                        </w:r>
                        <w:r w:rsidRPr="001A5EBC">
                          <w:rPr>
                            <w:b/>
                            <w:bCs/>
                            <w:color w:val="FFFFFF" w:themeColor="background1"/>
                            <w:sz w:val="24"/>
                            <w:szCs w:val="24"/>
                          </w:rPr>
                          <w:t xml:space="preserve">% of the necessary funding, with the remaining </w:t>
                        </w:r>
                        <w:r w:rsidR="00053D4D">
                          <w:rPr>
                            <w:b/>
                            <w:bCs/>
                            <w:color w:val="FFFFFF" w:themeColor="background1"/>
                            <w:sz w:val="24"/>
                            <w:szCs w:val="24"/>
                          </w:rPr>
                          <w:t>80</w:t>
                        </w:r>
                        <w:r w:rsidRPr="001A5EBC">
                          <w:rPr>
                            <w:b/>
                            <w:bCs/>
                            <w:color w:val="FFFFFF" w:themeColor="background1"/>
                            <w:sz w:val="24"/>
                            <w:szCs w:val="24"/>
                          </w:rPr>
                          <w:t xml:space="preserve">% expected to be covered by </w:t>
                        </w:r>
                        <w:r w:rsidR="003B16FB" w:rsidRPr="001A5EBC">
                          <w:rPr>
                            <w:b/>
                            <w:bCs/>
                            <w:color w:val="FFFFFF" w:themeColor="background1"/>
                            <w:sz w:val="24"/>
                            <w:szCs w:val="24"/>
                          </w:rPr>
                          <w:t>private investments</w:t>
                        </w:r>
                        <w:r w:rsidR="00E5465D" w:rsidRPr="001A5EBC">
                          <w:rPr>
                            <w:b/>
                            <w:bCs/>
                            <w:color w:val="FFFFFF" w:themeColor="background1"/>
                            <w:sz w:val="24"/>
                            <w:szCs w:val="24"/>
                          </w:rPr>
                          <w:t xml:space="preserve">. </w:t>
                        </w:r>
                        <w:r w:rsidR="00E5465D" w:rsidRPr="001A5EBC">
                          <w:rPr>
                            <w:color w:val="FFFFFF" w:themeColor="background1"/>
                            <w:sz w:val="24"/>
                            <w:szCs w:val="24"/>
                          </w:rPr>
                          <w:t>Of the £4bn pa</w:t>
                        </w:r>
                        <w:r w:rsidR="00BE1D77" w:rsidRPr="001A5EBC">
                          <w:rPr>
                            <w:color w:val="FFFFFF" w:themeColor="background1"/>
                            <w:sz w:val="24"/>
                            <w:szCs w:val="24"/>
                          </w:rPr>
                          <w:t xml:space="preserve"> </w:t>
                        </w:r>
                        <w:r w:rsidR="00237DBA" w:rsidRPr="001A5EBC">
                          <w:rPr>
                            <w:color w:val="FFFFFF" w:themeColor="background1"/>
                            <w:sz w:val="24"/>
                            <w:szCs w:val="24"/>
                          </w:rPr>
                          <w:t>industry</w:t>
                        </w:r>
                        <w:r w:rsidR="00E5465D" w:rsidRPr="001A5EBC">
                          <w:rPr>
                            <w:color w:val="FFFFFF" w:themeColor="background1"/>
                            <w:sz w:val="24"/>
                            <w:szCs w:val="24"/>
                          </w:rPr>
                          <w:t xml:space="preserve"> investments allocated in the North</w:t>
                        </w:r>
                        <w:r w:rsidR="004A7E3F" w:rsidRPr="001A5EBC">
                          <w:rPr>
                            <w:color w:val="FFFFFF" w:themeColor="background1"/>
                            <w:sz w:val="24"/>
                            <w:szCs w:val="24"/>
                          </w:rPr>
                          <w:t xml:space="preserve"> of England</w:t>
                        </w:r>
                        <w:r w:rsidR="00E5465D" w:rsidRPr="001A5EBC">
                          <w:rPr>
                            <w:color w:val="FFFFFF" w:themeColor="background1"/>
                            <w:sz w:val="24"/>
                            <w:szCs w:val="24"/>
                          </w:rPr>
                          <w:t xml:space="preserve">, </w:t>
                        </w:r>
                        <w:r w:rsidR="001F5843">
                          <w:rPr>
                            <w:color w:val="FFFFFF" w:themeColor="background1"/>
                            <w:sz w:val="24"/>
                            <w:szCs w:val="24"/>
                          </w:rPr>
                          <w:t>20</w:t>
                        </w:r>
                        <w:r w:rsidR="003B16FB" w:rsidRPr="003B16FB">
                          <w:rPr>
                            <w:color w:val="FFFFFF" w:themeColor="background1"/>
                            <w:sz w:val="24"/>
                            <w:szCs w:val="24"/>
                          </w:rPr>
                          <w:t>% (</w:t>
                        </w:r>
                        <w:r w:rsidR="00E5465D" w:rsidRPr="003B16FB">
                          <w:rPr>
                            <w:color w:val="FFFFFF" w:themeColor="background1"/>
                            <w:sz w:val="24"/>
                            <w:szCs w:val="24"/>
                          </w:rPr>
                          <w:t>£</w:t>
                        </w:r>
                        <w:r w:rsidR="001F5843" w:rsidRPr="003B16FB">
                          <w:rPr>
                            <w:color w:val="FFFFFF" w:themeColor="background1"/>
                            <w:sz w:val="24"/>
                            <w:szCs w:val="24"/>
                          </w:rPr>
                          <w:t>0</w:t>
                        </w:r>
                        <w:r w:rsidR="001F5843">
                          <w:rPr>
                            <w:color w:val="FFFFFF" w:themeColor="background1"/>
                            <w:sz w:val="24"/>
                            <w:szCs w:val="24"/>
                          </w:rPr>
                          <w:t>.8</w:t>
                        </w:r>
                        <w:r w:rsidR="00E5465D" w:rsidRPr="001A5EBC">
                          <w:rPr>
                            <w:color w:val="FFFFFF" w:themeColor="background1"/>
                            <w:sz w:val="24"/>
                            <w:szCs w:val="24"/>
                          </w:rPr>
                          <w:t>bn)</w:t>
                        </w:r>
                        <w:r w:rsidR="00E5465D" w:rsidRPr="001A5EBC">
                          <w:rPr>
                            <w:color w:val="FF0000"/>
                            <w:sz w:val="24"/>
                            <w:szCs w:val="24"/>
                          </w:rPr>
                          <w:t xml:space="preserve"> </w:t>
                        </w:r>
                        <w:r w:rsidR="004A7E3F" w:rsidRPr="001A5EBC">
                          <w:rPr>
                            <w:color w:val="FFFFFF" w:themeColor="background1"/>
                            <w:sz w:val="24"/>
                            <w:szCs w:val="24"/>
                          </w:rPr>
                          <w:t>would</w:t>
                        </w:r>
                        <w:r w:rsidR="003B16FB">
                          <w:rPr>
                            <w:color w:val="FFFFFF" w:themeColor="background1"/>
                            <w:sz w:val="24"/>
                            <w:szCs w:val="24"/>
                          </w:rPr>
                          <w:t xml:space="preserve"> </w:t>
                        </w:r>
                        <w:r w:rsidR="004A7E3F" w:rsidRPr="001A5EBC">
                          <w:rPr>
                            <w:color w:val="FFFFFF" w:themeColor="background1"/>
                            <w:sz w:val="24"/>
                            <w:szCs w:val="24"/>
                          </w:rPr>
                          <w:t xml:space="preserve">come from </w:t>
                        </w:r>
                        <w:r w:rsidR="00E5465D" w:rsidRPr="001A5EBC">
                          <w:rPr>
                            <w:color w:val="FFFFFF" w:themeColor="background1"/>
                            <w:sz w:val="24"/>
                            <w:szCs w:val="24"/>
                          </w:rPr>
                          <w:t xml:space="preserve">public </w:t>
                        </w:r>
                        <w:r w:rsidR="004A7E3F" w:rsidRPr="001A5EBC">
                          <w:rPr>
                            <w:color w:val="FFFFFF" w:themeColor="background1"/>
                            <w:sz w:val="24"/>
                            <w:szCs w:val="24"/>
                          </w:rPr>
                          <w:t>fundin</w:t>
                        </w:r>
                        <w:r w:rsidR="009534C2" w:rsidRPr="001A5EBC">
                          <w:rPr>
                            <w:color w:val="FFFFFF" w:themeColor="background1"/>
                            <w:sz w:val="24"/>
                            <w:szCs w:val="24"/>
                          </w:rPr>
                          <w:t xml:space="preserve">g </w:t>
                        </w:r>
                        <w:r w:rsidR="00E5465D" w:rsidRPr="001A5EBC">
                          <w:rPr>
                            <w:color w:val="FFFFFF" w:themeColor="background1"/>
                            <w:sz w:val="24"/>
                            <w:szCs w:val="24"/>
                          </w:rPr>
                          <w:t>(primarily to funding publicly owned CCUS and hydrogen infrastructure and grants/tax incentives to accelerate fuel switching)</w:t>
                        </w:r>
                        <w:r w:rsidR="001F5843">
                          <w:rPr>
                            <w:color w:val="FFFFFF" w:themeColor="background1"/>
                            <w:sz w:val="24"/>
                            <w:szCs w:val="24"/>
                          </w:rPr>
                          <w:t xml:space="preserve">, </w:t>
                        </w:r>
                        <w:r w:rsidR="001F5843" w:rsidRPr="001A5EBC">
                          <w:rPr>
                            <w:color w:val="FFFFFF" w:themeColor="background1"/>
                            <w:sz w:val="24"/>
                            <w:szCs w:val="24"/>
                          </w:rPr>
                          <w:t>and £</w:t>
                        </w:r>
                        <w:r w:rsidR="001F5843">
                          <w:rPr>
                            <w:color w:val="FFFFFF" w:themeColor="background1"/>
                            <w:sz w:val="24"/>
                            <w:szCs w:val="24"/>
                          </w:rPr>
                          <w:t>3.2</w:t>
                        </w:r>
                        <w:r w:rsidR="001F5843" w:rsidRPr="001A5EBC">
                          <w:rPr>
                            <w:color w:val="FFFFFF" w:themeColor="background1"/>
                            <w:sz w:val="24"/>
                            <w:szCs w:val="24"/>
                          </w:rPr>
                          <w:t>bn from private sector</w:t>
                        </w:r>
                        <w:r w:rsidR="001F5843">
                          <w:rPr>
                            <w:color w:val="FFFFFF" w:themeColor="background1"/>
                            <w:sz w:val="24"/>
                            <w:szCs w:val="24"/>
                          </w:rPr>
                          <w:t>.</w:t>
                        </w:r>
                      </w:p>
                      <w:p w14:paraId="46A6CB35" w14:textId="3D9E8FFF" w:rsidR="00D125AB" w:rsidRPr="001A5EBC" w:rsidRDefault="00D125AB" w:rsidP="0057028F">
                        <w:pPr>
                          <w:pStyle w:val="ListBullet"/>
                          <w:numPr>
                            <w:ilvl w:val="0"/>
                            <w:numId w:val="0"/>
                          </w:numPr>
                          <w:jc w:val="both"/>
                          <w:rPr>
                            <w:sz w:val="24"/>
                            <w:szCs w:val="24"/>
                          </w:rPr>
                        </w:pPr>
                      </w:p>
                      <w:p w14:paraId="310E4912" w14:textId="77777777" w:rsidR="00E86FE0" w:rsidRPr="001A5EBC" w:rsidRDefault="00E86FE0" w:rsidP="00E86FE0">
                        <w:pPr>
                          <w:rPr>
                            <w:color w:val="FFFFFF" w:themeColor="background1"/>
                          </w:rPr>
                        </w:pPr>
                      </w:p>
                    </w:txbxContent>
                  </v:textbox>
                </v:shape>
                <w10:wrap anchorx="page"/>
              </v:group>
            </w:pict>
          </mc:Fallback>
        </mc:AlternateContent>
      </w:r>
      <w:r w:rsidRPr="001A5EBC">
        <w:rPr>
          <w:noProof/>
        </w:rPr>
        <mc:AlternateContent>
          <mc:Choice Requires="wpg">
            <w:drawing>
              <wp:anchor distT="0" distB="0" distL="114300" distR="114300" simplePos="0" relativeHeight="251657232" behindDoc="0" locked="0" layoutInCell="1" allowOverlap="1" wp14:anchorId="4F9344C8" wp14:editId="3795F0D0">
                <wp:simplePos x="0" y="0"/>
                <wp:positionH relativeFrom="page">
                  <wp:posOffset>0</wp:posOffset>
                </wp:positionH>
                <wp:positionV relativeFrom="paragraph">
                  <wp:posOffset>2360295</wp:posOffset>
                </wp:positionV>
                <wp:extent cx="7019925" cy="1898015"/>
                <wp:effectExtent l="0" t="0" r="9525" b="6985"/>
                <wp:wrapNone/>
                <wp:docPr id="1071145333" name="Group 12"/>
                <wp:cNvGraphicFramePr/>
                <a:graphic xmlns:a="http://schemas.openxmlformats.org/drawingml/2006/main">
                  <a:graphicData uri="http://schemas.microsoft.com/office/word/2010/wordprocessingGroup">
                    <wpg:wgp>
                      <wpg:cNvGrpSpPr/>
                      <wpg:grpSpPr>
                        <a:xfrm>
                          <a:off x="0" y="0"/>
                          <a:ext cx="7019925" cy="1898015"/>
                          <a:chOff x="0" y="0"/>
                          <a:chExt cx="7020000" cy="1198800"/>
                        </a:xfrm>
                      </wpg:grpSpPr>
                      <wps:wsp>
                        <wps:cNvPr id="1890644554" name="Rectangle 9"/>
                        <wps:cNvSpPr/>
                        <wps:spPr>
                          <a:xfrm>
                            <a:off x="0" y="0"/>
                            <a:ext cx="7020000" cy="11988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3268643" name="Text Box 10"/>
                        <wps:cNvSpPr txBox="1"/>
                        <wps:spPr>
                          <a:xfrm>
                            <a:off x="393405" y="159489"/>
                            <a:ext cx="554355" cy="762635"/>
                          </a:xfrm>
                          <a:prstGeom prst="callout1">
                            <a:avLst>
                              <a:gd name="adj1" fmla="val -182"/>
                              <a:gd name="adj2" fmla="val 100186"/>
                              <a:gd name="adj3" fmla="val 100614"/>
                              <a:gd name="adj4" fmla="val 99739"/>
                            </a:avLst>
                          </a:prstGeom>
                          <a:noFill/>
                          <a:ln w="6350">
                            <a:solidFill>
                              <a:schemeClr val="bg1"/>
                            </a:solidFill>
                          </a:ln>
                        </wps:spPr>
                        <wps:txbx>
                          <w:txbxContent>
                            <w:p w14:paraId="77554C97" w14:textId="77777777" w:rsidR="000900F5" w:rsidRPr="001A5EBC" w:rsidRDefault="000900F5" w:rsidP="000900F5">
                              <w:pPr>
                                <w:jc w:val="right"/>
                                <w:rPr>
                                  <w:rFonts w:asciiTheme="majorHAnsi" w:hAnsiTheme="majorHAnsi"/>
                                  <w:b/>
                                  <w:bCs/>
                                  <w:color w:val="FFFFFF" w:themeColor="background1"/>
                                  <w:sz w:val="80"/>
                                  <w:szCs w:val="80"/>
                                </w:rPr>
                              </w:pPr>
                              <w:r w:rsidRPr="001A5EBC">
                                <w:rPr>
                                  <w:rFonts w:asciiTheme="majorHAnsi" w:hAnsiTheme="majorHAnsi"/>
                                  <w:b/>
                                  <w:bCs/>
                                  <w:color w:val="FFFFFF" w:themeColor="background1"/>
                                  <w:sz w:val="80"/>
                                  <w:szCs w:val="8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9997096" name="Text Box 11"/>
                        <wps:cNvSpPr txBox="1"/>
                        <wps:spPr>
                          <a:xfrm>
                            <a:off x="1105786" y="138208"/>
                            <a:ext cx="5472000" cy="989814"/>
                          </a:xfrm>
                          <a:prstGeom prst="rect">
                            <a:avLst/>
                          </a:prstGeom>
                          <a:noFill/>
                          <a:ln w="6350">
                            <a:noFill/>
                          </a:ln>
                        </wps:spPr>
                        <wps:txbx>
                          <w:txbxContent>
                            <w:p w14:paraId="1E682AED" w14:textId="1E13CAE1" w:rsidR="000900F5" w:rsidRPr="001A5EBC" w:rsidRDefault="00A20E03" w:rsidP="000900F5">
                              <w:pPr>
                                <w:pStyle w:val="StandardHeading16ptBlack"/>
                              </w:pPr>
                              <w:r w:rsidRPr="001A5EBC">
                                <w:t>Transport</w:t>
                              </w:r>
                            </w:p>
                            <w:p w14:paraId="1D43997F" w14:textId="16801E9B" w:rsidR="000900F5" w:rsidRPr="001A5EBC" w:rsidRDefault="000E677C" w:rsidP="00E86FE0">
                              <w:pPr>
                                <w:rPr>
                                  <w:color w:val="FFFFFF" w:themeColor="background1"/>
                                  <w:sz w:val="24"/>
                                  <w:szCs w:val="24"/>
                                </w:rPr>
                              </w:pPr>
                              <w:r w:rsidRPr="001A5EBC">
                                <w:rPr>
                                  <w:b/>
                                  <w:bCs/>
                                  <w:color w:val="FFFFFF" w:themeColor="background1"/>
                                  <w:sz w:val="24"/>
                                  <w:szCs w:val="24"/>
                                </w:rPr>
                                <w:t>Investments from</w:t>
                              </w:r>
                              <w:r w:rsidR="00797C51" w:rsidRPr="001A5EBC">
                                <w:rPr>
                                  <w:b/>
                                  <w:bCs/>
                                  <w:color w:val="FFFFFF" w:themeColor="background1"/>
                                  <w:sz w:val="24"/>
                                  <w:szCs w:val="24"/>
                                </w:rPr>
                                <w:t xml:space="preserve"> public finances</w:t>
                              </w:r>
                              <w:r w:rsidRPr="001A5EBC">
                                <w:rPr>
                                  <w:b/>
                                  <w:bCs/>
                                  <w:color w:val="FFFFFF" w:themeColor="background1"/>
                                  <w:sz w:val="24"/>
                                  <w:szCs w:val="24"/>
                                </w:rPr>
                                <w:t xml:space="preserve"> </w:t>
                              </w:r>
                              <w:r w:rsidR="00AB51F5" w:rsidRPr="001A5EBC">
                                <w:rPr>
                                  <w:b/>
                                  <w:bCs/>
                                  <w:color w:val="FFFFFF" w:themeColor="background1"/>
                                  <w:sz w:val="24"/>
                                  <w:szCs w:val="24"/>
                                </w:rPr>
                                <w:t xml:space="preserve">will be responsible </w:t>
                              </w:r>
                              <w:r w:rsidRPr="001A5EBC">
                                <w:rPr>
                                  <w:b/>
                                  <w:bCs/>
                                  <w:color w:val="FFFFFF" w:themeColor="background1"/>
                                  <w:sz w:val="24"/>
                                  <w:szCs w:val="24"/>
                                </w:rPr>
                                <w:t xml:space="preserve">for </w:t>
                              </w:r>
                              <w:r w:rsidR="00607D9B" w:rsidRPr="001A5EBC">
                                <w:rPr>
                                  <w:b/>
                                  <w:bCs/>
                                  <w:color w:val="FFFFFF" w:themeColor="background1"/>
                                  <w:sz w:val="24"/>
                                  <w:szCs w:val="24"/>
                                </w:rPr>
                                <w:t>3</w:t>
                              </w:r>
                              <w:r w:rsidRPr="001A5EBC">
                                <w:rPr>
                                  <w:b/>
                                  <w:bCs/>
                                  <w:color w:val="FFFFFF" w:themeColor="background1"/>
                                  <w:sz w:val="24"/>
                                  <w:szCs w:val="24"/>
                                </w:rPr>
                                <w:t>0%</w:t>
                              </w:r>
                              <w:r w:rsidR="00AB51F5" w:rsidRPr="001A5EBC">
                                <w:rPr>
                                  <w:b/>
                                  <w:bCs/>
                                  <w:color w:val="FFFFFF" w:themeColor="background1"/>
                                  <w:sz w:val="24"/>
                                  <w:szCs w:val="24"/>
                                </w:rPr>
                                <w:t xml:space="preserve"> of the required investments in the transport sector, while</w:t>
                              </w:r>
                              <w:r w:rsidRPr="001A5EBC">
                                <w:rPr>
                                  <w:b/>
                                  <w:bCs/>
                                  <w:color w:val="FFFFFF" w:themeColor="background1"/>
                                  <w:sz w:val="24"/>
                                  <w:szCs w:val="24"/>
                                </w:rPr>
                                <w:t xml:space="preserve"> </w:t>
                              </w:r>
                              <w:r w:rsidR="00AB51F5" w:rsidRPr="001A5EBC">
                                <w:rPr>
                                  <w:b/>
                                  <w:bCs/>
                                  <w:color w:val="FFFFFF" w:themeColor="background1"/>
                                  <w:sz w:val="24"/>
                                  <w:szCs w:val="24"/>
                                </w:rPr>
                                <w:t xml:space="preserve">the remaining </w:t>
                              </w:r>
                              <w:r w:rsidR="00607D9B" w:rsidRPr="001A5EBC">
                                <w:rPr>
                                  <w:b/>
                                  <w:bCs/>
                                  <w:color w:val="FFFFFF" w:themeColor="background1"/>
                                  <w:sz w:val="24"/>
                                  <w:szCs w:val="24"/>
                                </w:rPr>
                                <w:t>7</w:t>
                              </w:r>
                              <w:r w:rsidRPr="001A5EBC">
                                <w:rPr>
                                  <w:b/>
                                  <w:bCs/>
                                  <w:color w:val="FFFFFF" w:themeColor="background1"/>
                                  <w:sz w:val="24"/>
                                  <w:szCs w:val="24"/>
                                </w:rPr>
                                <w:t>0%</w:t>
                              </w:r>
                              <w:r w:rsidR="00AB51F5" w:rsidRPr="001A5EBC">
                                <w:rPr>
                                  <w:b/>
                                  <w:bCs/>
                                  <w:color w:val="FFFFFF" w:themeColor="background1"/>
                                  <w:sz w:val="24"/>
                                  <w:szCs w:val="24"/>
                                </w:rPr>
                                <w:t xml:space="preserve"> will be covered by</w:t>
                              </w:r>
                              <w:r w:rsidR="00607D9B" w:rsidRPr="001A5EBC">
                                <w:rPr>
                                  <w:b/>
                                  <w:bCs/>
                                  <w:color w:val="FFFFFF" w:themeColor="background1"/>
                                  <w:sz w:val="24"/>
                                  <w:szCs w:val="24"/>
                                </w:rPr>
                                <w:t xml:space="preserve"> households and businesses</w:t>
                              </w:r>
                              <w:r w:rsidRPr="001A5EBC">
                                <w:rPr>
                                  <w:b/>
                                  <w:bCs/>
                                  <w:color w:val="FFFFFF" w:themeColor="background1"/>
                                  <w:sz w:val="24"/>
                                  <w:szCs w:val="24"/>
                                </w:rPr>
                                <w:t>.</w:t>
                              </w:r>
                              <w:r w:rsidR="00AB51F5" w:rsidRPr="001A5EBC">
                                <w:rPr>
                                  <w:color w:val="FFFFFF" w:themeColor="background1"/>
                                  <w:sz w:val="24"/>
                                  <w:szCs w:val="24"/>
                                </w:rPr>
                                <w:t xml:space="preserve"> </w:t>
                              </w:r>
                              <w:r w:rsidRPr="001A5EBC">
                                <w:rPr>
                                  <w:color w:val="FFFFFF" w:themeColor="background1"/>
                                  <w:sz w:val="24"/>
                                  <w:szCs w:val="24"/>
                                </w:rPr>
                                <w:t xml:space="preserve">Assuming £4bn </w:t>
                              </w:r>
                              <w:r w:rsidR="00A26DE8" w:rsidRPr="001A5EBC">
                                <w:rPr>
                                  <w:color w:val="FFFFFF" w:themeColor="background1"/>
                                  <w:sz w:val="24"/>
                                  <w:szCs w:val="24"/>
                                </w:rPr>
                                <w:t>investments in the transport sector are allocated to</w:t>
                              </w:r>
                              <w:r w:rsidRPr="001A5EBC">
                                <w:rPr>
                                  <w:color w:val="FFFFFF" w:themeColor="background1"/>
                                  <w:sz w:val="24"/>
                                  <w:szCs w:val="24"/>
                                </w:rPr>
                                <w:t xml:space="preserve"> the North</w:t>
                              </w:r>
                              <w:r w:rsidR="00A26DE8" w:rsidRPr="001A5EBC">
                                <w:rPr>
                                  <w:color w:val="FFFFFF" w:themeColor="background1"/>
                                  <w:sz w:val="24"/>
                                  <w:szCs w:val="24"/>
                                </w:rPr>
                                <w:t xml:space="preserve"> of England</w:t>
                              </w:r>
                              <w:r w:rsidRPr="001A5EBC">
                                <w:rPr>
                                  <w:color w:val="FFFFFF" w:themeColor="background1"/>
                                  <w:sz w:val="24"/>
                                  <w:szCs w:val="24"/>
                                </w:rPr>
                                <w:t>, £</w:t>
                              </w:r>
                              <w:r w:rsidR="00C414BD" w:rsidRPr="001A5EBC">
                                <w:rPr>
                                  <w:color w:val="FFFFFF" w:themeColor="background1"/>
                                  <w:sz w:val="24"/>
                                  <w:szCs w:val="24"/>
                                </w:rPr>
                                <w:t>1.2</w:t>
                              </w:r>
                              <w:r w:rsidRPr="001A5EBC">
                                <w:rPr>
                                  <w:color w:val="FFFFFF" w:themeColor="background1"/>
                                  <w:sz w:val="24"/>
                                  <w:szCs w:val="24"/>
                                </w:rPr>
                                <w:t xml:space="preserve">bn </w:t>
                              </w:r>
                              <w:r w:rsidR="00256581" w:rsidRPr="001A5EBC">
                                <w:rPr>
                                  <w:color w:val="FFFFFF" w:themeColor="background1"/>
                                  <w:sz w:val="24"/>
                                  <w:szCs w:val="24"/>
                                </w:rPr>
                                <w:t>will be covered by</w:t>
                              </w:r>
                              <w:r w:rsidRPr="001A5EBC">
                                <w:rPr>
                                  <w:color w:val="FFFFFF" w:themeColor="background1"/>
                                  <w:sz w:val="24"/>
                                  <w:szCs w:val="24"/>
                                </w:rPr>
                                <w:t xml:space="preserve"> </w:t>
                              </w:r>
                              <w:r w:rsidR="00C414BD" w:rsidRPr="001A5EBC">
                                <w:rPr>
                                  <w:color w:val="FFFFFF" w:themeColor="background1"/>
                                  <w:sz w:val="24"/>
                                  <w:szCs w:val="24"/>
                                </w:rPr>
                                <w:t>public</w:t>
                              </w:r>
                              <w:r w:rsidRPr="001A5EBC">
                                <w:rPr>
                                  <w:color w:val="FFFFFF" w:themeColor="background1"/>
                                  <w:sz w:val="24"/>
                                  <w:szCs w:val="24"/>
                                </w:rPr>
                                <w:t xml:space="preserve"> investment</w:t>
                              </w:r>
                              <w:r w:rsidR="00C414BD" w:rsidRPr="001A5EBC">
                                <w:rPr>
                                  <w:color w:val="FFFFFF" w:themeColor="background1"/>
                                  <w:sz w:val="24"/>
                                  <w:szCs w:val="24"/>
                                </w:rPr>
                                <w:t xml:space="preserve">s (primarily in upgrading the required </w:t>
                              </w:r>
                              <w:r w:rsidR="001F5843">
                                <w:rPr>
                                  <w:color w:val="FFFFFF" w:themeColor="background1"/>
                                  <w:sz w:val="24"/>
                                  <w:szCs w:val="24"/>
                                </w:rPr>
                                <w:t xml:space="preserve">public and active </w:t>
                              </w:r>
                              <w:r w:rsidR="00C414BD" w:rsidRPr="001A5EBC">
                                <w:rPr>
                                  <w:color w:val="FFFFFF" w:themeColor="background1"/>
                                  <w:sz w:val="24"/>
                                  <w:szCs w:val="24"/>
                                </w:rPr>
                                <w:t>transport infrastructure at the required scale and pace)</w:t>
                              </w:r>
                              <w:r w:rsidRPr="001A5EBC">
                                <w:rPr>
                                  <w:color w:val="FFFFFF" w:themeColor="background1"/>
                                  <w:sz w:val="24"/>
                                  <w:szCs w:val="24"/>
                                </w:rPr>
                                <w:t xml:space="preserve"> and £2</w:t>
                              </w:r>
                              <w:r w:rsidR="00C414BD" w:rsidRPr="001A5EBC">
                                <w:rPr>
                                  <w:color w:val="FFFFFF" w:themeColor="background1"/>
                                  <w:sz w:val="24"/>
                                  <w:szCs w:val="24"/>
                                </w:rPr>
                                <w:t>.8</w:t>
                              </w:r>
                              <w:r w:rsidRPr="001A5EBC">
                                <w:rPr>
                                  <w:color w:val="FFFFFF" w:themeColor="background1"/>
                                  <w:sz w:val="24"/>
                                  <w:szCs w:val="24"/>
                                </w:rPr>
                                <w:t xml:space="preserve">bn </w:t>
                              </w:r>
                              <w:r w:rsidR="00256581" w:rsidRPr="001A5EBC">
                                <w:rPr>
                                  <w:color w:val="FFFFFF" w:themeColor="background1"/>
                                  <w:sz w:val="24"/>
                                  <w:szCs w:val="24"/>
                                </w:rPr>
                                <w:t>by</w:t>
                              </w:r>
                              <w:r w:rsidR="00C414BD" w:rsidRPr="001A5EBC">
                                <w:rPr>
                                  <w:color w:val="FFFFFF" w:themeColor="background1"/>
                                  <w:sz w:val="24"/>
                                  <w:szCs w:val="24"/>
                                </w:rPr>
                                <w:t xml:space="preserve"> private</w:t>
                              </w:r>
                              <w:r w:rsidRPr="001A5EBC">
                                <w:rPr>
                                  <w:color w:val="FFFFFF" w:themeColor="background1"/>
                                  <w:sz w:val="24"/>
                                  <w:szCs w:val="24"/>
                                </w:rPr>
                                <w:t xml:space="preserve"> </w:t>
                              </w:r>
                              <w:r w:rsidR="00256581" w:rsidRPr="001A5EBC">
                                <w:rPr>
                                  <w:color w:val="FFFFFF" w:themeColor="background1"/>
                                  <w:sz w:val="24"/>
                                  <w:szCs w:val="24"/>
                                </w:rPr>
                                <w:t>funds</w:t>
                              </w:r>
                              <w:r w:rsidRPr="001A5EBC">
                                <w:rPr>
                                  <w:color w:val="FFFFFF" w:themeColor="background1"/>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F9344C8" id="_x0000_s1040" style="position:absolute;margin-left:0;margin-top:185.85pt;width:552.75pt;height:149.45pt;z-index:251657232;mso-position-horizontal-relative:page;mso-height-relative:margin" coordsize="70200,1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">
                <v:rect id="Rectangle 9" o:spid="_x0000_s1041" style="position:absolute;width:70200;height:1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" fillcolor="#009fe3 [3204]" stroked="f" strokeweight="2pt"/>
                <v:shape id="_x0000_s1042" type="#_x0000_t41" style="position:absolute;left:3934;top:1594;width:5543;height:7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" adj="21544,21733,21640,-39" filled="f" strokecolor="white [3212]" strokeweight=".5pt">
                  <v:textbox>
                    <w:txbxContent>
                      <w:p w14:paraId="77554C97" w14:textId="77777777" w:rsidR="000900F5" w:rsidRPr="001A5EBC" w:rsidRDefault="000900F5" w:rsidP="000900F5">
                        <w:pPr>
                          <w:jc w:val="right"/>
                          <w:rPr>
                            <w:rFonts w:asciiTheme="majorHAnsi" w:hAnsiTheme="majorHAnsi"/>
                            <w:b/>
                            <w:bCs/>
                            <w:color w:val="FFFFFF" w:themeColor="background1"/>
                            <w:sz w:val="80"/>
                            <w:szCs w:val="80"/>
                          </w:rPr>
                        </w:pPr>
                        <w:r w:rsidRPr="001A5EBC">
                          <w:rPr>
                            <w:rFonts w:asciiTheme="majorHAnsi" w:hAnsiTheme="majorHAnsi"/>
                            <w:b/>
                            <w:bCs/>
                            <w:color w:val="FFFFFF" w:themeColor="background1"/>
                            <w:sz w:val="80"/>
                            <w:szCs w:val="80"/>
                          </w:rPr>
                          <w:t>3</w:t>
                        </w:r>
                      </w:p>
                    </w:txbxContent>
                  </v:textbox>
                  <o:callout v:ext="edit" minusy="t"/>
                </v:shape>
                <v:shape id="Text Box 11" o:spid="_x0000_s1043" type="#_x0000_t202" style="position:absolute;left:11057;top:1382;width:54720;height:9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" filled="f" stroked="f" strokeweight=".5pt">
                  <v:textbox inset="0,0,0,0">
                    <w:txbxContent>
                      <w:p w14:paraId="1E682AED" w14:textId="1E13CAE1" w:rsidR="000900F5" w:rsidRPr="001A5EBC" w:rsidRDefault="00A20E03" w:rsidP="000900F5">
                        <w:pPr>
                          <w:pStyle w:val="StandardHeading16ptBlack"/>
                        </w:pPr>
                        <w:r w:rsidRPr="001A5EBC">
                          <w:t>Transport</w:t>
                        </w:r>
                      </w:p>
                      <w:p w14:paraId="1D43997F" w14:textId="16801E9B" w:rsidR="000900F5" w:rsidRPr="001A5EBC" w:rsidRDefault="000E677C" w:rsidP="00E86FE0">
                        <w:pPr>
                          <w:rPr>
                            <w:color w:val="FFFFFF" w:themeColor="background1"/>
                            <w:sz w:val="24"/>
                            <w:szCs w:val="24"/>
                          </w:rPr>
                        </w:pPr>
                        <w:r w:rsidRPr="001A5EBC">
                          <w:rPr>
                            <w:b/>
                            <w:bCs/>
                            <w:color w:val="FFFFFF" w:themeColor="background1"/>
                            <w:sz w:val="24"/>
                            <w:szCs w:val="24"/>
                          </w:rPr>
                          <w:t>Investments from</w:t>
                        </w:r>
                        <w:r w:rsidR="00797C51" w:rsidRPr="001A5EBC">
                          <w:rPr>
                            <w:b/>
                            <w:bCs/>
                            <w:color w:val="FFFFFF" w:themeColor="background1"/>
                            <w:sz w:val="24"/>
                            <w:szCs w:val="24"/>
                          </w:rPr>
                          <w:t xml:space="preserve"> public finances</w:t>
                        </w:r>
                        <w:r w:rsidRPr="001A5EBC">
                          <w:rPr>
                            <w:b/>
                            <w:bCs/>
                            <w:color w:val="FFFFFF" w:themeColor="background1"/>
                            <w:sz w:val="24"/>
                            <w:szCs w:val="24"/>
                          </w:rPr>
                          <w:t xml:space="preserve"> </w:t>
                        </w:r>
                        <w:r w:rsidR="00AB51F5" w:rsidRPr="001A5EBC">
                          <w:rPr>
                            <w:b/>
                            <w:bCs/>
                            <w:color w:val="FFFFFF" w:themeColor="background1"/>
                            <w:sz w:val="24"/>
                            <w:szCs w:val="24"/>
                          </w:rPr>
                          <w:t xml:space="preserve">will be responsible </w:t>
                        </w:r>
                        <w:r w:rsidRPr="001A5EBC">
                          <w:rPr>
                            <w:b/>
                            <w:bCs/>
                            <w:color w:val="FFFFFF" w:themeColor="background1"/>
                            <w:sz w:val="24"/>
                            <w:szCs w:val="24"/>
                          </w:rPr>
                          <w:t xml:space="preserve">for </w:t>
                        </w:r>
                        <w:r w:rsidR="00607D9B" w:rsidRPr="001A5EBC">
                          <w:rPr>
                            <w:b/>
                            <w:bCs/>
                            <w:color w:val="FFFFFF" w:themeColor="background1"/>
                            <w:sz w:val="24"/>
                            <w:szCs w:val="24"/>
                          </w:rPr>
                          <w:t>3</w:t>
                        </w:r>
                        <w:r w:rsidRPr="001A5EBC">
                          <w:rPr>
                            <w:b/>
                            <w:bCs/>
                            <w:color w:val="FFFFFF" w:themeColor="background1"/>
                            <w:sz w:val="24"/>
                            <w:szCs w:val="24"/>
                          </w:rPr>
                          <w:t>0%</w:t>
                        </w:r>
                        <w:r w:rsidR="00AB51F5" w:rsidRPr="001A5EBC">
                          <w:rPr>
                            <w:b/>
                            <w:bCs/>
                            <w:color w:val="FFFFFF" w:themeColor="background1"/>
                            <w:sz w:val="24"/>
                            <w:szCs w:val="24"/>
                          </w:rPr>
                          <w:t xml:space="preserve"> of the required investments in the transport sector, while</w:t>
                        </w:r>
                        <w:r w:rsidRPr="001A5EBC">
                          <w:rPr>
                            <w:b/>
                            <w:bCs/>
                            <w:color w:val="FFFFFF" w:themeColor="background1"/>
                            <w:sz w:val="24"/>
                            <w:szCs w:val="24"/>
                          </w:rPr>
                          <w:t xml:space="preserve"> </w:t>
                        </w:r>
                        <w:r w:rsidR="00AB51F5" w:rsidRPr="001A5EBC">
                          <w:rPr>
                            <w:b/>
                            <w:bCs/>
                            <w:color w:val="FFFFFF" w:themeColor="background1"/>
                            <w:sz w:val="24"/>
                            <w:szCs w:val="24"/>
                          </w:rPr>
                          <w:t xml:space="preserve">the remaining </w:t>
                        </w:r>
                        <w:r w:rsidR="00607D9B" w:rsidRPr="001A5EBC">
                          <w:rPr>
                            <w:b/>
                            <w:bCs/>
                            <w:color w:val="FFFFFF" w:themeColor="background1"/>
                            <w:sz w:val="24"/>
                            <w:szCs w:val="24"/>
                          </w:rPr>
                          <w:t>7</w:t>
                        </w:r>
                        <w:r w:rsidRPr="001A5EBC">
                          <w:rPr>
                            <w:b/>
                            <w:bCs/>
                            <w:color w:val="FFFFFF" w:themeColor="background1"/>
                            <w:sz w:val="24"/>
                            <w:szCs w:val="24"/>
                          </w:rPr>
                          <w:t>0%</w:t>
                        </w:r>
                        <w:r w:rsidR="00AB51F5" w:rsidRPr="001A5EBC">
                          <w:rPr>
                            <w:b/>
                            <w:bCs/>
                            <w:color w:val="FFFFFF" w:themeColor="background1"/>
                            <w:sz w:val="24"/>
                            <w:szCs w:val="24"/>
                          </w:rPr>
                          <w:t xml:space="preserve"> will be covered by</w:t>
                        </w:r>
                        <w:r w:rsidR="00607D9B" w:rsidRPr="001A5EBC">
                          <w:rPr>
                            <w:b/>
                            <w:bCs/>
                            <w:color w:val="FFFFFF" w:themeColor="background1"/>
                            <w:sz w:val="24"/>
                            <w:szCs w:val="24"/>
                          </w:rPr>
                          <w:t xml:space="preserve"> households and businesses</w:t>
                        </w:r>
                        <w:r w:rsidRPr="001A5EBC">
                          <w:rPr>
                            <w:b/>
                            <w:bCs/>
                            <w:color w:val="FFFFFF" w:themeColor="background1"/>
                            <w:sz w:val="24"/>
                            <w:szCs w:val="24"/>
                          </w:rPr>
                          <w:t>.</w:t>
                        </w:r>
                        <w:r w:rsidR="00AB51F5" w:rsidRPr="001A5EBC">
                          <w:rPr>
                            <w:color w:val="FFFFFF" w:themeColor="background1"/>
                            <w:sz w:val="24"/>
                            <w:szCs w:val="24"/>
                          </w:rPr>
                          <w:t xml:space="preserve"> </w:t>
                        </w:r>
                        <w:r w:rsidRPr="001A5EBC">
                          <w:rPr>
                            <w:color w:val="FFFFFF" w:themeColor="background1"/>
                            <w:sz w:val="24"/>
                            <w:szCs w:val="24"/>
                          </w:rPr>
                          <w:t xml:space="preserve">Assuming £4bn </w:t>
                        </w:r>
                        <w:r w:rsidR="00A26DE8" w:rsidRPr="001A5EBC">
                          <w:rPr>
                            <w:color w:val="FFFFFF" w:themeColor="background1"/>
                            <w:sz w:val="24"/>
                            <w:szCs w:val="24"/>
                          </w:rPr>
                          <w:t>investments in the transport sector are allocated to</w:t>
                        </w:r>
                        <w:r w:rsidRPr="001A5EBC">
                          <w:rPr>
                            <w:color w:val="FFFFFF" w:themeColor="background1"/>
                            <w:sz w:val="24"/>
                            <w:szCs w:val="24"/>
                          </w:rPr>
                          <w:t xml:space="preserve"> the North</w:t>
                        </w:r>
                        <w:r w:rsidR="00A26DE8" w:rsidRPr="001A5EBC">
                          <w:rPr>
                            <w:color w:val="FFFFFF" w:themeColor="background1"/>
                            <w:sz w:val="24"/>
                            <w:szCs w:val="24"/>
                          </w:rPr>
                          <w:t xml:space="preserve"> of England</w:t>
                        </w:r>
                        <w:r w:rsidRPr="001A5EBC">
                          <w:rPr>
                            <w:color w:val="FFFFFF" w:themeColor="background1"/>
                            <w:sz w:val="24"/>
                            <w:szCs w:val="24"/>
                          </w:rPr>
                          <w:t>, £</w:t>
                        </w:r>
                        <w:r w:rsidR="00C414BD" w:rsidRPr="001A5EBC">
                          <w:rPr>
                            <w:color w:val="FFFFFF" w:themeColor="background1"/>
                            <w:sz w:val="24"/>
                            <w:szCs w:val="24"/>
                          </w:rPr>
                          <w:t>1.2</w:t>
                        </w:r>
                        <w:r w:rsidRPr="001A5EBC">
                          <w:rPr>
                            <w:color w:val="FFFFFF" w:themeColor="background1"/>
                            <w:sz w:val="24"/>
                            <w:szCs w:val="24"/>
                          </w:rPr>
                          <w:t xml:space="preserve">bn </w:t>
                        </w:r>
                        <w:r w:rsidR="00256581" w:rsidRPr="001A5EBC">
                          <w:rPr>
                            <w:color w:val="FFFFFF" w:themeColor="background1"/>
                            <w:sz w:val="24"/>
                            <w:szCs w:val="24"/>
                          </w:rPr>
                          <w:t>will be covered by</w:t>
                        </w:r>
                        <w:r w:rsidRPr="001A5EBC">
                          <w:rPr>
                            <w:color w:val="FFFFFF" w:themeColor="background1"/>
                            <w:sz w:val="24"/>
                            <w:szCs w:val="24"/>
                          </w:rPr>
                          <w:t xml:space="preserve"> </w:t>
                        </w:r>
                        <w:r w:rsidR="00C414BD" w:rsidRPr="001A5EBC">
                          <w:rPr>
                            <w:color w:val="FFFFFF" w:themeColor="background1"/>
                            <w:sz w:val="24"/>
                            <w:szCs w:val="24"/>
                          </w:rPr>
                          <w:t>public</w:t>
                        </w:r>
                        <w:r w:rsidRPr="001A5EBC">
                          <w:rPr>
                            <w:color w:val="FFFFFF" w:themeColor="background1"/>
                            <w:sz w:val="24"/>
                            <w:szCs w:val="24"/>
                          </w:rPr>
                          <w:t xml:space="preserve"> investment</w:t>
                        </w:r>
                        <w:r w:rsidR="00C414BD" w:rsidRPr="001A5EBC">
                          <w:rPr>
                            <w:color w:val="FFFFFF" w:themeColor="background1"/>
                            <w:sz w:val="24"/>
                            <w:szCs w:val="24"/>
                          </w:rPr>
                          <w:t xml:space="preserve">s (primarily in upgrading the required </w:t>
                        </w:r>
                        <w:r w:rsidR="001F5843">
                          <w:rPr>
                            <w:color w:val="FFFFFF" w:themeColor="background1"/>
                            <w:sz w:val="24"/>
                            <w:szCs w:val="24"/>
                          </w:rPr>
                          <w:t xml:space="preserve">public and active </w:t>
                        </w:r>
                        <w:r w:rsidR="00C414BD" w:rsidRPr="001A5EBC">
                          <w:rPr>
                            <w:color w:val="FFFFFF" w:themeColor="background1"/>
                            <w:sz w:val="24"/>
                            <w:szCs w:val="24"/>
                          </w:rPr>
                          <w:t>transport infrastructure at the required scale and pace)</w:t>
                        </w:r>
                        <w:r w:rsidRPr="001A5EBC">
                          <w:rPr>
                            <w:color w:val="FFFFFF" w:themeColor="background1"/>
                            <w:sz w:val="24"/>
                            <w:szCs w:val="24"/>
                          </w:rPr>
                          <w:t xml:space="preserve"> and £2</w:t>
                        </w:r>
                        <w:r w:rsidR="00C414BD" w:rsidRPr="001A5EBC">
                          <w:rPr>
                            <w:color w:val="FFFFFF" w:themeColor="background1"/>
                            <w:sz w:val="24"/>
                            <w:szCs w:val="24"/>
                          </w:rPr>
                          <w:t>.8</w:t>
                        </w:r>
                        <w:r w:rsidRPr="001A5EBC">
                          <w:rPr>
                            <w:color w:val="FFFFFF" w:themeColor="background1"/>
                            <w:sz w:val="24"/>
                            <w:szCs w:val="24"/>
                          </w:rPr>
                          <w:t xml:space="preserve">bn </w:t>
                        </w:r>
                        <w:r w:rsidR="00256581" w:rsidRPr="001A5EBC">
                          <w:rPr>
                            <w:color w:val="FFFFFF" w:themeColor="background1"/>
                            <w:sz w:val="24"/>
                            <w:szCs w:val="24"/>
                          </w:rPr>
                          <w:t>by</w:t>
                        </w:r>
                        <w:r w:rsidR="00C414BD" w:rsidRPr="001A5EBC">
                          <w:rPr>
                            <w:color w:val="FFFFFF" w:themeColor="background1"/>
                            <w:sz w:val="24"/>
                            <w:szCs w:val="24"/>
                          </w:rPr>
                          <w:t xml:space="preserve"> private</w:t>
                        </w:r>
                        <w:r w:rsidRPr="001A5EBC">
                          <w:rPr>
                            <w:color w:val="FFFFFF" w:themeColor="background1"/>
                            <w:sz w:val="24"/>
                            <w:szCs w:val="24"/>
                          </w:rPr>
                          <w:t xml:space="preserve"> </w:t>
                        </w:r>
                        <w:r w:rsidR="00256581" w:rsidRPr="001A5EBC">
                          <w:rPr>
                            <w:color w:val="FFFFFF" w:themeColor="background1"/>
                            <w:sz w:val="24"/>
                            <w:szCs w:val="24"/>
                          </w:rPr>
                          <w:t>funds</w:t>
                        </w:r>
                        <w:r w:rsidRPr="001A5EBC">
                          <w:rPr>
                            <w:color w:val="FFFFFF" w:themeColor="background1"/>
                            <w:sz w:val="24"/>
                            <w:szCs w:val="24"/>
                          </w:rPr>
                          <w:t>.</w:t>
                        </w:r>
                      </w:p>
                    </w:txbxContent>
                  </v:textbox>
                </v:shape>
                <w10:wrap anchorx="page"/>
              </v:group>
            </w:pict>
          </mc:Fallback>
        </mc:AlternateContent>
      </w:r>
      <w:r w:rsidRPr="001A5EBC">
        <w:rPr>
          <w:noProof/>
        </w:rPr>
        <mc:AlternateContent>
          <mc:Choice Requires="wpg">
            <w:drawing>
              <wp:anchor distT="0" distB="0" distL="114300" distR="114300" simplePos="0" relativeHeight="251657233" behindDoc="0" locked="0" layoutInCell="1" allowOverlap="1" wp14:anchorId="7130CC3C" wp14:editId="20285FD9">
                <wp:simplePos x="0" y="0"/>
                <wp:positionH relativeFrom="page">
                  <wp:posOffset>0</wp:posOffset>
                </wp:positionH>
                <wp:positionV relativeFrom="paragraph">
                  <wp:posOffset>566420</wp:posOffset>
                </wp:positionV>
                <wp:extent cx="7018655" cy="1670050"/>
                <wp:effectExtent l="0" t="0" r="0" b="6350"/>
                <wp:wrapNone/>
                <wp:docPr id="1862727" name="Group 12"/>
                <wp:cNvGraphicFramePr/>
                <a:graphic xmlns:a="http://schemas.openxmlformats.org/drawingml/2006/main">
                  <a:graphicData uri="http://schemas.microsoft.com/office/word/2010/wordprocessingGroup">
                    <wpg:wgp>
                      <wpg:cNvGrpSpPr/>
                      <wpg:grpSpPr>
                        <a:xfrm>
                          <a:off x="0" y="0"/>
                          <a:ext cx="7018655" cy="1670050"/>
                          <a:chOff x="0" y="0"/>
                          <a:chExt cx="7020000" cy="1198800"/>
                        </a:xfrm>
                      </wpg:grpSpPr>
                      <wps:wsp>
                        <wps:cNvPr id="1595955570" name="Rectangle 9"/>
                        <wps:cNvSpPr/>
                        <wps:spPr>
                          <a:xfrm>
                            <a:off x="0" y="0"/>
                            <a:ext cx="7020000" cy="11988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607961" name="Text Box 10"/>
                        <wps:cNvSpPr txBox="1"/>
                        <wps:spPr>
                          <a:xfrm>
                            <a:off x="393405" y="159489"/>
                            <a:ext cx="554355" cy="762635"/>
                          </a:xfrm>
                          <a:prstGeom prst="callout1">
                            <a:avLst>
                              <a:gd name="adj1" fmla="val -182"/>
                              <a:gd name="adj2" fmla="val 100186"/>
                              <a:gd name="adj3" fmla="val 100614"/>
                              <a:gd name="adj4" fmla="val 99739"/>
                            </a:avLst>
                          </a:prstGeom>
                          <a:noFill/>
                          <a:ln w="6350">
                            <a:solidFill>
                              <a:schemeClr val="bg1"/>
                            </a:solidFill>
                          </a:ln>
                        </wps:spPr>
                        <wps:txbx>
                          <w:txbxContent>
                            <w:p w14:paraId="425B23A4" w14:textId="77777777" w:rsidR="000900F5" w:rsidRPr="001A5EBC" w:rsidRDefault="000900F5" w:rsidP="000900F5">
                              <w:pPr>
                                <w:jc w:val="right"/>
                                <w:rPr>
                                  <w:rFonts w:asciiTheme="majorHAnsi" w:hAnsiTheme="majorHAnsi"/>
                                  <w:b/>
                                  <w:bCs/>
                                  <w:color w:val="FFFFFF" w:themeColor="background1"/>
                                  <w:sz w:val="80"/>
                                  <w:szCs w:val="80"/>
                                </w:rPr>
                              </w:pPr>
                              <w:r w:rsidRPr="001A5EBC">
                                <w:rPr>
                                  <w:rFonts w:asciiTheme="majorHAnsi" w:hAnsiTheme="majorHAnsi"/>
                                  <w:b/>
                                  <w:bCs/>
                                  <w:color w:val="FFFFFF" w:themeColor="background1"/>
                                  <w:sz w:val="80"/>
                                  <w:szCs w:val="8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0155921" name="Text Box 11"/>
                        <wps:cNvSpPr txBox="1"/>
                        <wps:spPr>
                          <a:xfrm>
                            <a:off x="1105786" y="138223"/>
                            <a:ext cx="5472000" cy="1026602"/>
                          </a:xfrm>
                          <a:prstGeom prst="rect">
                            <a:avLst/>
                          </a:prstGeom>
                          <a:noFill/>
                          <a:ln w="6350">
                            <a:noFill/>
                          </a:ln>
                        </wps:spPr>
                        <wps:txbx>
                          <w:txbxContent>
                            <w:p w14:paraId="3D732AC9" w14:textId="7A314533" w:rsidR="000900F5" w:rsidRPr="001A5EBC" w:rsidRDefault="00A20E03" w:rsidP="000900F5">
                              <w:pPr>
                                <w:pStyle w:val="StandardHeading16ptBlack"/>
                              </w:pPr>
                              <w:r w:rsidRPr="001A5EBC">
                                <w:t>Buil</w:t>
                              </w:r>
                              <w:r w:rsidR="005E0E4B" w:rsidRPr="001A5EBC">
                                <w:t>t</w:t>
                              </w:r>
                              <w:r w:rsidRPr="001A5EBC">
                                <w:t xml:space="preserve"> </w:t>
                              </w:r>
                              <w:r w:rsidR="004E67B2">
                                <w:t>E</w:t>
                              </w:r>
                              <w:r w:rsidRPr="001A5EBC">
                                <w:t>nvironment</w:t>
                              </w:r>
                            </w:p>
                            <w:p w14:paraId="063D438E" w14:textId="370AF553" w:rsidR="000900F5" w:rsidRPr="001A5EBC" w:rsidRDefault="00CB307C" w:rsidP="00E86FE0">
                              <w:pPr>
                                <w:rPr>
                                  <w:color w:val="FFFFFF" w:themeColor="background1"/>
                                  <w:sz w:val="24"/>
                                  <w:szCs w:val="24"/>
                                </w:rPr>
                              </w:pPr>
                              <w:r w:rsidRPr="001A5EBC">
                                <w:rPr>
                                  <w:b/>
                                  <w:bCs/>
                                  <w:color w:val="FFFFFF" w:themeColor="background1"/>
                                  <w:sz w:val="24"/>
                                  <w:szCs w:val="24"/>
                                </w:rPr>
                                <w:t>Investments from</w:t>
                              </w:r>
                              <w:r w:rsidR="004E3FB1" w:rsidRPr="001A5EBC">
                                <w:rPr>
                                  <w:b/>
                                  <w:bCs/>
                                  <w:color w:val="FFFFFF" w:themeColor="background1"/>
                                  <w:sz w:val="24"/>
                                  <w:szCs w:val="24"/>
                                </w:rPr>
                                <w:t xml:space="preserve"> the UK government will </w:t>
                              </w:r>
                              <w:r w:rsidR="00914655" w:rsidRPr="001A5EBC">
                                <w:rPr>
                                  <w:b/>
                                  <w:bCs/>
                                  <w:color w:val="FFFFFF" w:themeColor="background1"/>
                                  <w:sz w:val="24"/>
                                  <w:szCs w:val="24"/>
                                </w:rPr>
                                <w:t xml:space="preserve">account </w:t>
                              </w:r>
                              <w:r w:rsidR="00CF3A4D" w:rsidRPr="001A5EBC">
                                <w:rPr>
                                  <w:b/>
                                  <w:bCs/>
                                  <w:color w:val="FFFFFF" w:themeColor="background1"/>
                                  <w:sz w:val="24"/>
                                  <w:szCs w:val="24"/>
                                </w:rPr>
                                <w:t xml:space="preserve">for </w:t>
                              </w:r>
                              <w:r w:rsidR="00053D4D">
                                <w:rPr>
                                  <w:b/>
                                  <w:bCs/>
                                  <w:color w:val="FFFFFF" w:themeColor="background1"/>
                                  <w:sz w:val="24"/>
                                  <w:szCs w:val="24"/>
                                </w:rPr>
                                <w:t>20</w:t>
                              </w:r>
                              <w:r w:rsidR="004E3FB1" w:rsidRPr="001A5EBC">
                                <w:rPr>
                                  <w:b/>
                                  <w:bCs/>
                                  <w:color w:val="FFFFFF" w:themeColor="background1"/>
                                  <w:sz w:val="24"/>
                                  <w:szCs w:val="24"/>
                                </w:rPr>
                                <w:t>%</w:t>
                              </w:r>
                              <w:r w:rsidR="00914655" w:rsidRPr="001A5EBC">
                                <w:rPr>
                                  <w:b/>
                                  <w:bCs/>
                                  <w:color w:val="FFFFFF" w:themeColor="background1"/>
                                  <w:sz w:val="24"/>
                                  <w:szCs w:val="24"/>
                                </w:rPr>
                                <w:t xml:space="preserve"> of the required investments,</w:t>
                              </w:r>
                              <w:r w:rsidRPr="001A5EBC">
                                <w:rPr>
                                  <w:b/>
                                  <w:bCs/>
                                  <w:color w:val="FFFFFF" w:themeColor="background1"/>
                                  <w:sz w:val="24"/>
                                  <w:szCs w:val="24"/>
                                </w:rPr>
                                <w:t xml:space="preserve"> </w:t>
                              </w:r>
                              <w:r w:rsidR="00914655" w:rsidRPr="001A5EBC">
                                <w:rPr>
                                  <w:b/>
                                  <w:bCs/>
                                  <w:color w:val="FFFFFF" w:themeColor="background1"/>
                                  <w:sz w:val="24"/>
                                  <w:szCs w:val="24"/>
                                </w:rPr>
                                <w:t>whil</w:t>
                              </w:r>
                              <w:r w:rsidR="003B16FB">
                                <w:rPr>
                                  <w:b/>
                                  <w:bCs/>
                                  <w:color w:val="FFFFFF" w:themeColor="background1"/>
                                  <w:sz w:val="24"/>
                                  <w:szCs w:val="24"/>
                                </w:rPr>
                                <w:t xml:space="preserve">e </w:t>
                              </w:r>
                              <w:r w:rsidRPr="001A5EBC">
                                <w:rPr>
                                  <w:b/>
                                  <w:bCs/>
                                  <w:color w:val="FFFFFF" w:themeColor="background1"/>
                                  <w:sz w:val="24"/>
                                  <w:szCs w:val="24"/>
                                </w:rPr>
                                <w:t xml:space="preserve">households and businesses will </w:t>
                              </w:r>
                              <w:r w:rsidR="00914655" w:rsidRPr="001A5EBC">
                                <w:rPr>
                                  <w:b/>
                                  <w:bCs/>
                                  <w:color w:val="FFFFFF" w:themeColor="background1"/>
                                  <w:sz w:val="24"/>
                                  <w:szCs w:val="24"/>
                                </w:rPr>
                                <w:t xml:space="preserve">cover the remaining </w:t>
                              </w:r>
                              <w:r w:rsidR="00053D4D">
                                <w:rPr>
                                  <w:b/>
                                  <w:bCs/>
                                  <w:color w:val="FFFFFF" w:themeColor="background1"/>
                                  <w:sz w:val="24"/>
                                  <w:szCs w:val="24"/>
                                </w:rPr>
                                <w:t>80</w:t>
                              </w:r>
                              <w:r w:rsidRPr="001A5EBC">
                                <w:rPr>
                                  <w:b/>
                                  <w:bCs/>
                                  <w:color w:val="FFFFFF" w:themeColor="background1"/>
                                  <w:sz w:val="24"/>
                                  <w:szCs w:val="24"/>
                                </w:rPr>
                                <w:t>%</w:t>
                              </w:r>
                              <w:r w:rsidR="00914655" w:rsidRPr="001A5EBC">
                                <w:rPr>
                                  <w:b/>
                                  <w:bCs/>
                                  <w:color w:val="FFFFFF" w:themeColor="background1"/>
                                  <w:sz w:val="24"/>
                                  <w:szCs w:val="24"/>
                                </w:rPr>
                                <w:t xml:space="preserve">. </w:t>
                              </w:r>
                              <w:r w:rsidRPr="001A5EBC">
                                <w:rPr>
                                  <w:color w:val="FFFFFF" w:themeColor="background1"/>
                                  <w:sz w:val="24"/>
                                  <w:szCs w:val="24"/>
                                </w:rPr>
                                <w:t xml:space="preserve">Of the £3bn investments in the </w:t>
                              </w:r>
                              <w:r w:rsidR="00AD6C00" w:rsidRPr="001A5EBC">
                                <w:rPr>
                                  <w:color w:val="FFFFFF" w:themeColor="background1"/>
                                  <w:sz w:val="24"/>
                                  <w:szCs w:val="24"/>
                                </w:rPr>
                                <w:t>built environment sector</w:t>
                              </w:r>
                              <w:r w:rsidRPr="001A5EBC">
                                <w:rPr>
                                  <w:color w:val="FFFFFF" w:themeColor="background1"/>
                                  <w:sz w:val="24"/>
                                  <w:szCs w:val="24"/>
                                </w:rPr>
                                <w:t xml:space="preserve"> allocated to the North of England, £</w:t>
                              </w:r>
                              <w:r w:rsidR="007E730F">
                                <w:rPr>
                                  <w:color w:val="FFFFFF" w:themeColor="background1"/>
                                  <w:sz w:val="24"/>
                                  <w:szCs w:val="24"/>
                                </w:rPr>
                                <w:t>0.8</w:t>
                              </w:r>
                              <w:r w:rsidRPr="001A5EBC">
                                <w:rPr>
                                  <w:color w:val="FFFFFF" w:themeColor="background1"/>
                                  <w:sz w:val="24"/>
                                  <w:szCs w:val="24"/>
                                </w:rPr>
                                <w:t>bn is p</w:t>
                              </w:r>
                              <w:r w:rsidR="008D259E" w:rsidRPr="001A5EBC">
                                <w:rPr>
                                  <w:color w:val="FFFFFF" w:themeColor="background1"/>
                                  <w:sz w:val="24"/>
                                  <w:szCs w:val="24"/>
                                </w:rPr>
                                <w:t>ublic</w:t>
                              </w:r>
                              <w:r w:rsidRPr="001A5EBC">
                                <w:rPr>
                                  <w:color w:val="FFFFFF" w:themeColor="background1"/>
                                  <w:sz w:val="24"/>
                                  <w:szCs w:val="24"/>
                                </w:rPr>
                                <w:t xml:space="preserve"> investment </w:t>
                              </w:r>
                              <w:r w:rsidR="008D259E" w:rsidRPr="001A5EBC">
                                <w:rPr>
                                  <w:color w:val="FFFFFF" w:themeColor="background1"/>
                                  <w:sz w:val="24"/>
                                  <w:szCs w:val="24"/>
                                </w:rPr>
                                <w:t xml:space="preserve">(primarily in </w:t>
                              </w:r>
                              <w:r w:rsidR="001F5843">
                                <w:rPr>
                                  <w:color w:val="FFFFFF" w:themeColor="background1"/>
                                  <w:sz w:val="24"/>
                                  <w:szCs w:val="24"/>
                                </w:rPr>
                                <w:t>decarbonising public buildings and supporting residential adoption of heat pumps</w:t>
                              </w:r>
                              <w:r w:rsidR="003B16FB">
                                <w:rPr>
                                  <w:color w:val="FFFFFF" w:themeColor="background1"/>
                                  <w:sz w:val="24"/>
                                  <w:szCs w:val="24"/>
                                </w:rPr>
                                <w:t xml:space="preserve">) </w:t>
                              </w:r>
                              <w:r w:rsidRPr="001A5EBC">
                                <w:rPr>
                                  <w:color w:val="FFFFFF" w:themeColor="background1"/>
                                  <w:sz w:val="24"/>
                                  <w:szCs w:val="24"/>
                                </w:rPr>
                                <w:t>and £</w:t>
                              </w:r>
                              <w:r w:rsidR="007E730F">
                                <w:rPr>
                                  <w:color w:val="FFFFFF" w:themeColor="background1"/>
                                  <w:sz w:val="24"/>
                                  <w:szCs w:val="24"/>
                                </w:rPr>
                                <w:t>3.</w:t>
                              </w:r>
                              <w:r w:rsidR="008D259E" w:rsidRPr="001A5EBC">
                                <w:rPr>
                                  <w:color w:val="FFFFFF" w:themeColor="background1"/>
                                  <w:sz w:val="24"/>
                                  <w:szCs w:val="24"/>
                                </w:rPr>
                                <w:t>2</w:t>
                              </w:r>
                              <w:r w:rsidRPr="001A5EBC">
                                <w:rPr>
                                  <w:color w:val="FFFFFF" w:themeColor="background1"/>
                                  <w:sz w:val="24"/>
                                  <w:szCs w:val="24"/>
                                </w:rPr>
                                <w:t>bn is p</w:t>
                              </w:r>
                              <w:r w:rsidR="008D259E" w:rsidRPr="001A5EBC">
                                <w:rPr>
                                  <w:color w:val="FFFFFF" w:themeColor="background1"/>
                                  <w:sz w:val="24"/>
                                  <w:szCs w:val="24"/>
                                </w:rPr>
                                <w:t>rivate</w:t>
                              </w:r>
                              <w:r w:rsidRPr="001A5EBC">
                                <w:rPr>
                                  <w:color w:val="FFFFFF" w:themeColor="background1"/>
                                  <w:sz w:val="24"/>
                                  <w:szCs w:val="24"/>
                                </w:rPr>
                                <w:t xml:space="preserve"> investments</w:t>
                              </w:r>
                              <w:r w:rsidR="008D259E" w:rsidRPr="001A5EBC">
                                <w:rPr>
                                  <w:color w:val="FFFFFF" w:themeColor="background1"/>
                                  <w:sz w:val="24"/>
                                  <w:szCs w:val="24"/>
                                </w:rPr>
                                <w:t>.</w:t>
                              </w:r>
                              <w:r w:rsidRPr="001A5EBC">
                                <w:rPr>
                                  <w:color w:val="FFFFFF" w:themeColor="background1"/>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30CC3C" id="_x0000_s1044" style="position:absolute;margin-left:0;margin-top:44.6pt;width:552.65pt;height:131.5pt;z-index:251657233;mso-position-horizontal-relative:page;mso-width-relative:margin;mso-height-relative:margin" coordsize="70200,1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">
                <v:rect id="Rectangle 9" o:spid="_x0000_s1045" style="position:absolute;width:70200;height:1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" fillcolor="#009fe3 [3204]" stroked="f" strokeweight="2pt"/>
                <v:shape id="_x0000_s1046" type="#_x0000_t41" style="position:absolute;left:3934;top:1594;width:5543;height:7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" adj="21544,21733,21640,-39" filled="f" strokecolor="white [3212]" strokeweight=".5pt">
                  <v:textbox>
                    <w:txbxContent>
                      <w:p w14:paraId="425B23A4" w14:textId="77777777" w:rsidR="000900F5" w:rsidRPr="001A5EBC" w:rsidRDefault="000900F5" w:rsidP="000900F5">
                        <w:pPr>
                          <w:jc w:val="right"/>
                          <w:rPr>
                            <w:rFonts w:asciiTheme="majorHAnsi" w:hAnsiTheme="majorHAnsi"/>
                            <w:b/>
                            <w:bCs/>
                            <w:color w:val="FFFFFF" w:themeColor="background1"/>
                            <w:sz w:val="80"/>
                            <w:szCs w:val="80"/>
                          </w:rPr>
                        </w:pPr>
                        <w:r w:rsidRPr="001A5EBC">
                          <w:rPr>
                            <w:rFonts w:asciiTheme="majorHAnsi" w:hAnsiTheme="majorHAnsi"/>
                            <w:b/>
                            <w:bCs/>
                            <w:color w:val="FFFFFF" w:themeColor="background1"/>
                            <w:sz w:val="80"/>
                            <w:szCs w:val="80"/>
                          </w:rPr>
                          <w:t>2</w:t>
                        </w:r>
                      </w:p>
                    </w:txbxContent>
                  </v:textbox>
                  <o:callout v:ext="edit" minusy="t"/>
                </v:shape>
                <v:shape id="Text Box 11" o:spid="_x0000_s1047" type="#_x0000_t202" style="position:absolute;left:11057;top:1382;width:54720;height:10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" filled="f" stroked="f" strokeweight=".5pt">
                  <v:textbox inset="0,0,0,0">
                    <w:txbxContent>
                      <w:p w14:paraId="3D732AC9" w14:textId="7A314533" w:rsidR="000900F5" w:rsidRPr="001A5EBC" w:rsidRDefault="00A20E03" w:rsidP="000900F5">
                        <w:pPr>
                          <w:pStyle w:val="StandardHeading16ptBlack"/>
                        </w:pPr>
                        <w:r w:rsidRPr="001A5EBC">
                          <w:t>Buil</w:t>
                        </w:r>
                        <w:r w:rsidR="005E0E4B" w:rsidRPr="001A5EBC">
                          <w:t>t</w:t>
                        </w:r>
                        <w:r w:rsidRPr="001A5EBC">
                          <w:t xml:space="preserve"> </w:t>
                        </w:r>
                        <w:r w:rsidR="004E67B2">
                          <w:t>E</w:t>
                        </w:r>
                        <w:r w:rsidRPr="001A5EBC">
                          <w:t>nvironment</w:t>
                        </w:r>
                      </w:p>
                      <w:p w14:paraId="063D438E" w14:textId="370AF553" w:rsidR="000900F5" w:rsidRPr="001A5EBC" w:rsidRDefault="00CB307C" w:rsidP="00E86FE0">
                        <w:pPr>
                          <w:rPr>
                            <w:color w:val="FFFFFF" w:themeColor="background1"/>
                            <w:sz w:val="24"/>
                            <w:szCs w:val="24"/>
                          </w:rPr>
                        </w:pPr>
                        <w:r w:rsidRPr="001A5EBC">
                          <w:rPr>
                            <w:b/>
                            <w:bCs/>
                            <w:color w:val="FFFFFF" w:themeColor="background1"/>
                            <w:sz w:val="24"/>
                            <w:szCs w:val="24"/>
                          </w:rPr>
                          <w:t>Investments from</w:t>
                        </w:r>
                        <w:r w:rsidR="004E3FB1" w:rsidRPr="001A5EBC">
                          <w:rPr>
                            <w:b/>
                            <w:bCs/>
                            <w:color w:val="FFFFFF" w:themeColor="background1"/>
                            <w:sz w:val="24"/>
                            <w:szCs w:val="24"/>
                          </w:rPr>
                          <w:t xml:space="preserve"> the UK government will </w:t>
                        </w:r>
                        <w:r w:rsidR="00914655" w:rsidRPr="001A5EBC">
                          <w:rPr>
                            <w:b/>
                            <w:bCs/>
                            <w:color w:val="FFFFFF" w:themeColor="background1"/>
                            <w:sz w:val="24"/>
                            <w:szCs w:val="24"/>
                          </w:rPr>
                          <w:t xml:space="preserve">account </w:t>
                        </w:r>
                        <w:r w:rsidR="00CF3A4D" w:rsidRPr="001A5EBC">
                          <w:rPr>
                            <w:b/>
                            <w:bCs/>
                            <w:color w:val="FFFFFF" w:themeColor="background1"/>
                            <w:sz w:val="24"/>
                            <w:szCs w:val="24"/>
                          </w:rPr>
                          <w:t xml:space="preserve">for </w:t>
                        </w:r>
                        <w:r w:rsidR="00053D4D">
                          <w:rPr>
                            <w:b/>
                            <w:bCs/>
                            <w:color w:val="FFFFFF" w:themeColor="background1"/>
                            <w:sz w:val="24"/>
                            <w:szCs w:val="24"/>
                          </w:rPr>
                          <w:t>20</w:t>
                        </w:r>
                        <w:r w:rsidR="004E3FB1" w:rsidRPr="001A5EBC">
                          <w:rPr>
                            <w:b/>
                            <w:bCs/>
                            <w:color w:val="FFFFFF" w:themeColor="background1"/>
                            <w:sz w:val="24"/>
                            <w:szCs w:val="24"/>
                          </w:rPr>
                          <w:t>%</w:t>
                        </w:r>
                        <w:r w:rsidR="00914655" w:rsidRPr="001A5EBC">
                          <w:rPr>
                            <w:b/>
                            <w:bCs/>
                            <w:color w:val="FFFFFF" w:themeColor="background1"/>
                            <w:sz w:val="24"/>
                            <w:szCs w:val="24"/>
                          </w:rPr>
                          <w:t xml:space="preserve"> of the required investments,</w:t>
                        </w:r>
                        <w:r w:rsidRPr="001A5EBC">
                          <w:rPr>
                            <w:b/>
                            <w:bCs/>
                            <w:color w:val="FFFFFF" w:themeColor="background1"/>
                            <w:sz w:val="24"/>
                            <w:szCs w:val="24"/>
                          </w:rPr>
                          <w:t xml:space="preserve"> </w:t>
                        </w:r>
                        <w:r w:rsidR="00914655" w:rsidRPr="001A5EBC">
                          <w:rPr>
                            <w:b/>
                            <w:bCs/>
                            <w:color w:val="FFFFFF" w:themeColor="background1"/>
                            <w:sz w:val="24"/>
                            <w:szCs w:val="24"/>
                          </w:rPr>
                          <w:t>whil</w:t>
                        </w:r>
                        <w:r w:rsidR="003B16FB">
                          <w:rPr>
                            <w:b/>
                            <w:bCs/>
                            <w:color w:val="FFFFFF" w:themeColor="background1"/>
                            <w:sz w:val="24"/>
                            <w:szCs w:val="24"/>
                          </w:rPr>
                          <w:t xml:space="preserve">e </w:t>
                        </w:r>
                        <w:r w:rsidRPr="001A5EBC">
                          <w:rPr>
                            <w:b/>
                            <w:bCs/>
                            <w:color w:val="FFFFFF" w:themeColor="background1"/>
                            <w:sz w:val="24"/>
                            <w:szCs w:val="24"/>
                          </w:rPr>
                          <w:t xml:space="preserve">households and businesses will </w:t>
                        </w:r>
                        <w:r w:rsidR="00914655" w:rsidRPr="001A5EBC">
                          <w:rPr>
                            <w:b/>
                            <w:bCs/>
                            <w:color w:val="FFFFFF" w:themeColor="background1"/>
                            <w:sz w:val="24"/>
                            <w:szCs w:val="24"/>
                          </w:rPr>
                          <w:t xml:space="preserve">cover the remaining </w:t>
                        </w:r>
                        <w:r w:rsidR="00053D4D">
                          <w:rPr>
                            <w:b/>
                            <w:bCs/>
                            <w:color w:val="FFFFFF" w:themeColor="background1"/>
                            <w:sz w:val="24"/>
                            <w:szCs w:val="24"/>
                          </w:rPr>
                          <w:t>80</w:t>
                        </w:r>
                        <w:r w:rsidRPr="001A5EBC">
                          <w:rPr>
                            <w:b/>
                            <w:bCs/>
                            <w:color w:val="FFFFFF" w:themeColor="background1"/>
                            <w:sz w:val="24"/>
                            <w:szCs w:val="24"/>
                          </w:rPr>
                          <w:t>%</w:t>
                        </w:r>
                        <w:r w:rsidR="00914655" w:rsidRPr="001A5EBC">
                          <w:rPr>
                            <w:b/>
                            <w:bCs/>
                            <w:color w:val="FFFFFF" w:themeColor="background1"/>
                            <w:sz w:val="24"/>
                            <w:szCs w:val="24"/>
                          </w:rPr>
                          <w:t xml:space="preserve">. </w:t>
                        </w:r>
                        <w:r w:rsidRPr="001A5EBC">
                          <w:rPr>
                            <w:color w:val="FFFFFF" w:themeColor="background1"/>
                            <w:sz w:val="24"/>
                            <w:szCs w:val="24"/>
                          </w:rPr>
                          <w:t xml:space="preserve">Of the £3bn investments in the </w:t>
                        </w:r>
                        <w:r w:rsidR="00AD6C00" w:rsidRPr="001A5EBC">
                          <w:rPr>
                            <w:color w:val="FFFFFF" w:themeColor="background1"/>
                            <w:sz w:val="24"/>
                            <w:szCs w:val="24"/>
                          </w:rPr>
                          <w:t>built environment sector</w:t>
                        </w:r>
                        <w:r w:rsidRPr="001A5EBC">
                          <w:rPr>
                            <w:color w:val="FFFFFF" w:themeColor="background1"/>
                            <w:sz w:val="24"/>
                            <w:szCs w:val="24"/>
                          </w:rPr>
                          <w:t xml:space="preserve"> allocated to the North of England, £</w:t>
                        </w:r>
                        <w:r w:rsidR="007E730F">
                          <w:rPr>
                            <w:color w:val="FFFFFF" w:themeColor="background1"/>
                            <w:sz w:val="24"/>
                            <w:szCs w:val="24"/>
                          </w:rPr>
                          <w:t>0.8</w:t>
                        </w:r>
                        <w:r w:rsidRPr="001A5EBC">
                          <w:rPr>
                            <w:color w:val="FFFFFF" w:themeColor="background1"/>
                            <w:sz w:val="24"/>
                            <w:szCs w:val="24"/>
                          </w:rPr>
                          <w:t>bn is p</w:t>
                        </w:r>
                        <w:r w:rsidR="008D259E" w:rsidRPr="001A5EBC">
                          <w:rPr>
                            <w:color w:val="FFFFFF" w:themeColor="background1"/>
                            <w:sz w:val="24"/>
                            <w:szCs w:val="24"/>
                          </w:rPr>
                          <w:t>ublic</w:t>
                        </w:r>
                        <w:r w:rsidRPr="001A5EBC">
                          <w:rPr>
                            <w:color w:val="FFFFFF" w:themeColor="background1"/>
                            <w:sz w:val="24"/>
                            <w:szCs w:val="24"/>
                          </w:rPr>
                          <w:t xml:space="preserve"> investment </w:t>
                        </w:r>
                        <w:r w:rsidR="008D259E" w:rsidRPr="001A5EBC">
                          <w:rPr>
                            <w:color w:val="FFFFFF" w:themeColor="background1"/>
                            <w:sz w:val="24"/>
                            <w:szCs w:val="24"/>
                          </w:rPr>
                          <w:t xml:space="preserve">(primarily in </w:t>
                        </w:r>
                        <w:r w:rsidR="001F5843">
                          <w:rPr>
                            <w:color w:val="FFFFFF" w:themeColor="background1"/>
                            <w:sz w:val="24"/>
                            <w:szCs w:val="24"/>
                          </w:rPr>
                          <w:t>decarbonising public buildings and supporting residential adoption of heat pumps</w:t>
                        </w:r>
                        <w:r w:rsidR="003B16FB">
                          <w:rPr>
                            <w:color w:val="FFFFFF" w:themeColor="background1"/>
                            <w:sz w:val="24"/>
                            <w:szCs w:val="24"/>
                          </w:rPr>
                          <w:t xml:space="preserve">) </w:t>
                        </w:r>
                        <w:r w:rsidRPr="001A5EBC">
                          <w:rPr>
                            <w:color w:val="FFFFFF" w:themeColor="background1"/>
                            <w:sz w:val="24"/>
                            <w:szCs w:val="24"/>
                          </w:rPr>
                          <w:t>and £</w:t>
                        </w:r>
                        <w:r w:rsidR="007E730F">
                          <w:rPr>
                            <w:color w:val="FFFFFF" w:themeColor="background1"/>
                            <w:sz w:val="24"/>
                            <w:szCs w:val="24"/>
                          </w:rPr>
                          <w:t>3.</w:t>
                        </w:r>
                        <w:r w:rsidR="008D259E" w:rsidRPr="001A5EBC">
                          <w:rPr>
                            <w:color w:val="FFFFFF" w:themeColor="background1"/>
                            <w:sz w:val="24"/>
                            <w:szCs w:val="24"/>
                          </w:rPr>
                          <w:t>2</w:t>
                        </w:r>
                        <w:r w:rsidRPr="001A5EBC">
                          <w:rPr>
                            <w:color w:val="FFFFFF" w:themeColor="background1"/>
                            <w:sz w:val="24"/>
                            <w:szCs w:val="24"/>
                          </w:rPr>
                          <w:t>bn is p</w:t>
                        </w:r>
                        <w:r w:rsidR="008D259E" w:rsidRPr="001A5EBC">
                          <w:rPr>
                            <w:color w:val="FFFFFF" w:themeColor="background1"/>
                            <w:sz w:val="24"/>
                            <w:szCs w:val="24"/>
                          </w:rPr>
                          <w:t>rivate</w:t>
                        </w:r>
                        <w:r w:rsidRPr="001A5EBC">
                          <w:rPr>
                            <w:color w:val="FFFFFF" w:themeColor="background1"/>
                            <w:sz w:val="24"/>
                            <w:szCs w:val="24"/>
                          </w:rPr>
                          <w:t xml:space="preserve"> investments</w:t>
                        </w:r>
                        <w:r w:rsidR="008D259E" w:rsidRPr="001A5EBC">
                          <w:rPr>
                            <w:color w:val="FFFFFF" w:themeColor="background1"/>
                            <w:sz w:val="24"/>
                            <w:szCs w:val="24"/>
                          </w:rPr>
                          <w:t>.</w:t>
                        </w:r>
                        <w:r w:rsidRPr="001A5EBC">
                          <w:rPr>
                            <w:color w:val="FFFFFF" w:themeColor="background1"/>
                            <w:sz w:val="24"/>
                            <w:szCs w:val="24"/>
                          </w:rPr>
                          <w:t xml:space="preserve"> </w:t>
                        </w:r>
                      </w:p>
                    </w:txbxContent>
                  </v:textbox>
                </v:shape>
                <w10:wrap anchorx="page"/>
              </v:group>
            </w:pict>
          </mc:Fallback>
        </mc:AlternateContent>
      </w:r>
      <w:r w:rsidR="00E86FE0" w:rsidRPr="001A5EBC">
        <w:rPr>
          <w:noProof/>
        </w:rPr>
        <mc:AlternateContent>
          <mc:Choice Requires="wps">
            <w:drawing>
              <wp:anchor distT="0" distB="0" distL="114300" distR="114300" simplePos="0" relativeHeight="251657224" behindDoc="0" locked="0" layoutInCell="1" allowOverlap="1" wp14:anchorId="581740C4" wp14:editId="5400432D">
                <wp:simplePos x="0" y="0"/>
                <wp:positionH relativeFrom="column">
                  <wp:posOffset>-64477</wp:posOffset>
                </wp:positionH>
                <wp:positionV relativeFrom="paragraph">
                  <wp:posOffset>3184134</wp:posOffset>
                </wp:positionV>
                <wp:extent cx="554349" cy="761878"/>
                <wp:effectExtent l="0" t="0" r="0" b="0"/>
                <wp:wrapNone/>
                <wp:docPr id="1834794492" name="Text Box 10"/>
                <wp:cNvGraphicFramePr/>
                <a:graphic xmlns:a="http://schemas.openxmlformats.org/drawingml/2006/main">
                  <a:graphicData uri="http://schemas.microsoft.com/office/word/2010/wordprocessingShape">
                    <wps:wsp>
                      <wps:cNvSpPr txBox="1"/>
                      <wps:spPr>
                        <a:xfrm>
                          <a:off x="0" y="0"/>
                          <a:ext cx="554349" cy="761878"/>
                        </a:xfrm>
                        <a:prstGeom prst="callout1">
                          <a:avLst>
                            <a:gd name="adj1" fmla="val -182"/>
                            <a:gd name="adj2" fmla="val 100186"/>
                            <a:gd name="adj3" fmla="val 100614"/>
                            <a:gd name="adj4" fmla="val 99739"/>
                          </a:avLst>
                        </a:prstGeom>
                        <a:noFill/>
                        <a:ln w="6350">
                          <a:solidFill>
                            <a:schemeClr val="bg1"/>
                          </a:solidFill>
                        </a:ln>
                      </wps:spPr>
                      <wps:txbx>
                        <w:txbxContent>
                          <w:p w14:paraId="46ED2DD4" w14:textId="5F1F35CC" w:rsidR="00E86FE0" w:rsidRPr="001A5EBC" w:rsidRDefault="00E86FE0" w:rsidP="00E86FE0">
                            <w:pPr>
                              <w:jc w:val="right"/>
                              <w:rPr>
                                <w:rFonts w:asciiTheme="majorHAnsi" w:hAnsiTheme="majorHAnsi"/>
                                <w:color w:val="FFFFFF" w:themeColor="background1"/>
                                <w:sz w:val="80"/>
                                <w:szCs w:val="80"/>
                              </w:rPr>
                            </w:pPr>
                            <w:r w:rsidRPr="001A5EBC">
                              <w:rPr>
                                <w:rFonts w:asciiTheme="majorHAnsi" w:hAnsiTheme="majorHAnsi"/>
                                <w:color w:val="FFFFFF" w:themeColor="background1"/>
                                <w:sz w:val="80"/>
                                <w:szCs w:val="8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1740C4" id="Text Box 10" o:spid="_x0000_s1048" type="#_x0000_t41" style="position:absolute;margin-left:-5.1pt;margin-top:250.7pt;width:43.65pt;height:60pt;z-index:251657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" adj="21544,21733,21640,-39" filled="f" strokecolor="white [3212]" strokeweight=".5pt">
                <v:textbox>
                  <w:txbxContent>
                    <w:p w14:paraId="46ED2DD4" w14:textId="5F1F35CC" w:rsidR="00E86FE0" w:rsidRPr="001A5EBC" w:rsidRDefault="00E86FE0" w:rsidP="00E86FE0">
                      <w:pPr>
                        <w:jc w:val="right"/>
                        <w:rPr>
                          <w:rFonts w:asciiTheme="majorHAnsi" w:hAnsiTheme="majorHAnsi"/>
                          <w:color w:val="FFFFFF" w:themeColor="background1"/>
                          <w:sz w:val="80"/>
                          <w:szCs w:val="80"/>
                        </w:rPr>
                      </w:pPr>
                      <w:r w:rsidRPr="001A5EBC">
                        <w:rPr>
                          <w:rFonts w:asciiTheme="majorHAnsi" w:hAnsiTheme="majorHAnsi"/>
                          <w:color w:val="FFFFFF" w:themeColor="background1"/>
                          <w:sz w:val="80"/>
                          <w:szCs w:val="80"/>
                        </w:rPr>
                        <w:t>4</w:t>
                      </w:r>
                    </w:p>
                  </w:txbxContent>
                </v:textbox>
                <o:callout v:ext="edit" minusy="t"/>
              </v:shape>
            </w:pict>
          </mc:Fallback>
        </mc:AlternateContent>
      </w:r>
    </w:p>
    <w:bookmarkStart w:id="11" w:name="_Toc168918197"/>
    <w:bookmarkStart w:id="12" w:name="_Toc169011868"/>
    <w:p w14:paraId="6865C8B7" w14:textId="65CCB774" w:rsidR="00AB51F5" w:rsidRPr="001A5EBC" w:rsidRDefault="007122FC" w:rsidP="00AB51F5">
      <w:pPr>
        <w:pStyle w:val="Heading1"/>
        <w:ind w:left="0" w:firstLine="0"/>
      </w:pPr>
      <w:r w:rsidRPr="001A5EBC">
        <w:rPr>
          <w:noProof/>
        </w:rPr>
        <w:lastRenderedPageBreak/>
        <mc:AlternateContent>
          <mc:Choice Requires="wpg">
            <w:drawing>
              <wp:anchor distT="0" distB="0" distL="114300" distR="114300" simplePos="0" relativeHeight="251657235" behindDoc="0" locked="0" layoutInCell="1" allowOverlap="1" wp14:anchorId="723C1EA2" wp14:editId="3B2D5782">
                <wp:simplePos x="0" y="0"/>
                <wp:positionH relativeFrom="margin">
                  <wp:posOffset>-683260</wp:posOffset>
                </wp:positionH>
                <wp:positionV relativeFrom="paragraph">
                  <wp:posOffset>1419225</wp:posOffset>
                </wp:positionV>
                <wp:extent cx="7125335" cy="2222500"/>
                <wp:effectExtent l="0" t="0" r="0" b="6350"/>
                <wp:wrapNone/>
                <wp:docPr id="1704423125" name="Group 12"/>
                <wp:cNvGraphicFramePr/>
                <a:graphic xmlns:a="http://schemas.openxmlformats.org/drawingml/2006/main">
                  <a:graphicData uri="http://schemas.microsoft.com/office/word/2010/wordprocessingGroup">
                    <wpg:wgp>
                      <wpg:cNvGrpSpPr/>
                      <wpg:grpSpPr>
                        <a:xfrm>
                          <a:off x="0" y="0"/>
                          <a:ext cx="7125335" cy="2222500"/>
                          <a:chOff x="0" y="12204"/>
                          <a:chExt cx="7100993" cy="2092885"/>
                        </a:xfrm>
                      </wpg:grpSpPr>
                      <wps:wsp>
                        <wps:cNvPr id="1709928473" name="Rectangle 9"/>
                        <wps:cNvSpPr/>
                        <wps:spPr>
                          <a:xfrm>
                            <a:off x="0" y="12204"/>
                            <a:ext cx="7100993" cy="2092885"/>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0271240" name="Text Box 10"/>
                        <wps:cNvSpPr txBox="1"/>
                        <wps:spPr>
                          <a:xfrm>
                            <a:off x="393405" y="159489"/>
                            <a:ext cx="554355" cy="762635"/>
                          </a:xfrm>
                          <a:prstGeom prst="callout1">
                            <a:avLst>
                              <a:gd name="adj1" fmla="val -182"/>
                              <a:gd name="adj2" fmla="val 100186"/>
                              <a:gd name="adj3" fmla="val 100614"/>
                              <a:gd name="adj4" fmla="val 99739"/>
                            </a:avLst>
                          </a:prstGeom>
                          <a:noFill/>
                          <a:ln w="6350">
                            <a:solidFill>
                              <a:schemeClr val="bg1"/>
                            </a:solidFill>
                          </a:ln>
                        </wps:spPr>
                        <wps:txbx>
                          <w:txbxContent>
                            <w:p w14:paraId="1606AFAE" w14:textId="41569358" w:rsidR="00F533F7" w:rsidRPr="001A5EBC" w:rsidRDefault="00F533F7" w:rsidP="00F533F7">
                              <w:pPr>
                                <w:jc w:val="right"/>
                                <w:rPr>
                                  <w:rFonts w:asciiTheme="majorHAnsi" w:hAnsiTheme="majorHAnsi"/>
                                  <w:b/>
                                  <w:bCs/>
                                  <w:color w:val="FFFFFF" w:themeColor="background1"/>
                                  <w:sz w:val="80"/>
                                  <w:szCs w:val="80"/>
                                </w:rPr>
                              </w:pPr>
                              <w:r w:rsidRPr="001A5EBC">
                                <w:rPr>
                                  <w:rFonts w:asciiTheme="majorHAnsi" w:hAnsiTheme="majorHAnsi"/>
                                  <w:b/>
                                  <w:bCs/>
                                  <w:color w:val="FFFFFF" w:themeColor="background1"/>
                                  <w:sz w:val="80"/>
                                  <w:szCs w:val="8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7763797" name="Text Box 11"/>
                        <wps:cNvSpPr txBox="1"/>
                        <wps:spPr>
                          <a:xfrm>
                            <a:off x="1105696" y="138134"/>
                            <a:ext cx="5819874" cy="1940328"/>
                          </a:xfrm>
                          <a:prstGeom prst="rect">
                            <a:avLst/>
                          </a:prstGeom>
                          <a:noFill/>
                          <a:ln w="6350">
                            <a:noFill/>
                          </a:ln>
                        </wps:spPr>
                        <wps:txbx>
                          <w:txbxContent>
                            <w:p w14:paraId="07E50627" w14:textId="529FDE61" w:rsidR="00F533F7" w:rsidRPr="001A5EBC" w:rsidRDefault="001D702A" w:rsidP="00F533F7">
                              <w:pPr>
                                <w:pStyle w:val="StandardHeading16ptBlack"/>
                              </w:pPr>
                              <w:r w:rsidRPr="001A5EBC">
                                <w:t xml:space="preserve">All </w:t>
                              </w:r>
                              <w:r w:rsidR="004E67B2">
                                <w:t>S</w:t>
                              </w:r>
                              <w:r w:rsidRPr="001A5EBC">
                                <w:t>ector</w:t>
                              </w:r>
                              <w:r w:rsidR="00343102" w:rsidRPr="001A5EBC">
                                <w:t>s</w:t>
                              </w:r>
                            </w:p>
                            <w:p w14:paraId="73E91EEE" w14:textId="38C82B96" w:rsidR="00F533F7" w:rsidRDefault="00343102" w:rsidP="00BF4748">
                              <w:pPr>
                                <w:pStyle w:val="BodyText"/>
                                <w:rPr>
                                  <w:color w:val="FFFFFF" w:themeColor="background1"/>
                                  <w:sz w:val="24"/>
                                  <w:szCs w:val="24"/>
                                </w:rPr>
                              </w:pPr>
                              <w:r w:rsidRPr="001A5EBC">
                                <w:rPr>
                                  <w:b/>
                                  <w:bCs/>
                                  <w:color w:val="FFFFFF" w:themeColor="background1"/>
                                  <w:sz w:val="24"/>
                                  <w:szCs w:val="24"/>
                                </w:rPr>
                                <w:t xml:space="preserve">Based on the </w:t>
                              </w:r>
                              <w:r w:rsidR="00EC0F42" w:rsidRPr="001A5EBC">
                                <w:rPr>
                                  <w:b/>
                                  <w:bCs/>
                                  <w:color w:val="FFFFFF" w:themeColor="background1"/>
                                  <w:sz w:val="24"/>
                                  <w:szCs w:val="24"/>
                                </w:rPr>
                                <w:t>public</w:t>
                              </w:r>
                              <w:r w:rsidR="007122FC" w:rsidRPr="001A5EBC">
                                <w:rPr>
                                  <w:b/>
                                  <w:bCs/>
                                  <w:color w:val="FFFFFF" w:themeColor="background1"/>
                                  <w:sz w:val="24"/>
                                  <w:szCs w:val="24"/>
                                </w:rPr>
                                <w:t>-private</w:t>
                              </w:r>
                              <w:r w:rsidR="00EC0F42" w:rsidRPr="001A5EBC">
                                <w:rPr>
                                  <w:b/>
                                  <w:bCs/>
                                  <w:color w:val="FFFFFF" w:themeColor="background1"/>
                                  <w:sz w:val="24"/>
                                  <w:szCs w:val="24"/>
                                </w:rPr>
                                <w:t xml:space="preserve"> splits identified for each sector of the economy, we estimated that </w:t>
                              </w:r>
                              <w:r w:rsidR="007122FC" w:rsidRPr="001A5EBC">
                                <w:rPr>
                                  <w:b/>
                                  <w:bCs/>
                                  <w:color w:val="FFFFFF" w:themeColor="background1"/>
                                  <w:sz w:val="24"/>
                                  <w:szCs w:val="24"/>
                                </w:rPr>
                                <w:t xml:space="preserve">public budget will </w:t>
                              </w:r>
                              <w:r w:rsidR="002B09C6" w:rsidRPr="001A5EBC">
                                <w:rPr>
                                  <w:b/>
                                  <w:bCs/>
                                  <w:color w:val="FFFFFF" w:themeColor="background1"/>
                                  <w:sz w:val="24"/>
                                  <w:szCs w:val="24"/>
                                </w:rPr>
                                <w:t>need to</w:t>
                              </w:r>
                              <w:r w:rsidR="007122FC" w:rsidRPr="001A5EBC">
                                <w:rPr>
                                  <w:b/>
                                  <w:bCs/>
                                  <w:color w:val="FFFFFF" w:themeColor="background1"/>
                                  <w:sz w:val="24"/>
                                  <w:szCs w:val="24"/>
                                </w:rPr>
                                <w:t xml:space="preserve"> account for the </w:t>
                              </w:r>
                              <w:r w:rsidR="00075D99">
                                <w:rPr>
                                  <w:b/>
                                  <w:bCs/>
                                  <w:color w:val="FFFFFF" w:themeColor="background1"/>
                                  <w:sz w:val="24"/>
                                  <w:szCs w:val="24"/>
                                </w:rPr>
                                <w:t>2</w:t>
                              </w:r>
                              <w:r w:rsidR="000D54EC">
                                <w:rPr>
                                  <w:b/>
                                  <w:bCs/>
                                  <w:color w:val="FFFFFF" w:themeColor="background1"/>
                                  <w:sz w:val="24"/>
                                  <w:szCs w:val="24"/>
                                </w:rPr>
                                <w:t>7</w:t>
                              </w:r>
                              <w:r w:rsidR="007122FC" w:rsidRPr="001A5EBC">
                                <w:rPr>
                                  <w:b/>
                                  <w:bCs/>
                                  <w:color w:val="FFFFFF" w:themeColor="background1"/>
                                  <w:sz w:val="24"/>
                                  <w:szCs w:val="24"/>
                                </w:rPr>
                                <w:t xml:space="preserve">% of the investments required to put the UK in a path to net zero, while </w:t>
                              </w:r>
                              <w:r w:rsidR="00257701" w:rsidRPr="001A5EBC">
                                <w:rPr>
                                  <w:b/>
                                  <w:bCs/>
                                  <w:color w:val="FFFFFF" w:themeColor="background1"/>
                                  <w:sz w:val="24"/>
                                  <w:szCs w:val="24"/>
                                </w:rPr>
                                <w:t xml:space="preserve">private funds are expected to cover </w:t>
                              </w:r>
                              <w:r w:rsidR="007122FC" w:rsidRPr="001A5EBC">
                                <w:rPr>
                                  <w:b/>
                                  <w:bCs/>
                                  <w:color w:val="FFFFFF" w:themeColor="background1"/>
                                  <w:sz w:val="24"/>
                                  <w:szCs w:val="24"/>
                                </w:rPr>
                                <w:t xml:space="preserve">the remaining </w:t>
                              </w:r>
                              <w:r w:rsidR="00075D99">
                                <w:rPr>
                                  <w:b/>
                                  <w:bCs/>
                                  <w:color w:val="FFFFFF" w:themeColor="background1"/>
                                  <w:sz w:val="24"/>
                                  <w:szCs w:val="24"/>
                                </w:rPr>
                                <w:t>7</w:t>
                              </w:r>
                              <w:r w:rsidR="000D54EC">
                                <w:rPr>
                                  <w:b/>
                                  <w:bCs/>
                                  <w:color w:val="FFFFFF" w:themeColor="background1"/>
                                  <w:sz w:val="24"/>
                                  <w:szCs w:val="24"/>
                                </w:rPr>
                                <w:t>3</w:t>
                              </w:r>
                              <w:r w:rsidR="00257701" w:rsidRPr="001A5EBC">
                                <w:rPr>
                                  <w:b/>
                                  <w:bCs/>
                                  <w:color w:val="FFFFFF" w:themeColor="background1"/>
                                  <w:sz w:val="24"/>
                                  <w:szCs w:val="24"/>
                                </w:rPr>
                                <w:t>%</w:t>
                              </w:r>
                              <w:r w:rsidR="007122FC" w:rsidRPr="001A5EBC">
                                <w:rPr>
                                  <w:b/>
                                  <w:bCs/>
                                  <w:color w:val="FFFFFF" w:themeColor="background1"/>
                                  <w:sz w:val="24"/>
                                  <w:szCs w:val="24"/>
                                </w:rPr>
                                <w:t>.</w:t>
                              </w:r>
                              <w:r w:rsidR="008D769D" w:rsidRPr="001A5EBC">
                                <w:rPr>
                                  <w:b/>
                                  <w:bCs/>
                                  <w:color w:val="FFFFFF" w:themeColor="background1"/>
                                  <w:sz w:val="24"/>
                                  <w:szCs w:val="24"/>
                                </w:rPr>
                                <w:t xml:space="preserve"> </w:t>
                              </w:r>
                              <w:r w:rsidR="00EA53CE" w:rsidRPr="001A5EBC">
                                <w:rPr>
                                  <w:color w:val="FFFFFF" w:themeColor="background1"/>
                                  <w:sz w:val="24"/>
                                  <w:szCs w:val="24"/>
                                </w:rPr>
                                <w:t>Th</w:t>
                              </w:r>
                              <w:r w:rsidR="00CE19FD" w:rsidRPr="001A5EBC">
                                <w:rPr>
                                  <w:color w:val="FFFFFF" w:themeColor="background1"/>
                                  <w:sz w:val="24"/>
                                  <w:szCs w:val="24"/>
                                </w:rPr>
                                <w:t xml:space="preserve">is outcome is in line with research from the United Nations Climate Change, </w:t>
                              </w:r>
                              <w:r w:rsidR="00BF4748" w:rsidRPr="001A5EBC">
                                <w:rPr>
                                  <w:color w:val="FFFFFF" w:themeColor="background1"/>
                                  <w:sz w:val="24"/>
                                  <w:szCs w:val="24"/>
                                </w:rPr>
                                <w:t>stating that private actors could provide 70% of the required net zero financing</w:t>
                              </w:r>
                              <w:r w:rsidR="00CB5297">
                                <w:rPr>
                                  <w:color w:val="FFFFFF" w:themeColor="background1"/>
                                  <w:sz w:val="24"/>
                                  <w:szCs w:val="24"/>
                                </w:rPr>
                                <w:t xml:space="preserve">. </w:t>
                              </w:r>
                              <w:r w:rsidR="00496F60" w:rsidRPr="001A5EBC">
                                <w:rPr>
                                  <w:color w:val="FFFFFF" w:themeColor="background1"/>
                                  <w:sz w:val="24"/>
                                  <w:szCs w:val="24"/>
                                </w:rPr>
                                <w:t xml:space="preserve">The remaining 30% can be covered by </w:t>
                              </w:r>
                              <w:r w:rsidR="00C63E8D" w:rsidRPr="001A5EBC">
                                <w:rPr>
                                  <w:color w:val="FFFFFF" w:themeColor="background1"/>
                                  <w:sz w:val="24"/>
                                  <w:szCs w:val="24"/>
                                </w:rPr>
                                <w:t>p</w:t>
                              </w:r>
                              <w:r w:rsidR="00496F60" w:rsidRPr="001A5EBC">
                                <w:rPr>
                                  <w:color w:val="FFFFFF" w:themeColor="background1"/>
                                  <w:sz w:val="24"/>
                                  <w:szCs w:val="24"/>
                                </w:rPr>
                                <w:t>ublic and institutional ac</w:t>
                              </w:r>
                              <w:r w:rsidR="004A6E59" w:rsidRPr="001A5EBC">
                                <w:rPr>
                                  <w:color w:val="FFFFFF" w:themeColor="background1"/>
                                  <w:sz w:val="24"/>
                                  <w:szCs w:val="24"/>
                                </w:rPr>
                                <w:t xml:space="preserve">tion, </w:t>
                              </w:r>
                              <w:r w:rsidR="00496F60" w:rsidRPr="001A5EBC">
                                <w:rPr>
                                  <w:color w:val="FFFFFF" w:themeColor="background1"/>
                                  <w:sz w:val="24"/>
                                  <w:szCs w:val="24"/>
                                </w:rPr>
                                <w:t>help</w:t>
                              </w:r>
                              <w:r w:rsidR="004A6E59" w:rsidRPr="001A5EBC">
                                <w:rPr>
                                  <w:color w:val="FFFFFF" w:themeColor="background1"/>
                                  <w:sz w:val="24"/>
                                  <w:szCs w:val="24"/>
                                </w:rPr>
                                <w:t>ing</w:t>
                              </w:r>
                              <w:r w:rsidR="00496F60" w:rsidRPr="001A5EBC">
                                <w:rPr>
                                  <w:color w:val="FFFFFF" w:themeColor="background1"/>
                                  <w:sz w:val="24"/>
                                  <w:szCs w:val="24"/>
                                </w:rPr>
                                <w:t xml:space="preserve"> </w:t>
                              </w:r>
                              <w:r w:rsidR="00BE1D77" w:rsidRPr="001A5EBC">
                                <w:rPr>
                                  <w:color w:val="FFFFFF" w:themeColor="background1"/>
                                  <w:sz w:val="24"/>
                                  <w:szCs w:val="24"/>
                                </w:rPr>
                                <w:t xml:space="preserve">to </w:t>
                              </w:r>
                              <w:r w:rsidR="00C63E8D" w:rsidRPr="001A5EBC">
                                <w:rPr>
                                  <w:color w:val="FFFFFF" w:themeColor="background1"/>
                                  <w:sz w:val="24"/>
                                  <w:szCs w:val="24"/>
                                </w:rPr>
                                <w:t>realiz</w:t>
                              </w:r>
                              <w:r w:rsidR="00BE1D77" w:rsidRPr="001A5EBC">
                                <w:rPr>
                                  <w:color w:val="FFFFFF" w:themeColor="background1"/>
                                  <w:sz w:val="24"/>
                                  <w:szCs w:val="24"/>
                                </w:rPr>
                                <w:t>e the</w:t>
                              </w:r>
                              <w:r w:rsidR="00496F60" w:rsidRPr="001A5EBC">
                                <w:rPr>
                                  <w:color w:val="FFFFFF" w:themeColor="background1"/>
                                  <w:sz w:val="24"/>
                                  <w:szCs w:val="24"/>
                                </w:rPr>
                                <w:t xml:space="preserve"> full potential of private capital.</w:t>
                              </w:r>
                              <w:r w:rsidR="00BF4748" w:rsidRPr="001A5EBC">
                                <w:rPr>
                                  <w:color w:val="FFFFFF" w:themeColor="background1"/>
                                  <w:sz w:val="24"/>
                                  <w:szCs w:val="24"/>
                                </w:rPr>
                                <w:t xml:space="preserve"> </w:t>
                              </w:r>
                              <w:r w:rsidR="00B60695">
                                <w:rPr>
                                  <w:color w:val="FFFFFF" w:themeColor="background1"/>
                                  <w:sz w:val="24"/>
                                  <w:szCs w:val="24"/>
                                </w:rPr>
                                <w:t xml:space="preserve">This equates to a leverage ratio of </w:t>
                              </w:r>
                              <w:r w:rsidR="00E04F28">
                                <w:rPr>
                                  <w:color w:val="FFFFFF" w:themeColor="background1"/>
                                  <w:sz w:val="24"/>
                                  <w:szCs w:val="24"/>
                                </w:rPr>
                                <w:t>1:2.65 – that is for every £1 of government spending, an additional £2.65 of private investment may be expected.</w:t>
                              </w:r>
                            </w:p>
                            <w:p w14:paraId="51548114" w14:textId="77777777" w:rsidR="00F533F7" w:rsidRPr="001A5EBC" w:rsidRDefault="00F533F7" w:rsidP="00F533F7">
                              <w:pPr>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3C1EA2" id="_x0000_s1049" style="position:absolute;margin-left:-53.8pt;margin-top:111.75pt;width:561.05pt;height:175pt;z-index:251657235;mso-position-horizontal-relative:margin;mso-width-relative:margin;mso-height-relative:margin" coordorigin=",122" coordsize="71009,20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">
                <v:rect id="Rectangle 9" o:spid="_x0000_s1050" style="position:absolute;top:122;width:71009;height:20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" fillcolor="#009fe3 [3204]" stroked="f" strokeweight="2pt"/>
                <v:shape id="_x0000_s1051" type="#_x0000_t41" style="position:absolute;left:3934;top:1594;width:5543;height:7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" adj="21544,21733,21640,-39" filled="f" strokecolor="white [3212]" strokeweight=".5pt">
                  <v:textbox>
                    <w:txbxContent>
                      <w:p w14:paraId="1606AFAE" w14:textId="41569358" w:rsidR="00F533F7" w:rsidRPr="001A5EBC" w:rsidRDefault="00F533F7" w:rsidP="00F533F7">
                        <w:pPr>
                          <w:jc w:val="right"/>
                          <w:rPr>
                            <w:rFonts w:asciiTheme="majorHAnsi" w:hAnsiTheme="majorHAnsi"/>
                            <w:b/>
                            <w:bCs/>
                            <w:color w:val="FFFFFF" w:themeColor="background1"/>
                            <w:sz w:val="80"/>
                            <w:szCs w:val="80"/>
                          </w:rPr>
                        </w:pPr>
                        <w:r w:rsidRPr="001A5EBC">
                          <w:rPr>
                            <w:rFonts w:asciiTheme="majorHAnsi" w:hAnsiTheme="majorHAnsi"/>
                            <w:b/>
                            <w:bCs/>
                            <w:color w:val="FFFFFF" w:themeColor="background1"/>
                            <w:sz w:val="80"/>
                            <w:szCs w:val="80"/>
                          </w:rPr>
                          <w:t>6</w:t>
                        </w:r>
                      </w:p>
                    </w:txbxContent>
                  </v:textbox>
                  <o:callout v:ext="edit" minusy="t"/>
                </v:shape>
                <v:shape id="Text Box 11" o:spid="_x0000_s1052" type="#_x0000_t202" style="position:absolute;left:11056;top:1381;width:58199;height:19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" filled="f" stroked="f" strokeweight=".5pt">
                  <v:textbox inset="0,0,0,0">
                    <w:txbxContent>
                      <w:p w14:paraId="07E50627" w14:textId="529FDE61" w:rsidR="00F533F7" w:rsidRPr="001A5EBC" w:rsidRDefault="001D702A" w:rsidP="00F533F7">
                        <w:pPr>
                          <w:pStyle w:val="StandardHeading16ptBlack"/>
                        </w:pPr>
                        <w:r w:rsidRPr="001A5EBC">
                          <w:t xml:space="preserve">All </w:t>
                        </w:r>
                        <w:r w:rsidR="004E67B2">
                          <w:t>S</w:t>
                        </w:r>
                        <w:r w:rsidRPr="001A5EBC">
                          <w:t>ector</w:t>
                        </w:r>
                        <w:r w:rsidR="00343102" w:rsidRPr="001A5EBC">
                          <w:t>s</w:t>
                        </w:r>
                      </w:p>
                      <w:p w14:paraId="73E91EEE" w14:textId="38C82B96" w:rsidR="00F533F7" w:rsidRDefault="00343102" w:rsidP="00BF4748">
                        <w:pPr>
                          <w:pStyle w:val="BodyText"/>
                          <w:rPr>
                            <w:color w:val="FFFFFF" w:themeColor="background1"/>
                            <w:sz w:val="24"/>
                            <w:szCs w:val="24"/>
                          </w:rPr>
                        </w:pPr>
                        <w:r w:rsidRPr="001A5EBC">
                          <w:rPr>
                            <w:b/>
                            <w:bCs/>
                            <w:color w:val="FFFFFF" w:themeColor="background1"/>
                            <w:sz w:val="24"/>
                            <w:szCs w:val="24"/>
                          </w:rPr>
                          <w:t xml:space="preserve">Based on the </w:t>
                        </w:r>
                        <w:r w:rsidR="00EC0F42" w:rsidRPr="001A5EBC">
                          <w:rPr>
                            <w:b/>
                            <w:bCs/>
                            <w:color w:val="FFFFFF" w:themeColor="background1"/>
                            <w:sz w:val="24"/>
                            <w:szCs w:val="24"/>
                          </w:rPr>
                          <w:t>public</w:t>
                        </w:r>
                        <w:r w:rsidR="007122FC" w:rsidRPr="001A5EBC">
                          <w:rPr>
                            <w:b/>
                            <w:bCs/>
                            <w:color w:val="FFFFFF" w:themeColor="background1"/>
                            <w:sz w:val="24"/>
                            <w:szCs w:val="24"/>
                          </w:rPr>
                          <w:t>-private</w:t>
                        </w:r>
                        <w:r w:rsidR="00EC0F42" w:rsidRPr="001A5EBC">
                          <w:rPr>
                            <w:b/>
                            <w:bCs/>
                            <w:color w:val="FFFFFF" w:themeColor="background1"/>
                            <w:sz w:val="24"/>
                            <w:szCs w:val="24"/>
                          </w:rPr>
                          <w:t xml:space="preserve"> splits identified for each sector of the economy, we estimated that </w:t>
                        </w:r>
                        <w:r w:rsidR="007122FC" w:rsidRPr="001A5EBC">
                          <w:rPr>
                            <w:b/>
                            <w:bCs/>
                            <w:color w:val="FFFFFF" w:themeColor="background1"/>
                            <w:sz w:val="24"/>
                            <w:szCs w:val="24"/>
                          </w:rPr>
                          <w:t xml:space="preserve">public budget will </w:t>
                        </w:r>
                        <w:r w:rsidR="002B09C6" w:rsidRPr="001A5EBC">
                          <w:rPr>
                            <w:b/>
                            <w:bCs/>
                            <w:color w:val="FFFFFF" w:themeColor="background1"/>
                            <w:sz w:val="24"/>
                            <w:szCs w:val="24"/>
                          </w:rPr>
                          <w:t>need to</w:t>
                        </w:r>
                        <w:r w:rsidR="007122FC" w:rsidRPr="001A5EBC">
                          <w:rPr>
                            <w:b/>
                            <w:bCs/>
                            <w:color w:val="FFFFFF" w:themeColor="background1"/>
                            <w:sz w:val="24"/>
                            <w:szCs w:val="24"/>
                          </w:rPr>
                          <w:t xml:space="preserve"> account for the </w:t>
                        </w:r>
                        <w:r w:rsidR="00075D99">
                          <w:rPr>
                            <w:b/>
                            <w:bCs/>
                            <w:color w:val="FFFFFF" w:themeColor="background1"/>
                            <w:sz w:val="24"/>
                            <w:szCs w:val="24"/>
                          </w:rPr>
                          <w:t>2</w:t>
                        </w:r>
                        <w:r w:rsidR="000D54EC">
                          <w:rPr>
                            <w:b/>
                            <w:bCs/>
                            <w:color w:val="FFFFFF" w:themeColor="background1"/>
                            <w:sz w:val="24"/>
                            <w:szCs w:val="24"/>
                          </w:rPr>
                          <w:t>7</w:t>
                        </w:r>
                        <w:r w:rsidR="007122FC" w:rsidRPr="001A5EBC">
                          <w:rPr>
                            <w:b/>
                            <w:bCs/>
                            <w:color w:val="FFFFFF" w:themeColor="background1"/>
                            <w:sz w:val="24"/>
                            <w:szCs w:val="24"/>
                          </w:rPr>
                          <w:t xml:space="preserve">% of the investments required to put the UK in a path to net zero, while </w:t>
                        </w:r>
                        <w:r w:rsidR="00257701" w:rsidRPr="001A5EBC">
                          <w:rPr>
                            <w:b/>
                            <w:bCs/>
                            <w:color w:val="FFFFFF" w:themeColor="background1"/>
                            <w:sz w:val="24"/>
                            <w:szCs w:val="24"/>
                          </w:rPr>
                          <w:t xml:space="preserve">private funds are expected to cover </w:t>
                        </w:r>
                        <w:r w:rsidR="007122FC" w:rsidRPr="001A5EBC">
                          <w:rPr>
                            <w:b/>
                            <w:bCs/>
                            <w:color w:val="FFFFFF" w:themeColor="background1"/>
                            <w:sz w:val="24"/>
                            <w:szCs w:val="24"/>
                          </w:rPr>
                          <w:t xml:space="preserve">the remaining </w:t>
                        </w:r>
                        <w:r w:rsidR="00075D99">
                          <w:rPr>
                            <w:b/>
                            <w:bCs/>
                            <w:color w:val="FFFFFF" w:themeColor="background1"/>
                            <w:sz w:val="24"/>
                            <w:szCs w:val="24"/>
                          </w:rPr>
                          <w:t>7</w:t>
                        </w:r>
                        <w:r w:rsidR="000D54EC">
                          <w:rPr>
                            <w:b/>
                            <w:bCs/>
                            <w:color w:val="FFFFFF" w:themeColor="background1"/>
                            <w:sz w:val="24"/>
                            <w:szCs w:val="24"/>
                          </w:rPr>
                          <w:t>3</w:t>
                        </w:r>
                        <w:r w:rsidR="00257701" w:rsidRPr="001A5EBC">
                          <w:rPr>
                            <w:b/>
                            <w:bCs/>
                            <w:color w:val="FFFFFF" w:themeColor="background1"/>
                            <w:sz w:val="24"/>
                            <w:szCs w:val="24"/>
                          </w:rPr>
                          <w:t>%</w:t>
                        </w:r>
                        <w:r w:rsidR="007122FC" w:rsidRPr="001A5EBC">
                          <w:rPr>
                            <w:b/>
                            <w:bCs/>
                            <w:color w:val="FFFFFF" w:themeColor="background1"/>
                            <w:sz w:val="24"/>
                            <w:szCs w:val="24"/>
                          </w:rPr>
                          <w:t>.</w:t>
                        </w:r>
                        <w:r w:rsidR="008D769D" w:rsidRPr="001A5EBC">
                          <w:rPr>
                            <w:b/>
                            <w:bCs/>
                            <w:color w:val="FFFFFF" w:themeColor="background1"/>
                            <w:sz w:val="24"/>
                            <w:szCs w:val="24"/>
                          </w:rPr>
                          <w:t xml:space="preserve"> </w:t>
                        </w:r>
                        <w:r w:rsidR="00EA53CE" w:rsidRPr="001A5EBC">
                          <w:rPr>
                            <w:color w:val="FFFFFF" w:themeColor="background1"/>
                            <w:sz w:val="24"/>
                            <w:szCs w:val="24"/>
                          </w:rPr>
                          <w:t>Th</w:t>
                        </w:r>
                        <w:r w:rsidR="00CE19FD" w:rsidRPr="001A5EBC">
                          <w:rPr>
                            <w:color w:val="FFFFFF" w:themeColor="background1"/>
                            <w:sz w:val="24"/>
                            <w:szCs w:val="24"/>
                          </w:rPr>
                          <w:t xml:space="preserve">is outcome is in line with research from the United Nations Climate Change, </w:t>
                        </w:r>
                        <w:r w:rsidR="00BF4748" w:rsidRPr="001A5EBC">
                          <w:rPr>
                            <w:color w:val="FFFFFF" w:themeColor="background1"/>
                            <w:sz w:val="24"/>
                            <w:szCs w:val="24"/>
                          </w:rPr>
                          <w:t>stating that private actors could provide 70% of the required net zero financing</w:t>
                        </w:r>
                        <w:r w:rsidR="00CB5297">
                          <w:rPr>
                            <w:color w:val="FFFFFF" w:themeColor="background1"/>
                            <w:sz w:val="24"/>
                            <w:szCs w:val="24"/>
                          </w:rPr>
                          <w:t xml:space="preserve">. </w:t>
                        </w:r>
                        <w:r w:rsidR="00496F60" w:rsidRPr="001A5EBC">
                          <w:rPr>
                            <w:color w:val="FFFFFF" w:themeColor="background1"/>
                            <w:sz w:val="24"/>
                            <w:szCs w:val="24"/>
                          </w:rPr>
                          <w:t xml:space="preserve">The remaining 30% can be covered by </w:t>
                        </w:r>
                        <w:r w:rsidR="00C63E8D" w:rsidRPr="001A5EBC">
                          <w:rPr>
                            <w:color w:val="FFFFFF" w:themeColor="background1"/>
                            <w:sz w:val="24"/>
                            <w:szCs w:val="24"/>
                          </w:rPr>
                          <w:t>p</w:t>
                        </w:r>
                        <w:r w:rsidR="00496F60" w:rsidRPr="001A5EBC">
                          <w:rPr>
                            <w:color w:val="FFFFFF" w:themeColor="background1"/>
                            <w:sz w:val="24"/>
                            <w:szCs w:val="24"/>
                          </w:rPr>
                          <w:t>ublic and institutional ac</w:t>
                        </w:r>
                        <w:r w:rsidR="004A6E59" w:rsidRPr="001A5EBC">
                          <w:rPr>
                            <w:color w:val="FFFFFF" w:themeColor="background1"/>
                            <w:sz w:val="24"/>
                            <w:szCs w:val="24"/>
                          </w:rPr>
                          <w:t xml:space="preserve">tion, </w:t>
                        </w:r>
                        <w:r w:rsidR="00496F60" w:rsidRPr="001A5EBC">
                          <w:rPr>
                            <w:color w:val="FFFFFF" w:themeColor="background1"/>
                            <w:sz w:val="24"/>
                            <w:szCs w:val="24"/>
                          </w:rPr>
                          <w:t>help</w:t>
                        </w:r>
                        <w:r w:rsidR="004A6E59" w:rsidRPr="001A5EBC">
                          <w:rPr>
                            <w:color w:val="FFFFFF" w:themeColor="background1"/>
                            <w:sz w:val="24"/>
                            <w:szCs w:val="24"/>
                          </w:rPr>
                          <w:t>ing</w:t>
                        </w:r>
                        <w:r w:rsidR="00496F60" w:rsidRPr="001A5EBC">
                          <w:rPr>
                            <w:color w:val="FFFFFF" w:themeColor="background1"/>
                            <w:sz w:val="24"/>
                            <w:szCs w:val="24"/>
                          </w:rPr>
                          <w:t xml:space="preserve"> </w:t>
                        </w:r>
                        <w:r w:rsidR="00BE1D77" w:rsidRPr="001A5EBC">
                          <w:rPr>
                            <w:color w:val="FFFFFF" w:themeColor="background1"/>
                            <w:sz w:val="24"/>
                            <w:szCs w:val="24"/>
                          </w:rPr>
                          <w:t xml:space="preserve">to </w:t>
                        </w:r>
                        <w:r w:rsidR="00C63E8D" w:rsidRPr="001A5EBC">
                          <w:rPr>
                            <w:color w:val="FFFFFF" w:themeColor="background1"/>
                            <w:sz w:val="24"/>
                            <w:szCs w:val="24"/>
                          </w:rPr>
                          <w:t>realiz</w:t>
                        </w:r>
                        <w:r w:rsidR="00BE1D77" w:rsidRPr="001A5EBC">
                          <w:rPr>
                            <w:color w:val="FFFFFF" w:themeColor="background1"/>
                            <w:sz w:val="24"/>
                            <w:szCs w:val="24"/>
                          </w:rPr>
                          <w:t>e the</w:t>
                        </w:r>
                        <w:r w:rsidR="00496F60" w:rsidRPr="001A5EBC">
                          <w:rPr>
                            <w:color w:val="FFFFFF" w:themeColor="background1"/>
                            <w:sz w:val="24"/>
                            <w:szCs w:val="24"/>
                          </w:rPr>
                          <w:t xml:space="preserve"> full potential of private capital.</w:t>
                        </w:r>
                        <w:r w:rsidR="00BF4748" w:rsidRPr="001A5EBC">
                          <w:rPr>
                            <w:color w:val="FFFFFF" w:themeColor="background1"/>
                            <w:sz w:val="24"/>
                            <w:szCs w:val="24"/>
                          </w:rPr>
                          <w:t xml:space="preserve"> </w:t>
                        </w:r>
                        <w:r w:rsidR="00B60695">
                          <w:rPr>
                            <w:color w:val="FFFFFF" w:themeColor="background1"/>
                            <w:sz w:val="24"/>
                            <w:szCs w:val="24"/>
                          </w:rPr>
                          <w:t xml:space="preserve">This equates to a leverage ratio of </w:t>
                        </w:r>
                        <w:r w:rsidR="00E04F28">
                          <w:rPr>
                            <w:color w:val="FFFFFF" w:themeColor="background1"/>
                            <w:sz w:val="24"/>
                            <w:szCs w:val="24"/>
                          </w:rPr>
                          <w:t>1:2.65 – that is for every £1 of government spending, an additional £2.65 of private investment may be expected.</w:t>
                        </w:r>
                      </w:p>
                      <w:p w14:paraId="51548114" w14:textId="77777777" w:rsidR="00F533F7" w:rsidRPr="001A5EBC" w:rsidRDefault="00F533F7" w:rsidP="00F533F7">
                        <w:pPr>
                          <w:rPr>
                            <w:color w:val="FFFFFF" w:themeColor="background1"/>
                          </w:rPr>
                        </w:pPr>
                      </w:p>
                    </w:txbxContent>
                  </v:textbox>
                </v:shape>
                <w10:wrap anchorx="margin"/>
              </v:group>
            </w:pict>
          </mc:Fallback>
        </mc:AlternateContent>
      </w:r>
      <w:r w:rsidR="00CF1658" w:rsidRPr="001A5EBC">
        <w:rPr>
          <w:noProof/>
        </w:rPr>
        <mc:AlternateContent>
          <mc:Choice Requires="wpg">
            <w:drawing>
              <wp:anchor distT="0" distB="0" distL="114300" distR="114300" simplePos="0" relativeHeight="251657234" behindDoc="0" locked="0" layoutInCell="1" allowOverlap="1" wp14:anchorId="7D25FB05" wp14:editId="5243BFC5">
                <wp:simplePos x="0" y="0"/>
                <wp:positionH relativeFrom="margin">
                  <wp:posOffset>-659130</wp:posOffset>
                </wp:positionH>
                <wp:positionV relativeFrom="paragraph">
                  <wp:posOffset>-162771</wp:posOffset>
                </wp:positionV>
                <wp:extent cx="7099935" cy="1429174"/>
                <wp:effectExtent l="0" t="0" r="5715" b="0"/>
                <wp:wrapNone/>
                <wp:docPr id="313248446" name="Group 12"/>
                <wp:cNvGraphicFramePr/>
                <a:graphic xmlns:a="http://schemas.openxmlformats.org/drawingml/2006/main">
                  <a:graphicData uri="http://schemas.microsoft.com/office/word/2010/wordprocessingGroup">
                    <wpg:wgp>
                      <wpg:cNvGrpSpPr/>
                      <wpg:grpSpPr>
                        <a:xfrm>
                          <a:off x="0" y="0"/>
                          <a:ext cx="7099935" cy="1429174"/>
                          <a:chOff x="0" y="12204"/>
                          <a:chExt cx="7020000" cy="1198800"/>
                        </a:xfrm>
                      </wpg:grpSpPr>
                      <wps:wsp>
                        <wps:cNvPr id="85951685" name="Rectangle 9"/>
                        <wps:cNvSpPr/>
                        <wps:spPr>
                          <a:xfrm>
                            <a:off x="0" y="12204"/>
                            <a:ext cx="7020000" cy="11988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580604" name="Text Box 10"/>
                        <wps:cNvSpPr txBox="1"/>
                        <wps:spPr>
                          <a:xfrm>
                            <a:off x="393405" y="159489"/>
                            <a:ext cx="554355" cy="762635"/>
                          </a:xfrm>
                          <a:prstGeom prst="callout1">
                            <a:avLst>
                              <a:gd name="adj1" fmla="val -182"/>
                              <a:gd name="adj2" fmla="val 100186"/>
                              <a:gd name="adj3" fmla="val 100614"/>
                              <a:gd name="adj4" fmla="val 99739"/>
                            </a:avLst>
                          </a:prstGeom>
                          <a:noFill/>
                          <a:ln w="6350">
                            <a:solidFill>
                              <a:schemeClr val="bg1"/>
                            </a:solidFill>
                          </a:ln>
                        </wps:spPr>
                        <wps:txbx>
                          <w:txbxContent>
                            <w:p w14:paraId="1F8740B3" w14:textId="77777777" w:rsidR="00A20E03" w:rsidRPr="001A5EBC" w:rsidRDefault="00A20E03" w:rsidP="00A20E03">
                              <w:pPr>
                                <w:jc w:val="right"/>
                                <w:rPr>
                                  <w:rFonts w:asciiTheme="majorHAnsi" w:hAnsiTheme="majorHAnsi"/>
                                  <w:b/>
                                  <w:bCs/>
                                  <w:color w:val="FFFFFF" w:themeColor="background1"/>
                                  <w:sz w:val="80"/>
                                  <w:szCs w:val="80"/>
                                </w:rPr>
                              </w:pPr>
                              <w:r w:rsidRPr="001A5EBC">
                                <w:rPr>
                                  <w:rFonts w:asciiTheme="majorHAnsi" w:hAnsiTheme="majorHAnsi"/>
                                  <w:b/>
                                  <w:bCs/>
                                  <w:color w:val="FFFFFF" w:themeColor="background1"/>
                                  <w:sz w:val="80"/>
                                  <w:szCs w:val="8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7410035" name="Text Box 11"/>
                        <wps:cNvSpPr txBox="1"/>
                        <wps:spPr>
                          <a:xfrm>
                            <a:off x="1105696" y="138205"/>
                            <a:ext cx="5819874" cy="1072610"/>
                          </a:xfrm>
                          <a:prstGeom prst="rect">
                            <a:avLst/>
                          </a:prstGeom>
                          <a:noFill/>
                          <a:ln w="6350">
                            <a:noFill/>
                          </a:ln>
                        </wps:spPr>
                        <wps:txbx>
                          <w:txbxContent>
                            <w:p w14:paraId="22C9DC4F" w14:textId="3CC81311" w:rsidR="00A20E03" w:rsidRPr="001A5EBC" w:rsidRDefault="00A20E03" w:rsidP="00A20E03">
                              <w:pPr>
                                <w:pStyle w:val="StandardHeading16ptBlack"/>
                              </w:pPr>
                              <w:r w:rsidRPr="001A5EBC">
                                <w:t>Land</w:t>
                              </w:r>
                              <w:r w:rsidR="00BE1D77" w:rsidRPr="001A5EBC">
                                <w:t xml:space="preserve"> </w:t>
                              </w:r>
                              <w:r w:rsidR="004E67B2">
                                <w:t>U</w:t>
                              </w:r>
                              <w:r w:rsidR="00BE1D77" w:rsidRPr="001A5EBC">
                                <w:t>se</w:t>
                              </w:r>
                            </w:p>
                            <w:p w14:paraId="35158EE7" w14:textId="3B0491FF" w:rsidR="00963F27" w:rsidRPr="001A5EBC" w:rsidRDefault="0073199E" w:rsidP="0083544A">
                              <w:pPr>
                                <w:pStyle w:val="ListBullet"/>
                                <w:numPr>
                                  <w:ilvl w:val="0"/>
                                  <w:numId w:val="0"/>
                                </w:numPr>
                                <w:rPr>
                                  <w:color w:val="FFFFFF" w:themeColor="background1"/>
                                  <w:sz w:val="24"/>
                                  <w:szCs w:val="24"/>
                                </w:rPr>
                              </w:pPr>
                              <w:r w:rsidRPr="001A5EBC">
                                <w:rPr>
                                  <w:b/>
                                  <w:bCs/>
                                  <w:color w:val="FFFFFF" w:themeColor="background1"/>
                                  <w:sz w:val="24"/>
                                  <w:szCs w:val="24"/>
                                </w:rPr>
                                <w:t>P</w:t>
                              </w:r>
                              <w:r w:rsidR="00690571" w:rsidRPr="001A5EBC">
                                <w:rPr>
                                  <w:b/>
                                  <w:bCs/>
                                  <w:color w:val="FFFFFF" w:themeColor="background1"/>
                                  <w:sz w:val="24"/>
                                  <w:szCs w:val="24"/>
                                </w:rPr>
                                <w:t>ublic</w:t>
                              </w:r>
                              <w:r w:rsidRPr="001A5EBC">
                                <w:rPr>
                                  <w:b/>
                                  <w:bCs/>
                                  <w:color w:val="FFFFFF" w:themeColor="background1"/>
                                  <w:sz w:val="24"/>
                                  <w:szCs w:val="24"/>
                                </w:rPr>
                                <w:t xml:space="preserve"> and private</w:t>
                              </w:r>
                              <w:r w:rsidR="00690571" w:rsidRPr="001A5EBC">
                                <w:rPr>
                                  <w:b/>
                                  <w:bCs/>
                                  <w:color w:val="FFFFFF" w:themeColor="background1"/>
                                  <w:sz w:val="24"/>
                                  <w:szCs w:val="24"/>
                                </w:rPr>
                                <w:t xml:space="preserve"> investments can</w:t>
                              </w:r>
                              <w:r w:rsidR="00053D4D">
                                <w:rPr>
                                  <w:b/>
                                  <w:bCs/>
                                  <w:color w:val="FFFFFF" w:themeColor="background1"/>
                                  <w:sz w:val="24"/>
                                  <w:szCs w:val="24"/>
                                </w:rPr>
                                <w:t xml:space="preserve"> each</w:t>
                              </w:r>
                              <w:r w:rsidR="00690571" w:rsidRPr="001A5EBC">
                                <w:rPr>
                                  <w:b/>
                                  <w:bCs/>
                                  <w:color w:val="FFFFFF" w:themeColor="background1"/>
                                  <w:sz w:val="24"/>
                                  <w:szCs w:val="24"/>
                                </w:rPr>
                                <w:t xml:space="preserve"> be expected to account for </w:t>
                              </w:r>
                              <w:r w:rsidR="00053D4D">
                                <w:rPr>
                                  <w:b/>
                                  <w:bCs/>
                                  <w:color w:val="FFFFFF" w:themeColor="background1"/>
                                  <w:sz w:val="24"/>
                                  <w:szCs w:val="24"/>
                                </w:rPr>
                                <w:t>50</w:t>
                              </w:r>
                              <w:r w:rsidR="00963F27" w:rsidRPr="001A5EBC">
                                <w:rPr>
                                  <w:b/>
                                  <w:bCs/>
                                  <w:color w:val="FFFFFF" w:themeColor="background1"/>
                                  <w:sz w:val="24"/>
                                  <w:szCs w:val="24"/>
                                </w:rPr>
                                <w:t>%</w:t>
                              </w:r>
                              <w:r w:rsidR="00053D4D">
                                <w:rPr>
                                  <w:b/>
                                  <w:bCs/>
                                  <w:color w:val="FFFFFF" w:themeColor="background1"/>
                                  <w:sz w:val="24"/>
                                  <w:szCs w:val="24"/>
                                </w:rPr>
                                <w:t xml:space="preserve"> </w:t>
                              </w:r>
                              <w:r w:rsidR="00A040AF" w:rsidRPr="001A5EBC">
                                <w:rPr>
                                  <w:b/>
                                  <w:bCs/>
                                  <w:color w:val="FFFFFF" w:themeColor="background1"/>
                                  <w:sz w:val="24"/>
                                  <w:szCs w:val="24"/>
                                </w:rPr>
                                <w:t xml:space="preserve">of the required investments respectively. </w:t>
                              </w:r>
                              <w:r w:rsidR="00183935" w:rsidRPr="001A5EBC">
                                <w:rPr>
                                  <w:color w:val="FFFFFF" w:themeColor="background1"/>
                                  <w:sz w:val="24"/>
                                  <w:szCs w:val="24"/>
                                </w:rPr>
                                <w:t xml:space="preserve">Of the </w:t>
                              </w:r>
                              <w:r w:rsidR="00963F27" w:rsidRPr="001A5EBC">
                                <w:rPr>
                                  <w:color w:val="FFFFFF" w:themeColor="background1"/>
                                  <w:sz w:val="24"/>
                                  <w:szCs w:val="24"/>
                                </w:rPr>
                                <w:t>£</w:t>
                              </w:r>
                              <w:r w:rsidR="00B12750" w:rsidRPr="001A5EBC">
                                <w:rPr>
                                  <w:color w:val="FFFFFF" w:themeColor="background1"/>
                                  <w:sz w:val="24"/>
                                  <w:szCs w:val="24"/>
                                </w:rPr>
                                <w:t>1</w:t>
                              </w:r>
                              <w:r w:rsidR="00963F27" w:rsidRPr="001A5EBC">
                                <w:rPr>
                                  <w:color w:val="FFFFFF" w:themeColor="background1"/>
                                  <w:sz w:val="24"/>
                                  <w:szCs w:val="24"/>
                                </w:rPr>
                                <w:t xml:space="preserve">bn pa </w:t>
                              </w:r>
                              <w:r w:rsidR="00C70EFF" w:rsidRPr="001A5EBC">
                                <w:rPr>
                                  <w:color w:val="FFFFFF" w:themeColor="background1"/>
                                  <w:sz w:val="24"/>
                                  <w:szCs w:val="24"/>
                                </w:rPr>
                                <w:t xml:space="preserve">investments </w:t>
                              </w:r>
                              <w:r w:rsidR="00963F27" w:rsidRPr="001A5EBC">
                                <w:rPr>
                                  <w:color w:val="FFFFFF" w:themeColor="background1"/>
                                  <w:sz w:val="24"/>
                                  <w:szCs w:val="24"/>
                                </w:rPr>
                                <w:t>in the North, £</w:t>
                              </w:r>
                              <w:r w:rsidR="00B12750" w:rsidRPr="001A5EBC">
                                <w:rPr>
                                  <w:color w:val="FFFFFF" w:themeColor="background1"/>
                                  <w:sz w:val="24"/>
                                  <w:szCs w:val="24"/>
                                </w:rPr>
                                <w:t>0.</w:t>
                              </w:r>
                              <w:r w:rsidR="00542D4E" w:rsidRPr="001A5EBC">
                                <w:rPr>
                                  <w:color w:val="FFFFFF" w:themeColor="background1"/>
                                  <w:sz w:val="24"/>
                                  <w:szCs w:val="24"/>
                                </w:rPr>
                                <w:t>5</w:t>
                              </w:r>
                              <w:r w:rsidR="00963F27" w:rsidRPr="001A5EBC">
                                <w:rPr>
                                  <w:color w:val="FFFFFF" w:themeColor="background1"/>
                                  <w:sz w:val="24"/>
                                  <w:szCs w:val="24"/>
                                </w:rPr>
                                <w:t>bn</w:t>
                              </w:r>
                              <w:r w:rsidR="00C70EFF" w:rsidRPr="001A5EBC">
                                <w:rPr>
                                  <w:color w:val="FFFFFF" w:themeColor="background1"/>
                                  <w:sz w:val="24"/>
                                  <w:szCs w:val="24"/>
                                </w:rPr>
                                <w:t xml:space="preserve"> would be </w:t>
                              </w:r>
                              <w:r w:rsidR="00963F27" w:rsidRPr="001A5EBC">
                                <w:rPr>
                                  <w:color w:val="FFFFFF" w:themeColor="background1"/>
                                  <w:sz w:val="24"/>
                                  <w:szCs w:val="24"/>
                                </w:rPr>
                                <w:t>public investment (primarily in direct</w:t>
                              </w:r>
                              <w:r w:rsidR="003B16FB">
                                <w:rPr>
                                  <w:color w:val="FFFFFF" w:themeColor="background1"/>
                                  <w:sz w:val="24"/>
                                  <w:szCs w:val="24"/>
                                </w:rPr>
                                <w:t xml:space="preserve"> </w:t>
                              </w:r>
                              <w:r w:rsidR="00963F27" w:rsidRPr="001A5EBC">
                                <w:rPr>
                                  <w:color w:val="FFFFFF" w:themeColor="background1"/>
                                  <w:sz w:val="24"/>
                                  <w:szCs w:val="24"/>
                                </w:rPr>
                                <w:t>funding</w:t>
                              </w:r>
                              <w:r w:rsidR="004C33BA" w:rsidRPr="001A5EBC">
                                <w:rPr>
                                  <w:color w:val="FFFFFF" w:themeColor="background1"/>
                                  <w:sz w:val="24"/>
                                  <w:szCs w:val="24"/>
                                </w:rPr>
                                <w:t xml:space="preserve"> </w:t>
                              </w:r>
                              <w:r w:rsidR="00963F27" w:rsidRPr="001A5EBC">
                                <w:rPr>
                                  <w:color w:val="FFFFFF" w:themeColor="background1"/>
                                  <w:sz w:val="24"/>
                                  <w:szCs w:val="24"/>
                                </w:rPr>
                                <w:t>of environmental restoration and grants to encourage sustainable agricultural practices)</w:t>
                              </w:r>
                              <w:r w:rsidR="00292657" w:rsidRPr="001A5EBC">
                                <w:rPr>
                                  <w:color w:val="FFFFFF" w:themeColor="background1"/>
                                  <w:sz w:val="24"/>
                                  <w:szCs w:val="24"/>
                                </w:rPr>
                                <w:t xml:space="preserve"> and around £0.</w:t>
                              </w:r>
                              <w:r w:rsidR="00542D4E" w:rsidRPr="001A5EBC">
                                <w:rPr>
                                  <w:color w:val="FFFFFF" w:themeColor="background1"/>
                                  <w:sz w:val="24"/>
                                  <w:szCs w:val="24"/>
                                </w:rPr>
                                <w:t>5</w:t>
                              </w:r>
                              <w:r w:rsidR="00292657" w:rsidRPr="001A5EBC">
                                <w:rPr>
                                  <w:color w:val="FFFFFF" w:themeColor="background1"/>
                                  <w:sz w:val="24"/>
                                  <w:szCs w:val="24"/>
                                </w:rPr>
                                <w:t xml:space="preserve">bn would be covered by the private sector. </w:t>
                              </w:r>
                            </w:p>
                            <w:p w14:paraId="17180358" w14:textId="77777777" w:rsidR="00963F27" w:rsidRPr="001A5EBC" w:rsidRDefault="00963F27" w:rsidP="00963F27">
                              <w:pPr>
                                <w:pStyle w:val="BodyText"/>
                              </w:pPr>
                            </w:p>
                            <w:p w14:paraId="0F450F21" w14:textId="77777777" w:rsidR="00A20E03" w:rsidRPr="001A5EBC" w:rsidRDefault="00A20E03" w:rsidP="00A20E03">
                              <w:pPr>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25FB05" id="_x0000_s1053" style="position:absolute;margin-left:-51.9pt;margin-top:-12.8pt;width:559.05pt;height:112.55pt;z-index:251657234;mso-position-horizontal-relative:margin;mso-width-relative:margin;mso-height-relative:margin" coordorigin=",122" coordsize="70200,1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">
                <v:rect id="Rectangle 9" o:spid="_x0000_s1054" style="position:absolute;top:122;width:70200;height:1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" fillcolor="#009fe3 [3204]" stroked="f" strokeweight="2pt"/>
                <v:shape id="_x0000_s1055" type="#_x0000_t41" style="position:absolute;left:3934;top:1594;width:5543;height:7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" adj="21544,21733,21640,-39" filled="f" strokecolor="white [3212]" strokeweight=".5pt">
                  <v:textbox>
                    <w:txbxContent>
                      <w:p w14:paraId="1F8740B3" w14:textId="77777777" w:rsidR="00A20E03" w:rsidRPr="001A5EBC" w:rsidRDefault="00A20E03" w:rsidP="00A20E03">
                        <w:pPr>
                          <w:jc w:val="right"/>
                          <w:rPr>
                            <w:rFonts w:asciiTheme="majorHAnsi" w:hAnsiTheme="majorHAnsi"/>
                            <w:b/>
                            <w:bCs/>
                            <w:color w:val="FFFFFF" w:themeColor="background1"/>
                            <w:sz w:val="80"/>
                            <w:szCs w:val="80"/>
                          </w:rPr>
                        </w:pPr>
                        <w:r w:rsidRPr="001A5EBC">
                          <w:rPr>
                            <w:rFonts w:asciiTheme="majorHAnsi" w:hAnsiTheme="majorHAnsi"/>
                            <w:b/>
                            <w:bCs/>
                            <w:color w:val="FFFFFF" w:themeColor="background1"/>
                            <w:sz w:val="80"/>
                            <w:szCs w:val="80"/>
                          </w:rPr>
                          <w:t>5</w:t>
                        </w:r>
                      </w:p>
                    </w:txbxContent>
                  </v:textbox>
                  <o:callout v:ext="edit" minusy="t"/>
                </v:shape>
                <v:shape id="Text Box 11" o:spid="_x0000_s1056" type="#_x0000_t202" style="position:absolute;left:11056;top:1382;width:58199;height:10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" filled="f" stroked="f" strokeweight=".5pt">
                  <v:textbox inset="0,0,0,0">
                    <w:txbxContent>
                      <w:p w14:paraId="22C9DC4F" w14:textId="3CC81311" w:rsidR="00A20E03" w:rsidRPr="001A5EBC" w:rsidRDefault="00A20E03" w:rsidP="00A20E03">
                        <w:pPr>
                          <w:pStyle w:val="StandardHeading16ptBlack"/>
                        </w:pPr>
                        <w:r w:rsidRPr="001A5EBC">
                          <w:t>Land</w:t>
                        </w:r>
                        <w:r w:rsidR="00BE1D77" w:rsidRPr="001A5EBC">
                          <w:t xml:space="preserve"> </w:t>
                        </w:r>
                        <w:r w:rsidR="004E67B2">
                          <w:t>U</w:t>
                        </w:r>
                        <w:r w:rsidR="00BE1D77" w:rsidRPr="001A5EBC">
                          <w:t>se</w:t>
                        </w:r>
                      </w:p>
                      <w:p w14:paraId="35158EE7" w14:textId="3B0491FF" w:rsidR="00963F27" w:rsidRPr="001A5EBC" w:rsidRDefault="0073199E" w:rsidP="0083544A">
                        <w:pPr>
                          <w:pStyle w:val="ListBullet"/>
                          <w:numPr>
                            <w:ilvl w:val="0"/>
                            <w:numId w:val="0"/>
                          </w:numPr>
                          <w:rPr>
                            <w:color w:val="FFFFFF" w:themeColor="background1"/>
                            <w:sz w:val="24"/>
                            <w:szCs w:val="24"/>
                          </w:rPr>
                        </w:pPr>
                        <w:r w:rsidRPr="001A5EBC">
                          <w:rPr>
                            <w:b/>
                            <w:bCs/>
                            <w:color w:val="FFFFFF" w:themeColor="background1"/>
                            <w:sz w:val="24"/>
                            <w:szCs w:val="24"/>
                          </w:rPr>
                          <w:t>P</w:t>
                        </w:r>
                        <w:r w:rsidR="00690571" w:rsidRPr="001A5EBC">
                          <w:rPr>
                            <w:b/>
                            <w:bCs/>
                            <w:color w:val="FFFFFF" w:themeColor="background1"/>
                            <w:sz w:val="24"/>
                            <w:szCs w:val="24"/>
                          </w:rPr>
                          <w:t>ublic</w:t>
                        </w:r>
                        <w:r w:rsidRPr="001A5EBC">
                          <w:rPr>
                            <w:b/>
                            <w:bCs/>
                            <w:color w:val="FFFFFF" w:themeColor="background1"/>
                            <w:sz w:val="24"/>
                            <w:szCs w:val="24"/>
                          </w:rPr>
                          <w:t xml:space="preserve"> and private</w:t>
                        </w:r>
                        <w:r w:rsidR="00690571" w:rsidRPr="001A5EBC">
                          <w:rPr>
                            <w:b/>
                            <w:bCs/>
                            <w:color w:val="FFFFFF" w:themeColor="background1"/>
                            <w:sz w:val="24"/>
                            <w:szCs w:val="24"/>
                          </w:rPr>
                          <w:t xml:space="preserve"> investments can</w:t>
                        </w:r>
                        <w:r w:rsidR="00053D4D">
                          <w:rPr>
                            <w:b/>
                            <w:bCs/>
                            <w:color w:val="FFFFFF" w:themeColor="background1"/>
                            <w:sz w:val="24"/>
                            <w:szCs w:val="24"/>
                          </w:rPr>
                          <w:t xml:space="preserve"> each</w:t>
                        </w:r>
                        <w:r w:rsidR="00690571" w:rsidRPr="001A5EBC">
                          <w:rPr>
                            <w:b/>
                            <w:bCs/>
                            <w:color w:val="FFFFFF" w:themeColor="background1"/>
                            <w:sz w:val="24"/>
                            <w:szCs w:val="24"/>
                          </w:rPr>
                          <w:t xml:space="preserve"> be expected to account for </w:t>
                        </w:r>
                        <w:r w:rsidR="00053D4D">
                          <w:rPr>
                            <w:b/>
                            <w:bCs/>
                            <w:color w:val="FFFFFF" w:themeColor="background1"/>
                            <w:sz w:val="24"/>
                            <w:szCs w:val="24"/>
                          </w:rPr>
                          <w:t>50</w:t>
                        </w:r>
                        <w:r w:rsidR="00963F27" w:rsidRPr="001A5EBC">
                          <w:rPr>
                            <w:b/>
                            <w:bCs/>
                            <w:color w:val="FFFFFF" w:themeColor="background1"/>
                            <w:sz w:val="24"/>
                            <w:szCs w:val="24"/>
                          </w:rPr>
                          <w:t>%</w:t>
                        </w:r>
                        <w:r w:rsidR="00053D4D">
                          <w:rPr>
                            <w:b/>
                            <w:bCs/>
                            <w:color w:val="FFFFFF" w:themeColor="background1"/>
                            <w:sz w:val="24"/>
                            <w:szCs w:val="24"/>
                          </w:rPr>
                          <w:t xml:space="preserve"> </w:t>
                        </w:r>
                        <w:r w:rsidR="00A040AF" w:rsidRPr="001A5EBC">
                          <w:rPr>
                            <w:b/>
                            <w:bCs/>
                            <w:color w:val="FFFFFF" w:themeColor="background1"/>
                            <w:sz w:val="24"/>
                            <w:szCs w:val="24"/>
                          </w:rPr>
                          <w:t xml:space="preserve">of the required investments respectively. </w:t>
                        </w:r>
                        <w:r w:rsidR="00183935" w:rsidRPr="001A5EBC">
                          <w:rPr>
                            <w:color w:val="FFFFFF" w:themeColor="background1"/>
                            <w:sz w:val="24"/>
                            <w:szCs w:val="24"/>
                          </w:rPr>
                          <w:t xml:space="preserve">Of the </w:t>
                        </w:r>
                        <w:r w:rsidR="00963F27" w:rsidRPr="001A5EBC">
                          <w:rPr>
                            <w:color w:val="FFFFFF" w:themeColor="background1"/>
                            <w:sz w:val="24"/>
                            <w:szCs w:val="24"/>
                          </w:rPr>
                          <w:t>£</w:t>
                        </w:r>
                        <w:r w:rsidR="00B12750" w:rsidRPr="001A5EBC">
                          <w:rPr>
                            <w:color w:val="FFFFFF" w:themeColor="background1"/>
                            <w:sz w:val="24"/>
                            <w:szCs w:val="24"/>
                          </w:rPr>
                          <w:t>1</w:t>
                        </w:r>
                        <w:r w:rsidR="00963F27" w:rsidRPr="001A5EBC">
                          <w:rPr>
                            <w:color w:val="FFFFFF" w:themeColor="background1"/>
                            <w:sz w:val="24"/>
                            <w:szCs w:val="24"/>
                          </w:rPr>
                          <w:t xml:space="preserve">bn pa </w:t>
                        </w:r>
                        <w:r w:rsidR="00C70EFF" w:rsidRPr="001A5EBC">
                          <w:rPr>
                            <w:color w:val="FFFFFF" w:themeColor="background1"/>
                            <w:sz w:val="24"/>
                            <w:szCs w:val="24"/>
                          </w:rPr>
                          <w:t xml:space="preserve">investments </w:t>
                        </w:r>
                        <w:r w:rsidR="00963F27" w:rsidRPr="001A5EBC">
                          <w:rPr>
                            <w:color w:val="FFFFFF" w:themeColor="background1"/>
                            <w:sz w:val="24"/>
                            <w:szCs w:val="24"/>
                          </w:rPr>
                          <w:t>in the North, £</w:t>
                        </w:r>
                        <w:r w:rsidR="00B12750" w:rsidRPr="001A5EBC">
                          <w:rPr>
                            <w:color w:val="FFFFFF" w:themeColor="background1"/>
                            <w:sz w:val="24"/>
                            <w:szCs w:val="24"/>
                          </w:rPr>
                          <w:t>0.</w:t>
                        </w:r>
                        <w:r w:rsidR="00542D4E" w:rsidRPr="001A5EBC">
                          <w:rPr>
                            <w:color w:val="FFFFFF" w:themeColor="background1"/>
                            <w:sz w:val="24"/>
                            <w:szCs w:val="24"/>
                          </w:rPr>
                          <w:t>5</w:t>
                        </w:r>
                        <w:r w:rsidR="00963F27" w:rsidRPr="001A5EBC">
                          <w:rPr>
                            <w:color w:val="FFFFFF" w:themeColor="background1"/>
                            <w:sz w:val="24"/>
                            <w:szCs w:val="24"/>
                          </w:rPr>
                          <w:t>bn</w:t>
                        </w:r>
                        <w:r w:rsidR="00C70EFF" w:rsidRPr="001A5EBC">
                          <w:rPr>
                            <w:color w:val="FFFFFF" w:themeColor="background1"/>
                            <w:sz w:val="24"/>
                            <w:szCs w:val="24"/>
                          </w:rPr>
                          <w:t xml:space="preserve"> would be </w:t>
                        </w:r>
                        <w:r w:rsidR="00963F27" w:rsidRPr="001A5EBC">
                          <w:rPr>
                            <w:color w:val="FFFFFF" w:themeColor="background1"/>
                            <w:sz w:val="24"/>
                            <w:szCs w:val="24"/>
                          </w:rPr>
                          <w:t>public investment (primarily in direct</w:t>
                        </w:r>
                        <w:r w:rsidR="003B16FB">
                          <w:rPr>
                            <w:color w:val="FFFFFF" w:themeColor="background1"/>
                            <w:sz w:val="24"/>
                            <w:szCs w:val="24"/>
                          </w:rPr>
                          <w:t xml:space="preserve"> </w:t>
                        </w:r>
                        <w:r w:rsidR="00963F27" w:rsidRPr="001A5EBC">
                          <w:rPr>
                            <w:color w:val="FFFFFF" w:themeColor="background1"/>
                            <w:sz w:val="24"/>
                            <w:szCs w:val="24"/>
                          </w:rPr>
                          <w:t>funding</w:t>
                        </w:r>
                        <w:r w:rsidR="004C33BA" w:rsidRPr="001A5EBC">
                          <w:rPr>
                            <w:color w:val="FFFFFF" w:themeColor="background1"/>
                            <w:sz w:val="24"/>
                            <w:szCs w:val="24"/>
                          </w:rPr>
                          <w:t xml:space="preserve"> </w:t>
                        </w:r>
                        <w:r w:rsidR="00963F27" w:rsidRPr="001A5EBC">
                          <w:rPr>
                            <w:color w:val="FFFFFF" w:themeColor="background1"/>
                            <w:sz w:val="24"/>
                            <w:szCs w:val="24"/>
                          </w:rPr>
                          <w:t>of environmental restoration and grants to encourage sustainable agricultural practices)</w:t>
                        </w:r>
                        <w:r w:rsidR="00292657" w:rsidRPr="001A5EBC">
                          <w:rPr>
                            <w:color w:val="FFFFFF" w:themeColor="background1"/>
                            <w:sz w:val="24"/>
                            <w:szCs w:val="24"/>
                          </w:rPr>
                          <w:t xml:space="preserve"> and around £0.</w:t>
                        </w:r>
                        <w:r w:rsidR="00542D4E" w:rsidRPr="001A5EBC">
                          <w:rPr>
                            <w:color w:val="FFFFFF" w:themeColor="background1"/>
                            <w:sz w:val="24"/>
                            <w:szCs w:val="24"/>
                          </w:rPr>
                          <w:t>5</w:t>
                        </w:r>
                        <w:r w:rsidR="00292657" w:rsidRPr="001A5EBC">
                          <w:rPr>
                            <w:color w:val="FFFFFF" w:themeColor="background1"/>
                            <w:sz w:val="24"/>
                            <w:szCs w:val="24"/>
                          </w:rPr>
                          <w:t xml:space="preserve">bn would be covered by the private sector. </w:t>
                        </w:r>
                      </w:p>
                      <w:p w14:paraId="17180358" w14:textId="77777777" w:rsidR="00963F27" w:rsidRPr="001A5EBC" w:rsidRDefault="00963F27" w:rsidP="00963F27">
                        <w:pPr>
                          <w:pStyle w:val="BodyText"/>
                        </w:pPr>
                      </w:p>
                      <w:p w14:paraId="0F450F21" w14:textId="77777777" w:rsidR="00A20E03" w:rsidRPr="001A5EBC" w:rsidRDefault="00A20E03" w:rsidP="00A20E03">
                        <w:pPr>
                          <w:rPr>
                            <w:color w:val="FFFFFF" w:themeColor="background1"/>
                          </w:rPr>
                        </w:pPr>
                      </w:p>
                    </w:txbxContent>
                  </v:textbox>
                </v:shape>
                <w10:wrap anchorx="margin"/>
              </v:group>
            </w:pict>
          </mc:Fallback>
        </mc:AlternateContent>
      </w:r>
      <w:bookmarkEnd w:id="11"/>
      <w:bookmarkEnd w:id="12"/>
    </w:p>
    <w:p w14:paraId="24440801" w14:textId="31BADAB9" w:rsidR="00F84948" w:rsidRPr="001A5EBC" w:rsidRDefault="00D43CB8" w:rsidP="001E1429">
      <w:pPr>
        <w:pStyle w:val="Heading1"/>
        <w:numPr>
          <w:ilvl w:val="0"/>
          <w:numId w:val="47"/>
        </w:numPr>
      </w:pPr>
      <w:bookmarkStart w:id="13" w:name="_Toc169011869"/>
      <w:r w:rsidRPr="001A5EBC">
        <w:lastRenderedPageBreak/>
        <w:t>References</w:t>
      </w:r>
      <w:bookmarkEnd w:id="6"/>
      <w:bookmarkEnd w:id="13"/>
    </w:p>
    <w:p w14:paraId="3EA7E37F" w14:textId="288B56AF" w:rsidR="008A4BA0" w:rsidRPr="001A5EBC" w:rsidRDefault="008A4BA0" w:rsidP="008A4BA0">
      <w:pPr>
        <w:pStyle w:val="BodyText"/>
        <w:rPr>
          <w:rStyle w:val="Hyperlink"/>
        </w:rPr>
      </w:pPr>
      <w:r w:rsidRPr="001A5EBC">
        <w:t>BEIS</w:t>
      </w:r>
      <w:r w:rsidR="008F2EC9" w:rsidRPr="001A5EBC">
        <w:t xml:space="preserve"> &amp; DESNZ</w:t>
      </w:r>
      <w:r w:rsidRPr="001A5EBC">
        <w:t xml:space="preserve">, 2021. Industrial decarbonisation strategy. Available at: </w:t>
      </w:r>
      <w:hyperlink r:id="rId47" w:anchor="annex-4-industry-decarbonisation-pathways-technical-annex" w:history="1">
        <w:r w:rsidRPr="001A5EBC">
          <w:rPr>
            <w:rStyle w:val="Hyperlink"/>
          </w:rPr>
          <w:t>Industrial decarbonisation strategy (accessible webpage) - GOV.UK (www.gov.uk)</w:t>
        </w:r>
      </w:hyperlink>
    </w:p>
    <w:p w14:paraId="38BFA557" w14:textId="676343B5" w:rsidR="00677F00" w:rsidRDefault="00677F00" w:rsidP="00073700">
      <w:pPr>
        <w:pStyle w:val="BodyText"/>
        <w:rPr>
          <w:rStyle w:val="Hyperlink"/>
          <w:color w:val="auto"/>
          <w:u w:val="none"/>
        </w:rPr>
      </w:pPr>
      <w:r>
        <w:rPr>
          <w:rStyle w:val="Hyperlink"/>
          <w:color w:val="auto"/>
          <w:u w:val="none"/>
        </w:rPr>
        <w:t>Cambridge Econometrics, 2023: Economic Scenarios for the Northern Powerhouse Independent Economic Review</w:t>
      </w:r>
      <w:r w:rsidR="00AF2DEF">
        <w:rPr>
          <w:rStyle w:val="Hyperlink"/>
          <w:color w:val="auto"/>
          <w:u w:val="none"/>
        </w:rPr>
        <w:t>.</w:t>
      </w:r>
      <w:r>
        <w:rPr>
          <w:rStyle w:val="Hyperlink"/>
          <w:color w:val="auto"/>
          <w:u w:val="none"/>
        </w:rPr>
        <w:t xml:space="preserve"> Available at: </w:t>
      </w:r>
      <w:hyperlink r:id="rId48" w:history="1">
        <w:r>
          <w:rPr>
            <w:rStyle w:val="Hyperlink"/>
          </w:rPr>
          <w:t>Economic scenarios for the Northern Powerhouse Independent Economic Review (transportforthenorth.com)</w:t>
        </w:r>
      </w:hyperlink>
    </w:p>
    <w:p w14:paraId="19A677E4" w14:textId="240040B8" w:rsidR="00073700" w:rsidRPr="001A5EBC" w:rsidRDefault="00073700" w:rsidP="00073700">
      <w:pPr>
        <w:pStyle w:val="BodyText"/>
      </w:pPr>
      <w:r w:rsidRPr="001A5EBC">
        <w:rPr>
          <w:rStyle w:val="Hyperlink"/>
          <w:color w:val="auto"/>
          <w:u w:val="none"/>
        </w:rPr>
        <w:t xml:space="preserve">Citizens Advise, 2023. Demand: </w:t>
      </w:r>
      <w:r w:rsidR="00FB3932" w:rsidRPr="001A5EBC">
        <w:rPr>
          <w:rStyle w:val="Hyperlink"/>
          <w:color w:val="auto"/>
          <w:u w:val="none"/>
        </w:rPr>
        <w:t>Net zero</w:t>
      </w:r>
      <w:r w:rsidRPr="001A5EBC">
        <w:rPr>
          <w:rStyle w:val="Hyperlink"/>
          <w:color w:val="auto"/>
          <w:u w:val="none"/>
        </w:rPr>
        <w:t>. Tackling the barriers to increased homeowner demand for retrofit measures</w:t>
      </w:r>
    </w:p>
    <w:p w14:paraId="4AF0CB3F" w14:textId="5EDE06C1" w:rsidR="00F771F2" w:rsidRPr="001A5EBC" w:rsidRDefault="00F771F2" w:rsidP="00F771F2">
      <w:pPr>
        <w:pStyle w:val="BodyText"/>
        <w:rPr>
          <w:rStyle w:val="Hyperlink"/>
          <w:color w:val="auto"/>
          <w:u w:val="none"/>
        </w:rPr>
      </w:pPr>
      <w:r w:rsidRPr="001A5EBC">
        <w:rPr>
          <w:rStyle w:val="Hyperlink"/>
          <w:color w:val="auto"/>
          <w:u w:val="none"/>
        </w:rPr>
        <w:t xml:space="preserve">Climate Change Committee, 2023. Progress towards reaching </w:t>
      </w:r>
      <w:r w:rsidR="00FB3932" w:rsidRPr="001A5EBC">
        <w:rPr>
          <w:rStyle w:val="Hyperlink"/>
          <w:color w:val="auto"/>
          <w:u w:val="none"/>
        </w:rPr>
        <w:t>Net zero</w:t>
      </w:r>
      <w:r w:rsidRPr="001A5EBC">
        <w:rPr>
          <w:rStyle w:val="Hyperlink"/>
          <w:color w:val="auto"/>
          <w:u w:val="none"/>
        </w:rPr>
        <w:t xml:space="preserve"> in the UK. Available at: </w:t>
      </w:r>
      <w:hyperlink r:id="rId49" w:history="1">
        <w:r w:rsidR="00377191" w:rsidRPr="001A5EBC">
          <w:rPr>
            <w:rStyle w:val="Hyperlink"/>
          </w:rPr>
          <w:t xml:space="preserve">Progress towards reaching </w:t>
        </w:r>
        <w:r w:rsidR="00FB3932" w:rsidRPr="001A5EBC">
          <w:rPr>
            <w:rStyle w:val="Hyperlink"/>
          </w:rPr>
          <w:t>Net zero</w:t>
        </w:r>
        <w:r w:rsidR="00377191" w:rsidRPr="001A5EBC">
          <w:rPr>
            <w:rStyle w:val="Hyperlink"/>
          </w:rPr>
          <w:t xml:space="preserve"> in the UK - Climate Change Committee (theccc.org.uk)</w:t>
        </w:r>
      </w:hyperlink>
    </w:p>
    <w:p w14:paraId="4D8E6309" w14:textId="6934D5A2" w:rsidR="005E33F8" w:rsidRPr="001A5EBC" w:rsidRDefault="005E33F8" w:rsidP="0022314E">
      <w:pPr>
        <w:pStyle w:val="BodyText"/>
        <w:rPr>
          <w:rStyle w:val="Hyperlink"/>
          <w:color w:val="auto"/>
          <w:u w:val="none"/>
        </w:rPr>
      </w:pPr>
      <w:r w:rsidRPr="001A5EBC">
        <w:rPr>
          <w:rStyle w:val="Hyperlink"/>
          <w:color w:val="auto"/>
          <w:u w:val="none"/>
        </w:rPr>
        <w:t>Climate Change Committee, 202</w:t>
      </w:r>
      <w:r w:rsidR="005C5711" w:rsidRPr="001A5EBC">
        <w:rPr>
          <w:rStyle w:val="Hyperlink"/>
          <w:color w:val="auto"/>
          <w:u w:val="none"/>
        </w:rPr>
        <w:t>0</w:t>
      </w:r>
      <w:r w:rsidRPr="001A5EBC">
        <w:rPr>
          <w:rStyle w:val="Hyperlink"/>
          <w:color w:val="auto"/>
          <w:u w:val="none"/>
        </w:rPr>
        <w:t xml:space="preserve">. Sixth Carbon Budget. Available at: </w:t>
      </w:r>
      <w:hyperlink r:id="rId50" w:history="1">
        <w:r w:rsidR="005C5711" w:rsidRPr="001A5EBC">
          <w:rPr>
            <w:rStyle w:val="Hyperlink"/>
          </w:rPr>
          <w:t>Sixth Carbon Budget - Climate Change Committee (theccc.org.uk)</w:t>
        </w:r>
      </w:hyperlink>
    </w:p>
    <w:p w14:paraId="2DB2D6DE" w14:textId="61A33753" w:rsidR="0022314E" w:rsidRPr="001A5EBC" w:rsidRDefault="0022314E" w:rsidP="0022314E">
      <w:pPr>
        <w:pStyle w:val="BodyText"/>
        <w:rPr>
          <w:color w:val="0000FF" w:themeColor="hyperlink"/>
          <w:u w:val="single"/>
        </w:rPr>
      </w:pPr>
      <w:r w:rsidRPr="001A5EBC">
        <w:rPr>
          <w:rStyle w:val="Hyperlink"/>
          <w:color w:val="auto"/>
          <w:u w:val="none"/>
        </w:rPr>
        <w:t>Climate Policy Initiative, 2023. Global Landscape of Climate Finance 2023. Available at</w:t>
      </w:r>
      <w:r w:rsidRPr="001A5EBC">
        <w:rPr>
          <w:rStyle w:val="Hyperlink"/>
        </w:rPr>
        <w:t xml:space="preserve">: </w:t>
      </w:r>
      <w:hyperlink r:id="rId51" w:history="1">
        <w:r w:rsidRPr="001A5EBC">
          <w:rPr>
            <w:rStyle w:val="Hyperlink"/>
          </w:rPr>
          <w:t>Global-Landscape-of-Climate-Finance-2023.pdf (climatepolicyinitiative.org)</w:t>
        </w:r>
      </w:hyperlink>
    </w:p>
    <w:p w14:paraId="2E3884B3" w14:textId="11FA142A" w:rsidR="00F66779" w:rsidRPr="001A5EBC" w:rsidRDefault="00A031ED" w:rsidP="006B70C8">
      <w:pPr>
        <w:pStyle w:val="BodyText"/>
        <w:rPr>
          <w:rStyle w:val="Hyperlink"/>
        </w:rPr>
      </w:pPr>
      <w:r w:rsidRPr="001A5EBC">
        <w:t xml:space="preserve">DESNZ, 2021. </w:t>
      </w:r>
      <w:r w:rsidR="00FB3932" w:rsidRPr="001A5EBC">
        <w:t>Net zero</w:t>
      </w:r>
      <w:r w:rsidRPr="001A5EBC">
        <w:t xml:space="preserve"> Strategy: Building Back Greener. Available at: </w:t>
      </w:r>
      <w:hyperlink r:id="rId52" w:history="1">
        <w:r w:rsidR="00FB3932" w:rsidRPr="001A5EBC">
          <w:rPr>
            <w:rStyle w:val="Hyperlink"/>
          </w:rPr>
          <w:t>Net zero</w:t>
        </w:r>
        <w:r w:rsidRPr="001A5EBC">
          <w:rPr>
            <w:rStyle w:val="Hyperlink"/>
          </w:rPr>
          <w:t xml:space="preserve"> Strategy: Build Back Greener - GOV.UK (www.gov.uk)</w:t>
        </w:r>
      </w:hyperlink>
    </w:p>
    <w:p w14:paraId="3BAB105D" w14:textId="553E071B" w:rsidR="002D3DED" w:rsidRPr="001A5EBC" w:rsidRDefault="002D3DED" w:rsidP="004856A0">
      <w:pPr>
        <w:pStyle w:val="BodyText"/>
      </w:pPr>
      <w:r w:rsidRPr="001A5EBC">
        <w:t xml:space="preserve">EEIG, 2019. </w:t>
      </w:r>
      <w:r w:rsidR="004856A0" w:rsidRPr="001A5EBC">
        <w:t xml:space="preserve">Making energy efficiency a public and private infrastructure investment priority. Available at: </w:t>
      </w:r>
      <w:hyperlink r:id="rId53" w:history="1">
        <w:r w:rsidR="004856A0" w:rsidRPr="001A5EBC">
          <w:rPr>
            <w:rStyle w:val="Hyperlink"/>
          </w:rPr>
          <w:t>EEIG_NET-ZERO_LITMUS_TEST_2019.pdf (nea.org.uk)</w:t>
        </w:r>
      </w:hyperlink>
    </w:p>
    <w:p w14:paraId="442D6BB8" w14:textId="67C290C3" w:rsidR="00275FD9" w:rsidRPr="001A5EBC" w:rsidRDefault="00275FD9" w:rsidP="006B70C8">
      <w:pPr>
        <w:pStyle w:val="BodyText"/>
        <w:rPr>
          <w:rStyle w:val="Hyperlink"/>
        </w:rPr>
      </w:pPr>
      <w:r w:rsidRPr="001A5EBC">
        <w:t xml:space="preserve">Energy UK &amp; Oxford Economics, 2023. </w:t>
      </w:r>
      <w:r w:rsidR="006B70C8" w:rsidRPr="001A5EBC">
        <w:t xml:space="preserve">The clean growth gap. How low carbon energy investment can transform the UK. Available at: </w:t>
      </w:r>
      <w:hyperlink r:id="rId54" w:history="1">
        <w:r w:rsidR="006B70C8" w:rsidRPr="001A5EBC">
          <w:rPr>
            <w:rStyle w:val="Hyperlink"/>
          </w:rPr>
          <w:t>Clean-Growth-Gap-How-low-carbon-energy-investment-can-transform-the-UK.pdf (energy-uk.org.uk)</w:t>
        </w:r>
      </w:hyperlink>
    </w:p>
    <w:p w14:paraId="6024E00C" w14:textId="41E43C84" w:rsidR="00AA1752" w:rsidRPr="001A5EBC" w:rsidRDefault="00AA1752" w:rsidP="006B70C8">
      <w:pPr>
        <w:pStyle w:val="BodyText"/>
      </w:pPr>
      <w:r w:rsidRPr="001A5EBC">
        <w:rPr>
          <w:rStyle w:val="Hyperlink"/>
          <w:color w:val="auto"/>
          <w:u w:val="none"/>
        </w:rPr>
        <w:t xml:space="preserve">Frontier Economics, 2022. </w:t>
      </w:r>
      <w:r w:rsidR="00DE14AA" w:rsidRPr="001A5EBC">
        <w:rPr>
          <w:rStyle w:val="Hyperlink"/>
          <w:color w:val="auto"/>
          <w:u w:val="none"/>
        </w:rPr>
        <w:t>The UK</w:t>
      </w:r>
      <w:r w:rsidR="00E267F9" w:rsidRPr="001A5EBC">
        <w:rPr>
          <w:rStyle w:val="Hyperlink"/>
          <w:color w:val="auto"/>
          <w:u w:val="none"/>
        </w:rPr>
        <w:t xml:space="preserve">’s </w:t>
      </w:r>
      <w:r w:rsidR="00FB3932" w:rsidRPr="001A5EBC">
        <w:rPr>
          <w:rStyle w:val="Hyperlink"/>
          <w:color w:val="auto"/>
          <w:u w:val="none"/>
        </w:rPr>
        <w:t>Net zero</w:t>
      </w:r>
      <w:r w:rsidR="00E267F9" w:rsidRPr="001A5EBC">
        <w:rPr>
          <w:rStyle w:val="Hyperlink"/>
          <w:color w:val="auto"/>
          <w:u w:val="none"/>
        </w:rPr>
        <w:t xml:space="preserve"> Investment Gaps. Available at:</w:t>
      </w:r>
      <w:r w:rsidR="00E267F9" w:rsidRPr="001A5EBC">
        <w:rPr>
          <w:rStyle w:val="Hyperlink"/>
          <w:color w:val="auto"/>
        </w:rPr>
        <w:t xml:space="preserve"> </w:t>
      </w:r>
      <w:hyperlink r:id="rId55" w:history="1">
        <w:r w:rsidR="00E267F9" w:rsidRPr="001A5EBC">
          <w:rPr>
            <w:rStyle w:val="Hyperlink"/>
          </w:rPr>
          <w:t>Net-zero-investment-gap-22.10.26-Final-STC.pdf (e3g.org)</w:t>
        </w:r>
      </w:hyperlink>
    </w:p>
    <w:p w14:paraId="4ADBA125" w14:textId="56907C30" w:rsidR="00B90AB4" w:rsidRPr="001A5EBC" w:rsidRDefault="00B90AB4" w:rsidP="006B70C8">
      <w:pPr>
        <w:pStyle w:val="BodyText"/>
      </w:pPr>
      <w:r w:rsidRPr="001A5EBC">
        <w:t xml:space="preserve">House of Commons, 2023. Funding for major infrastructure projects. Available at:  </w:t>
      </w:r>
      <w:hyperlink r:id="rId56" w:history="1">
        <w:r w:rsidRPr="001A5EBC">
          <w:rPr>
            <w:rStyle w:val="Hyperlink"/>
          </w:rPr>
          <w:t>CDP-2023-0096.pdf (parliament.uk)</w:t>
        </w:r>
      </w:hyperlink>
    </w:p>
    <w:p w14:paraId="32EA9B05" w14:textId="2A797535" w:rsidR="0080526A" w:rsidRPr="001A5EBC" w:rsidRDefault="0080526A" w:rsidP="00392CF2">
      <w:pPr>
        <w:pStyle w:val="BodyText"/>
        <w:rPr>
          <w:rStyle w:val="Hyperlink"/>
        </w:rPr>
      </w:pPr>
      <w:r w:rsidRPr="001A5EBC">
        <w:t>IEA</w:t>
      </w:r>
      <w:r w:rsidR="00292CE6" w:rsidRPr="001A5EBC">
        <w:t xml:space="preserve">, 2022. </w:t>
      </w:r>
      <w:r w:rsidR="00392CF2" w:rsidRPr="001A5EBC">
        <w:t xml:space="preserve">Scaling up Private Finance for Clean Energy in Emerging and Developing Economies. Available at: </w:t>
      </w:r>
      <w:hyperlink r:id="rId57" w:history="1">
        <w:r w:rsidR="008824BA" w:rsidRPr="001A5EBC">
          <w:rPr>
            <w:rStyle w:val="Hyperlink"/>
          </w:rPr>
          <w:t>Scaling up Private Finance for Clean Energy in EMDEs (iea.blob.core.windows.net)</w:t>
        </w:r>
      </w:hyperlink>
    </w:p>
    <w:p w14:paraId="3241EDC9" w14:textId="2807F3BA" w:rsidR="00DA3363" w:rsidRPr="001A5EBC" w:rsidRDefault="001C072E" w:rsidP="00B957BF">
      <w:pPr>
        <w:pStyle w:val="BodyText"/>
        <w:rPr>
          <w:rStyle w:val="Hyperlink"/>
          <w:color w:val="auto"/>
          <w:u w:val="none"/>
        </w:rPr>
      </w:pPr>
      <w:r w:rsidRPr="001A5EBC">
        <w:rPr>
          <w:rStyle w:val="Hyperlink"/>
          <w:color w:val="auto"/>
          <w:u w:val="none"/>
        </w:rPr>
        <w:t xml:space="preserve">Infrastructure and Projects Authority, 2021. </w:t>
      </w:r>
      <w:r w:rsidR="00B957BF" w:rsidRPr="001A5EBC">
        <w:rPr>
          <w:rStyle w:val="Hyperlink"/>
          <w:color w:val="auto"/>
          <w:u w:val="none"/>
        </w:rPr>
        <w:t xml:space="preserve">Analysis of the National Infrastructure and Construction Pipeline </w:t>
      </w:r>
      <w:r w:rsidR="00B957BF" w:rsidRPr="001A5EBC">
        <w:rPr>
          <w:rStyle w:val="Hyperlink"/>
          <w:color w:val="auto"/>
          <w:u w:val="none"/>
        </w:rPr>
        <w:lastRenderedPageBreak/>
        <w:t xml:space="preserve">2021. Available at: </w:t>
      </w:r>
      <w:hyperlink r:id="rId58" w:history="1">
        <w:r w:rsidR="00554A9D" w:rsidRPr="001A5EBC">
          <w:rPr>
            <w:rStyle w:val="Hyperlink"/>
          </w:rPr>
          <w:t>Analysis of the National Infrastructure and Construction Pipeline 2021 (publishing.service.gov.uk)</w:t>
        </w:r>
      </w:hyperlink>
    </w:p>
    <w:p w14:paraId="40B4BA00" w14:textId="0763A9A5" w:rsidR="000B4E1C" w:rsidRPr="001A5EBC" w:rsidRDefault="000B4E1C" w:rsidP="00392CF2">
      <w:pPr>
        <w:pStyle w:val="BodyText"/>
        <w:rPr>
          <w:rStyle w:val="Hyperlink"/>
        </w:rPr>
      </w:pPr>
      <w:r w:rsidRPr="001A5EBC">
        <w:t xml:space="preserve">IRENA, </w:t>
      </w:r>
      <w:r w:rsidR="006263CF" w:rsidRPr="001A5EBC">
        <w:t>2023. Scaling up energy transition investments to meet the 1.5</w:t>
      </w:r>
      <w:r w:rsidR="00804E36" w:rsidRPr="001A5EBC">
        <w:t xml:space="preserve">C goal. Available at: </w:t>
      </w:r>
      <w:hyperlink r:id="rId59" w:anchor=":~:text=Globally%2C%20the%20private%20sector%20committed,PV%20came%20from%20private%20finance." w:history="1">
        <w:r w:rsidRPr="001A5EBC">
          <w:rPr>
            <w:rStyle w:val="Hyperlink"/>
          </w:rPr>
          <w:t>Detail (irena.org)</w:t>
        </w:r>
      </w:hyperlink>
    </w:p>
    <w:p w14:paraId="1EEE7082" w14:textId="7A73157B" w:rsidR="00144C7B" w:rsidRPr="001A5EBC" w:rsidRDefault="008375BE" w:rsidP="008B200F">
      <w:pPr>
        <w:pStyle w:val="BodyText"/>
        <w:jc w:val="both"/>
      </w:pPr>
      <w:r w:rsidRPr="001A5EBC">
        <w:rPr>
          <w:rStyle w:val="Hyperlink"/>
          <w:color w:val="auto"/>
          <w:u w:val="none"/>
        </w:rPr>
        <w:t>The Climate Change Committee, 202</w:t>
      </w:r>
      <w:r w:rsidR="00541EA4" w:rsidRPr="001A5EBC">
        <w:rPr>
          <w:rStyle w:val="Hyperlink"/>
          <w:color w:val="auto"/>
          <w:u w:val="none"/>
        </w:rPr>
        <w:t>0</w:t>
      </w:r>
      <w:r w:rsidR="00136072" w:rsidRPr="001A5EBC">
        <w:rPr>
          <w:rStyle w:val="Hyperlink"/>
          <w:color w:val="auto"/>
          <w:u w:val="none"/>
        </w:rPr>
        <w:t xml:space="preserve">. The Sixth Carbon Budget: </w:t>
      </w:r>
      <w:r w:rsidR="008B200F" w:rsidRPr="001A5EBC">
        <w:rPr>
          <w:rStyle w:val="Hyperlink"/>
          <w:color w:val="auto"/>
          <w:u w:val="none"/>
        </w:rPr>
        <w:t>Agriculture and land use, land use change and forestry.</w:t>
      </w:r>
      <w:r w:rsidR="008B200F" w:rsidRPr="001A5EBC">
        <w:rPr>
          <w:rStyle w:val="Hyperlink"/>
          <w:color w:val="auto"/>
        </w:rPr>
        <w:t xml:space="preserve"> </w:t>
      </w:r>
      <w:r w:rsidR="008B200F" w:rsidRPr="001A5EBC">
        <w:rPr>
          <w:rStyle w:val="Hyperlink"/>
        </w:rPr>
        <w:t xml:space="preserve">Available at: </w:t>
      </w:r>
      <w:hyperlink r:id="rId60" w:history="1">
        <w:r w:rsidR="008B200F" w:rsidRPr="001A5EBC">
          <w:rPr>
            <w:rStyle w:val="Hyperlink"/>
          </w:rPr>
          <w:t>Sector-summary-Agriculture-land-use-land-use-change-forestry.pdf (theccc.org.uk)</w:t>
        </w:r>
      </w:hyperlink>
    </w:p>
    <w:p w14:paraId="26CB6BBC" w14:textId="4EA3AB25" w:rsidR="00F32682" w:rsidRPr="001A5EBC" w:rsidRDefault="00F32682" w:rsidP="008B200F">
      <w:pPr>
        <w:pStyle w:val="BodyText"/>
        <w:jc w:val="both"/>
      </w:pPr>
      <w:r w:rsidRPr="001A5EBC">
        <w:t xml:space="preserve">United Nations </w:t>
      </w:r>
      <w:r w:rsidR="003A7A44" w:rsidRPr="001A5EBC">
        <w:t>Environment</w:t>
      </w:r>
      <w:r w:rsidRPr="001A5EBC">
        <w:t xml:space="preserve"> Programme, 2023. State of Finance for Nature. Available at: </w:t>
      </w:r>
      <w:hyperlink r:id="rId61" w:history="1">
        <w:r w:rsidRPr="001A5EBC">
          <w:rPr>
            <w:rStyle w:val="Hyperlink"/>
          </w:rPr>
          <w:t>State of Finance for Nature 2023 | UNEP - UN Environment Programme</w:t>
        </w:r>
      </w:hyperlink>
      <w:r w:rsidR="00F73EB5" w:rsidRPr="001A5EBC">
        <w:t>.</w:t>
      </w:r>
    </w:p>
    <w:p w14:paraId="74B1137B" w14:textId="6BF262B3" w:rsidR="0005131E" w:rsidRPr="001A5EBC" w:rsidRDefault="00597CD7" w:rsidP="00597CD7">
      <w:pPr>
        <w:pStyle w:val="BodyText"/>
        <w:jc w:val="both"/>
        <w:rPr>
          <w:rStyle w:val="Hyperlink"/>
        </w:rPr>
      </w:pPr>
      <w:r w:rsidRPr="001A5EBC">
        <w:t xml:space="preserve">UNFCC, 2022. </w:t>
      </w:r>
      <w:r w:rsidR="00FB3932" w:rsidRPr="001A5EBC">
        <w:t>Net zero</w:t>
      </w:r>
      <w:r w:rsidRPr="001A5EBC">
        <w:t xml:space="preserve"> Financing Roadmap. Available at: </w:t>
      </w:r>
      <w:hyperlink r:id="rId62">
        <w:r w:rsidR="008A0BA3" w:rsidRPr="001A5EBC">
          <w:rPr>
            <w:rStyle w:val="Hyperlink"/>
          </w:rPr>
          <w:t>Financing Roadmaps (gfanzero.com)</w:t>
        </w:r>
      </w:hyperlink>
    </w:p>
    <w:p w14:paraId="5BA363D7" w14:textId="2DED7AE6" w:rsidR="125A970A" w:rsidRPr="001A5EBC" w:rsidRDefault="125A970A" w:rsidP="1F44CF35">
      <w:pPr>
        <w:pStyle w:val="BodyText"/>
        <w:jc w:val="both"/>
      </w:pPr>
      <w:r w:rsidRPr="001A5EBC">
        <w:t xml:space="preserve">UK Infrastructure Bank, Our role in Natural Markets. Available at: </w:t>
      </w:r>
      <w:hyperlink r:id="rId63" w:history="1">
        <w:r w:rsidRPr="001A5EBC">
          <w:rPr>
            <w:rStyle w:val="Hyperlink"/>
          </w:rPr>
          <w:t>Microsoft Word - Natural capital - discussion paper (ukib.org.uk)</w:t>
        </w:r>
      </w:hyperlink>
    </w:p>
    <w:p w14:paraId="328B63CF" w14:textId="57FB7984" w:rsidR="00F84948" w:rsidRPr="001A5EBC" w:rsidRDefault="0005131E" w:rsidP="00597CD7">
      <w:pPr>
        <w:pStyle w:val="BodyText"/>
        <w:jc w:val="both"/>
      </w:pPr>
      <w:r w:rsidRPr="001A5EBC">
        <w:t xml:space="preserve">World Bank, 2017. Who sponsors infrastructure project? Disentangling public and private contributions. Available at: </w:t>
      </w:r>
      <w:hyperlink r:id="rId64" w:history="1">
        <w:r w:rsidR="00052C65" w:rsidRPr="001A5EBC">
          <w:rPr>
            <w:rStyle w:val="Hyperlink"/>
          </w:rPr>
          <w:t>SPIReport_2017_small_interactive.pdf (worldbank.org)</w:t>
        </w:r>
      </w:hyperlink>
    </w:p>
    <w:sectPr w:rsidR="00F84948" w:rsidRPr="001A5EBC" w:rsidSect="00F86EF8">
      <w:headerReference w:type="default" r:id="rId65"/>
      <w:footerReference w:type="default" r:id="rId66"/>
      <w:pgSz w:w="11910" w:h="16840"/>
      <w:pgMar w:top="2155" w:right="680" w:bottom="1361" w:left="686" w:header="539" w:footer="5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EFB04E" w14:textId="77777777" w:rsidR="00C77CB5" w:rsidRPr="001A5EBC" w:rsidRDefault="00C77CB5">
      <w:r w:rsidRPr="001A5EBC">
        <w:separator/>
      </w:r>
    </w:p>
  </w:endnote>
  <w:endnote w:type="continuationSeparator" w:id="0">
    <w:p w14:paraId="0FCFD044" w14:textId="77777777" w:rsidR="00C77CB5" w:rsidRPr="001A5EBC" w:rsidRDefault="00C77CB5">
      <w:r w:rsidRPr="001A5EBC">
        <w:continuationSeparator/>
      </w:r>
    </w:p>
  </w:endnote>
  <w:endnote w:type="continuationNotice" w:id="1">
    <w:p w14:paraId="5ED73BCE" w14:textId="77777777" w:rsidR="00C77CB5" w:rsidRPr="001A5EBC" w:rsidRDefault="00C77C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Kaleko 105 Round">
    <w:altName w:val="Calibri"/>
    <w:panose1 w:val="020B0604020202020204"/>
    <w:charset w:val="00"/>
    <w:family w:val="swiss"/>
    <w:notTrueType/>
    <w:pitch w:val="variable"/>
    <w:sig w:usb0="800000AF" w:usb1="5000204A" w:usb2="00000000" w:usb3="00000000" w:csb0="00000083" w:csb1="00000000"/>
  </w:font>
  <w:font w:name="Kaleko105Round-Book">
    <w:altName w:val="Cambria"/>
    <w:panose1 w:val="020B0604020202020204"/>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tblpY="15888"/>
      <w:tblOverlap w:val="never"/>
      <w:tblW w:w="111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14"/>
      <w:gridCol w:w="9380"/>
    </w:tblGrid>
    <w:tr w:rsidR="000628A0" w:rsidRPr="001A5EBC" w14:paraId="1942141E" w14:textId="77777777" w:rsidTr="002F7B3A">
      <w:trPr>
        <w:cantSplit/>
        <w:trHeight w:hRule="exact" w:val="198"/>
      </w:trPr>
      <w:tc>
        <w:tcPr>
          <w:tcW w:w="1814" w:type="dxa"/>
          <w:vMerge w:val="restart"/>
          <w:vAlign w:val="center"/>
        </w:tcPr>
        <w:p w14:paraId="4E8677B4" w14:textId="77777777" w:rsidR="000628A0" w:rsidRPr="001A5EBC" w:rsidRDefault="000628A0" w:rsidP="008649D8">
          <w:pPr>
            <w:pStyle w:val="FooterWhite"/>
            <w:framePr w:wrap="auto" w:vAnchor="margin" w:yAlign="inline"/>
            <w:suppressOverlap w:val="0"/>
            <w:rPr>
              <w:noProof w:val="0"/>
            </w:rPr>
          </w:pPr>
          <w:r w:rsidRPr="001A5EBC">
            <w:rPr>
              <w:noProof w:val="0"/>
            </w:rPr>
            <w:fldChar w:fldCharType="begin"/>
          </w:r>
          <w:r w:rsidRPr="001A5EBC">
            <w:rPr>
              <w:noProof w:val="0"/>
            </w:rPr>
            <w:instrText xml:space="preserve"> PAGE   \* MERGEFORMAT </w:instrText>
          </w:r>
          <w:r w:rsidRPr="001A5EBC">
            <w:rPr>
              <w:noProof w:val="0"/>
            </w:rPr>
            <w:fldChar w:fldCharType="separate"/>
          </w:r>
          <w:r w:rsidRPr="001A5EBC">
            <w:rPr>
              <w:noProof w:val="0"/>
            </w:rPr>
            <w:t>1</w:t>
          </w:r>
          <w:r w:rsidRPr="001A5EBC">
            <w:rPr>
              <w:noProof w:val="0"/>
            </w:rPr>
            <w:fldChar w:fldCharType="end"/>
          </w:r>
        </w:p>
      </w:tc>
      <w:tc>
        <w:tcPr>
          <w:tcW w:w="9380" w:type="dxa"/>
          <w:tcBorders>
            <w:bottom w:val="single" w:sz="2" w:space="0" w:color="FFFFFF" w:themeColor="background1"/>
          </w:tcBorders>
        </w:tcPr>
        <w:p w14:paraId="17AB149A" w14:textId="77777777" w:rsidR="000628A0" w:rsidRPr="001A5EBC" w:rsidRDefault="000628A0" w:rsidP="008649D8">
          <w:pPr>
            <w:pStyle w:val="Footer"/>
          </w:pPr>
        </w:p>
      </w:tc>
    </w:tr>
    <w:tr w:rsidR="000628A0" w:rsidRPr="001A5EBC" w14:paraId="65FC2C3A" w14:textId="77777777" w:rsidTr="002F7B3A">
      <w:trPr>
        <w:cantSplit/>
        <w:trHeight w:hRule="exact" w:val="170"/>
      </w:trPr>
      <w:tc>
        <w:tcPr>
          <w:tcW w:w="1814" w:type="dxa"/>
          <w:vMerge/>
        </w:tcPr>
        <w:p w14:paraId="170A70E8" w14:textId="77777777" w:rsidR="000628A0" w:rsidRPr="001A5EBC" w:rsidRDefault="000628A0" w:rsidP="008649D8">
          <w:pPr>
            <w:pStyle w:val="Footer"/>
          </w:pPr>
        </w:p>
      </w:tc>
      <w:tc>
        <w:tcPr>
          <w:tcW w:w="9380" w:type="dxa"/>
          <w:tcBorders>
            <w:top w:val="single" w:sz="2" w:space="0" w:color="FFFFFF" w:themeColor="background1"/>
          </w:tcBorders>
        </w:tcPr>
        <w:p w14:paraId="069A3BFE" w14:textId="77777777" w:rsidR="000628A0" w:rsidRPr="001A5EBC" w:rsidRDefault="000628A0" w:rsidP="008649D8">
          <w:pPr>
            <w:pStyle w:val="Footer"/>
          </w:pPr>
        </w:p>
      </w:tc>
    </w:tr>
  </w:tbl>
  <w:p w14:paraId="1639ACAD" w14:textId="77777777" w:rsidR="000628A0" w:rsidRPr="001A5EBC" w:rsidRDefault="000628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tblpY="15888"/>
      <w:tblOverlap w:val="never"/>
      <w:tblW w:w="111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14"/>
      <w:gridCol w:w="9380"/>
    </w:tblGrid>
    <w:tr w:rsidR="00D61FD3" w:rsidRPr="001A5EBC" w14:paraId="1D4045E1" w14:textId="77777777" w:rsidTr="00603EE2">
      <w:trPr>
        <w:cantSplit/>
        <w:trHeight w:hRule="exact" w:val="198"/>
      </w:trPr>
      <w:tc>
        <w:tcPr>
          <w:tcW w:w="1814" w:type="dxa"/>
          <w:vMerge w:val="restart"/>
          <w:vAlign w:val="center"/>
        </w:tcPr>
        <w:p w14:paraId="6BBCE65E" w14:textId="77777777" w:rsidR="00D61FD3" w:rsidRPr="001A5EBC" w:rsidRDefault="00D61FD3" w:rsidP="008649D8">
          <w:pPr>
            <w:pStyle w:val="Footer"/>
          </w:pPr>
          <w:r w:rsidRPr="001A5EBC">
            <w:fldChar w:fldCharType="begin"/>
          </w:r>
          <w:r w:rsidRPr="001A5EBC">
            <w:instrText xml:space="preserve"> PAGE   \* MERGEFORMAT </w:instrText>
          </w:r>
          <w:r w:rsidRPr="001A5EBC">
            <w:fldChar w:fldCharType="separate"/>
          </w:r>
          <w:r w:rsidRPr="001A5EBC">
            <w:t>1</w:t>
          </w:r>
          <w:r w:rsidRPr="001A5EBC">
            <w:fldChar w:fldCharType="end"/>
          </w:r>
        </w:p>
      </w:tc>
      <w:tc>
        <w:tcPr>
          <w:tcW w:w="9380" w:type="dxa"/>
          <w:tcBorders>
            <w:bottom w:val="single" w:sz="2" w:space="0" w:color="auto"/>
          </w:tcBorders>
        </w:tcPr>
        <w:p w14:paraId="48DE8FD2" w14:textId="77777777" w:rsidR="00D61FD3" w:rsidRPr="001A5EBC" w:rsidRDefault="00D61FD3" w:rsidP="008649D8">
          <w:pPr>
            <w:pStyle w:val="Footer"/>
          </w:pPr>
        </w:p>
      </w:tc>
    </w:tr>
    <w:tr w:rsidR="00D61FD3" w:rsidRPr="001A5EBC" w14:paraId="459E7F46" w14:textId="77777777" w:rsidTr="00603EE2">
      <w:trPr>
        <w:cantSplit/>
        <w:trHeight w:hRule="exact" w:val="170"/>
      </w:trPr>
      <w:tc>
        <w:tcPr>
          <w:tcW w:w="1814" w:type="dxa"/>
          <w:vMerge/>
        </w:tcPr>
        <w:p w14:paraId="45C5935E" w14:textId="77777777" w:rsidR="00D61FD3" w:rsidRPr="001A5EBC" w:rsidRDefault="00D61FD3" w:rsidP="008649D8">
          <w:pPr>
            <w:pStyle w:val="Footer"/>
          </w:pPr>
        </w:p>
      </w:tc>
      <w:tc>
        <w:tcPr>
          <w:tcW w:w="9380" w:type="dxa"/>
          <w:tcBorders>
            <w:top w:val="single" w:sz="2" w:space="0" w:color="auto"/>
          </w:tcBorders>
        </w:tcPr>
        <w:p w14:paraId="47B353B1" w14:textId="77777777" w:rsidR="00D61FD3" w:rsidRPr="001A5EBC" w:rsidRDefault="00D61FD3" w:rsidP="008649D8">
          <w:pPr>
            <w:pStyle w:val="Footer"/>
          </w:pPr>
        </w:p>
      </w:tc>
    </w:tr>
  </w:tbl>
  <w:p w14:paraId="6C856F54" w14:textId="77777777" w:rsidR="00D61FD3" w:rsidRPr="001A5EBC" w:rsidRDefault="00D61FD3" w:rsidP="008649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tblpY="15888"/>
      <w:tblOverlap w:val="never"/>
      <w:tblW w:w="111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14"/>
      <w:gridCol w:w="9380"/>
    </w:tblGrid>
    <w:tr w:rsidR="007570C3" w:rsidRPr="001A5EBC" w14:paraId="62A97354" w14:textId="77777777" w:rsidTr="00AF1E20">
      <w:trPr>
        <w:cantSplit/>
        <w:trHeight w:hRule="exact" w:val="198"/>
      </w:trPr>
      <w:tc>
        <w:tcPr>
          <w:tcW w:w="1814" w:type="dxa"/>
          <w:vMerge w:val="restart"/>
          <w:vAlign w:val="center"/>
        </w:tcPr>
        <w:p w14:paraId="782311CE" w14:textId="77777777" w:rsidR="007570C3" w:rsidRPr="001A5EBC" w:rsidRDefault="007570C3" w:rsidP="007570C3">
          <w:pPr>
            <w:pStyle w:val="Footer"/>
          </w:pPr>
          <w:r w:rsidRPr="001A5EBC">
            <w:fldChar w:fldCharType="begin"/>
          </w:r>
          <w:r w:rsidRPr="001A5EBC">
            <w:instrText xml:space="preserve"> PAGE   \* MERGEFORMAT </w:instrText>
          </w:r>
          <w:r w:rsidRPr="001A5EBC">
            <w:fldChar w:fldCharType="separate"/>
          </w:r>
          <w:r w:rsidRPr="001A5EBC">
            <w:t>1</w:t>
          </w:r>
          <w:r w:rsidRPr="001A5EBC">
            <w:fldChar w:fldCharType="end"/>
          </w:r>
        </w:p>
      </w:tc>
      <w:tc>
        <w:tcPr>
          <w:tcW w:w="9380" w:type="dxa"/>
          <w:tcBorders>
            <w:bottom w:val="single" w:sz="2" w:space="0" w:color="auto"/>
          </w:tcBorders>
        </w:tcPr>
        <w:p w14:paraId="746F0897" w14:textId="77777777" w:rsidR="007570C3" w:rsidRPr="001A5EBC" w:rsidRDefault="007570C3" w:rsidP="007570C3">
          <w:pPr>
            <w:pStyle w:val="Footer"/>
          </w:pPr>
        </w:p>
      </w:tc>
    </w:tr>
    <w:tr w:rsidR="007570C3" w:rsidRPr="001A5EBC" w14:paraId="13C12FFC" w14:textId="77777777" w:rsidTr="00AF1E20">
      <w:trPr>
        <w:cantSplit/>
        <w:trHeight w:hRule="exact" w:val="170"/>
      </w:trPr>
      <w:tc>
        <w:tcPr>
          <w:tcW w:w="1814" w:type="dxa"/>
          <w:vMerge/>
        </w:tcPr>
        <w:p w14:paraId="19BA3BB4" w14:textId="77777777" w:rsidR="007570C3" w:rsidRPr="001A5EBC" w:rsidRDefault="007570C3" w:rsidP="007570C3">
          <w:pPr>
            <w:pStyle w:val="Footer"/>
          </w:pPr>
        </w:p>
      </w:tc>
      <w:tc>
        <w:tcPr>
          <w:tcW w:w="9380" w:type="dxa"/>
          <w:tcBorders>
            <w:top w:val="single" w:sz="2" w:space="0" w:color="auto"/>
          </w:tcBorders>
        </w:tcPr>
        <w:p w14:paraId="1891283B" w14:textId="77777777" w:rsidR="007570C3" w:rsidRPr="001A5EBC" w:rsidRDefault="007570C3" w:rsidP="007570C3">
          <w:pPr>
            <w:pStyle w:val="Footer"/>
          </w:pPr>
        </w:p>
      </w:tc>
    </w:tr>
  </w:tbl>
  <w:p w14:paraId="755A9423" w14:textId="77777777" w:rsidR="00F84948" w:rsidRPr="001A5EBC" w:rsidRDefault="00F84948" w:rsidP="00E42F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CD4BEF" w14:textId="77777777" w:rsidR="00C77CB5" w:rsidRPr="001A5EBC" w:rsidRDefault="00C77CB5">
      <w:r w:rsidRPr="001A5EBC">
        <w:separator/>
      </w:r>
    </w:p>
  </w:footnote>
  <w:footnote w:type="continuationSeparator" w:id="0">
    <w:p w14:paraId="7395CE5C" w14:textId="77777777" w:rsidR="00C77CB5" w:rsidRPr="001A5EBC" w:rsidRDefault="00C77CB5">
      <w:r w:rsidRPr="001A5EBC">
        <w:continuationSeparator/>
      </w:r>
    </w:p>
  </w:footnote>
  <w:footnote w:type="continuationNotice" w:id="1">
    <w:p w14:paraId="78569B49" w14:textId="77777777" w:rsidR="00C77CB5" w:rsidRPr="001A5EBC" w:rsidRDefault="00C77CB5">
      <w:pPr>
        <w:spacing w:after="0" w:line="240" w:lineRule="auto"/>
      </w:pPr>
    </w:p>
  </w:footnote>
  <w:footnote w:id="2">
    <w:p w14:paraId="536F2CD7" w14:textId="77777777" w:rsidR="000163D1" w:rsidRPr="001A5EBC" w:rsidRDefault="000163D1" w:rsidP="000163D1">
      <w:pPr>
        <w:pStyle w:val="FootnoteText"/>
      </w:pPr>
      <w:r w:rsidRPr="001A5EBC">
        <w:rPr>
          <w:rStyle w:val="FootnoteReference"/>
        </w:rPr>
        <w:footnoteRef/>
      </w:r>
      <w:r w:rsidRPr="001A5EBC">
        <w:t xml:space="preserve"> </w:t>
      </w:r>
      <w:r w:rsidRPr="001A5EBC">
        <w:rPr>
          <w:rFonts w:cstheme="minorHAnsi"/>
          <w:sz w:val="16"/>
          <w:szCs w:val="16"/>
        </w:rPr>
        <w:t>Assuming that the UK no longer has State-owned Enterprises, and Multilateral Climate Funds (MCFs)</w:t>
      </w:r>
    </w:p>
  </w:footnote>
  <w:footnote w:id="3">
    <w:p w14:paraId="362D90D1" w14:textId="77777777" w:rsidR="000163D1" w:rsidRPr="001A5EBC" w:rsidRDefault="000163D1" w:rsidP="000163D1">
      <w:pPr>
        <w:pStyle w:val="FootnoteText"/>
        <w:spacing w:after="0"/>
      </w:pPr>
      <w:r w:rsidRPr="001A5EBC">
        <w:rPr>
          <w:rStyle w:val="FootnoteReference"/>
        </w:rPr>
        <w:footnoteRef/>
      </w:r>
      <w:r w:rsidRPr="001A5EBC">
        <w:t xml:space="preserve"> </w:t>
      </w:r>
      <w:r w:rsidRPr="001A5EBC">
        <w:rPr>
          <w:sz w:val="16"/>
          <w:szCs w:val="16"/>
        </w:rPr>
        <w:t>The Balance Pathway is a scenario for achieving Net Zero emissions in the UK by 2050.</w:t>
      </w:r>
    </w:p>
  </w:footnote>
  <w:footnote w:id="4">
    <w:p w14:paraId="0D197ACB" w14:textId="77777777" w:rsidR="000163D1" w:rsidRDefault="000163D1" w:rsidP="000163D1">
      <w:pPr>
        <w:pStyle w:val="FootnoteText"/>
        <w:spacing w:after="0" w:line="240" w:lineRule="auto"/>
        <w:jc w:val="both"/>
      </w:pPr>
      <w:r w:rsidRPr="001A5EBC">
        <w:rPr>
          <w:rStyle w:val="FootnoteReference"/>
        </w:rPr>
        <w:footnoteRef/>
      </w:r>
      <w:r w:rsidRPr="001A5EBC">
        <w:t xml:space="preserve"> </w:t>
      </w:r>
      <w:r w:rsidRPr="001A5EBC">
        <w:rPr>
          <w:sz w:val="16"/>
          <w:szCs w:val="16"/>
        </w:rPr>
        <w:t>Nature-based Solutions are actions to protect, conserve, restore, sustainably use and manage natural or modified terrestrial, freshwater, coastal and marine ecosystems, which address social, economic and environmental challenges effectively and adaptively, while simultaneously providing human well-being, ecosystem services and resilience and biodiversity benefits (United Nations Environment Assembly [UNEA])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54"/>
      <w:gridCol w:w="4591"/>
    </w:tblGrid>
    <w:tr w:rsidR="000628A0" w:rsidRPr="001A5EBC" w14:paraId="79037408" w14:textId="77777777" w:rsidTr="00A42520">
      <w:trPr>
        <w:cantSplit/>
        <w:trHeight w:hRule="exact" w:val="170"/>
      </w:trPr>
      <w:sdt>
        <w:sdtPr>
          <w:alias w:val="Title"/>
          <w:tag w:val=""/>
          <w:id w:val="-1328130112"/>
          <w:dataBinding w:prefixMappings="xmlns:ns0='http://purl.org/dc/elements/1.1/' xmlns:ns1='http://schemas.openxmlformats.org/package/2006/metadata/core-properties' " w:xpath="/ns1:coreProperties[1]/ns0:title[1]" w:storeItemID="{6C3C8BC8-F283-45AE-878A-BAB7291924A1}"/>
          <w:text/>
        </w:sdtPr>
        <w:sdtEndPr/>
        <w:sdtContent>
          <w:tc>
            <w:tcPr>
              <w:tcW w:w="5954" w:type="dxa"/>
              <w:vMerge w:val="restart"/>
              <w:vAlign w:val="bottom"/>
            </w:tcPr>
            <w:p w14:paraId="0E0B05BE" w14:textId="76519B25" w:rsidR="000628A0" w:rsidRPr="001A5EBC" w:rsidRDefault="002F776E" w:rsidP="008649D8">
              <w:pPr>
                <w:pStyle w:val="HeaderWhite"/>
              </w:pPr>
              <w:r>
                <w:t>Public-Private Investment Splits in North of England: The Net Zero Scenario</w:t>
              </w:r>
            </w:p>
          </w:tc>
        </w:sdtContent>
      </w:sdt>
      <w:tc>
        <w:tcPr>
          <w:tcW w:w="4591" w:type="dxa"/>
        </w:tcPr>
        <w:p w14:paraId="57E7F734" w14:textId="77777777" w:rsidR="000628A0" w:rsidRPr="001A5EBC" w:rsidRDefault="000628A0" w:rsidP="008649D8">
          <w:pPr>
            <w:pStyle w:val="Header"/>
          </w:pPr>
        </w:p>
      </w:tc>
    </w:tr>
    <w:tr w:rsidR="000628A0" w:rsidRPr="001A5EBC" w14:paraId="7EF4F912" w14:textId="77777777" w:rsidTr="00A42520">
      <w:trPr>
        <w:cantSplit/>
        <w:trHeight w:hRule="exact" w:val="227"/>
      </w:trPr>
      <w:tc>
        <w:tcPr>
          <w:tcW w:w="5954" w:type="dxa"/>
          <w:vMerge/>
        </w:tcPr>
        <w:p w14:paraId="14875790" w14:textId="77777777" w:rsidR="000628A0" w:rsidRPr="001A5EBC" w:rsidRDefault="000628A0" w:rsidP="008649D8">
          <w:pPr>
            <w:pStyle w:val="Header"/>
          </w:pPr>
        </w:p>
      </w:tc>
      <w:tc>
        <w:tcPr>
          <w:tcW w:w="4591" w:type="dxa"/>
          <w:vAlign w:val="bottom"/>
        </w:tcPr>
        <w:p w14:paraId="2736DE25" w14:textId="77777777" w:rsidR="000628A0" w:rsidRPr="001A5EBC" w:rsidRDefault="000628A0" w:rsidP="008649D8">
          <w:pPr>
            <w:pStyle w:val="HeaderWhite"/>
            <w:jc w:val="right"/>
          </w:pPr>
          <w:r w:rsidRPr="001A5EBC">
            <w:t>CAMBRIDGE ECONOMETRICS</w:t>
          </w:r>
        </w:p>
      </w:tc>
    </w:tr>
  </w:tbl>
  <w:p w14:paraId="17041A42" w14:textId="20CFFAD3" w:rsidR="000628A0" w:rsidRPr="001A5EBC" w:rsidRDefault="000628A0" w:rsidP="008649D8">
    <w:pPr>
      <w:pStyle w:val="BodyText"/>
    </w:pPr>
    <w:r w:rsidRPr="001A5EBC">
      <w:rPr>
        <w:noProof/>
      </w:rPr>
      <mc:AlternateContent>
        <mc:Choice Requires="wps">
          <w:drawing>
            <wp:anchor distT="0" distB="0" distL="114300" distR="114300" simplePos="0" relativeHeight="251658242" behindDoc="0" locked="0" layoutInCell="1" allowOverlap="1" wp14:anchorId="06D7BD23" wp14:editId="33281B29">
              <wp:simplePos x="0" y="0"/>
              <wp:positionH relativeFrom="page">
                <wp:posOffset>0</wp:posOffset>
              </wp:positionH>
              <wp:positionV relativeFrom="page">
                <wp:posOffset>950595</wp:posOffset>
              </wp:positionV>
              <wp:extent cx="7560000" cy="0"/>
              <wp:effectExtent l="0" t="0" r="0" b="0"/>
              <wp:wrapNone/>
              <wp:docPr id="165819013" name="Straight Connector 3"/>
              <wp:cNvGraphicFramePr/>
              <a:graphic xmlns:a="http://schemas.openxmlformats.org/drawingml/2006/main">
                <a:graphicData uri="http://schemas.microsoft.com/office/word/2010/wordprocessingShape">
                  <wps:wsp>
                    <wps:cNvCnPr/>
                    <wps:spPr>
                      <a:xfrm>
                        <a:off x="0" y="0"/>
                        <a:ext cx="75600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E9C09F" id="Straight Connector 3" o:spid="_x0000_s1026" style="position:absolute;z-index:25165824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74.85pt" to="595.3pt,7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" strokecolor="white [3212]">
              <w10:wrap anchorx="page" anchory="page"/>
            </v:line>
          </w:pict>
        </mc:Fallback>
      </mc:AlternateContent>
    </w:r>
  </w:p>
  <w:p w14:paraId="13700D0D" w14:textId="77777777" w:rsidR="000628A0" w:rsidRPr="001A5EBC" w:rsidRDefault="000628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95"/>
      <w:gridCol w:w="6150"/>
    </w:tblGrid>
    <w:tr w:rsidR="00D61FD3" w:rsidRPr="001A5EBC" w14:paraId="20DB33E6" w14:textId="77777777" w:rsidTr="002F7B3A">
      <w:trPr>
        <w:cantSplit/>
        <w:trHeight w:hRule="exact" w:val="170"/>
      </w:trPr>
      <w:tc>
        <w:tcPr>
          <w:tcW w:w="4395" w:type="dxa"/>
          <w:vMerge w:val="restart"/>
          <w:vAlign w:val="bottom"/>
        </w:tcPr>
        <w:p w14:paraId="1110F7B6" w14:textId="36391F06" w:rsidR="00D61FD3" w:rsidRPr="001A5EBC" w:rsidRDefault="00D61FD3" w:rsidP="008649D8">
          <w:pPr>
            <w:pStyle w:val="Header"/>
          </w:pPr>
        </w:p>
      </w:tc>
      <w:tc>
        <w:tcPr>
          <w:tcW w:w="6150" w:type="dxa"/>
        </w:tcPr>
        <w:p w14:paraId="52FBCC58" w14:textId="77777777" w:rsidR="00D61FD3" w:rsidRPr="001A5EBC" w:rsidRDefault="00D61FD3" w:rsidP="008649D8">
          <w:pPr>
            <w:pStyle w:val="Header"/>
          </w:pPr>
        </w:p>
      </w:tc>
    </w:tr>
    <w:tr w:rsidR="00D61FD3" w:rsidRPr="001A5EBC" w14:paraId="79A696C3" w14:textId="77777777" w:rsidTr="002F7B3A">
      <w:trPr>
        <w:cantSplit/>
        <w:trHeight w:hRule="exact" w:val="227"/>
      </w:trPr>
      <w:tc>
        <w:tcPr>
          <w:tcW w:w="4395" w:type="dxa"/>
          <w:vMerge/>
        </w:tcPr>
        <w:p w14:paraId="1462AF90" w14:textId="77777777" w:rsidR="00D61FD3" w:rsidRPr="001A5EBC" w:rsidRDefault="00D61FD3" w:rsidP="008649D8">
          <w:pPr>
            <w:pStyle w:val="Header"/>
          </w:pPr>
        </w:p>
      </w:tc>
      <w:tc>
        <w:tcPr>
          <w:tcW w:w="6150" w:type="dxa"/>
          <w:vAlign w:val="bottom"/>
        </w:tcPr>
        <w:p w14:paraId="28F5D2D9" w14:textId="486809E9" w:rsidR="00D61FD3" w:rsidRPr="001A5EBC" w:rsidRDefault="00D61FD3" w:rsidP="008649D8">
          <w:pPr>
            <w:pStyle w:val="Header"/>
            <w:jc w:val="right"/>
          </w:pPr>
        </w:p>
      </w:tc>
    </w:tr>
  </w:tbl>
  <w:p w14:paraId="06F29F12" w14:textId="77777777" w:rsidR="00D61FD3" w:rsidRPr="001A5EBC" w:rsidRDefault="00D61FD3" w:rsidP="00106894">
    <w:pPr>
      <w:pStyle w:val="BodyText"/>
    </w:pPr>
    <w:r w:rsidRPr="001A5EBC">
      <w:rPr>
        <w:noProof/>
      </w:rPr>
      <mc:AlternateContent>
        <mc:Choice Requires="wps">
          <w:drawing>
            <wp:anchor distT="0" distB="0" distL="0" distR="0" simplePos="0" relativeHeight="251658241" behindDoc="1" locked="0" layoutInCell="1" allowOverlap="1" wp14:anchorId="419FCD6C" wp14:editId="2A989110">
              <wp:simplePos x="0" y="0"/>
              <wp:positionH relativeFrom="page">
                <wp:posOffset>0</wp:posOffset>
              </wp:positionH>
              <wp:positionV relativeFrom="page">
                <wp:posOffset>953478</wp:posOffset>
              </wp:positionV>
              <wp:extent cx="7560309" cy="1270"/>
              <wp:effectExtent l="0" t="0" r="0" b="0"/>
              <wp:wrapNone/>
              <wp:docPr id="1753167975"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270"/>
                      </a:xfrm>
                      <a:custGeom>
                        <a:avLst/>
                        <a:gdLst/>
                        <a:ahLst/>
                        <a:cxnLst/>
                        <a:rect l="l" t="t" r="r" b="b"/>
                        <a:pathLst>
                          <a:path w="7560309">
                            <a:moveTo>
                              <a:pt x="0" y="0"/>
                            </a:moveTo>
                            <a:lnTo>
                              <a:pt x="7560005"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1EF832" id="Graphic 33" o:spid="_x0000_s1026" style="position:absolute;margin-left:0;margin-top:75.1pt;width:595.3pt;height:.1pt;z-index:-251658239;visibility:visible;mso-wrap-style:square;mso-wrap-distance-left:0;mso-wrap-distance-top:0;mso-wrap-distance-right:0;mso-wrap-distance-bottom:0;mso-position-horizontal:absolute;mso-position-horizontal-relative:page;mso-position-vertical:absolute;mso-position-vertical-relative:page;v-text-anchor:top" coordsize="75603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" path="m,l7560005,e" filled="f" strokeweight=".25pt">
              <v:path arrowok="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54"/>
      <w:gridCol w:w="4591"/>
    </w:tblGrid>
    <w:tr w:rsidR="00686EE2" w:rsidRPr="001A5EBC" w14:paraId="11B3AD97" w14:textId="77777777" w:rsidTr="000900F5">
      <w:trPr>
        <w:cantSplit/>
        <w:trHeight w:hRule="exact" w:val="170"/>
      </w:trPr>
      <w:sdt>
        <w:sdtPr>
          <w:alias w:val="Title"/>
          <w:tag w:val=""/>
          <w:id w:val="921756862"/>
          <w:dataBinding w:prefixMappings="xmlns:ns0='http://purl.org/dc/elements/1.1/' xmlns:ns1='http://schemas.openxmlformats.org/package/2006/metadata/core-properties' " w:xpath="/ns1:coreProperties[1]/ns0:title[1]" w:storeItemID="{6C3C8BC8-F283-45AE-878A-BAB7291924A1}"/>
          <w:text/>
        </w:sdtPr>
        <w:sdtEndPr/>
        <w:sdtContent>
          <w:tc>
            <w:tcPr>
              <w:tcW w:w="5954" w:type="dxa"/>
              <w:vMerge w:val="restart"/>
              <w:vAlign w:val="bottom"/>
            </w:tcPr>
            <w:p w14:paraId="365FFBF1" w14:textId="7ED178D5" w:rsidR="00686EE2" w:rsidRPr="001A5EBC" w:rsidRDefault="002F776E" w:rsidP="00686EE2">
              <w:pPr>
                <w:pStyle w:val="Header"/>
              </w:pPr>
              <w:r>
                <w:t>Public-Private Investment Splits in North of England: The Net Zero Scenario</w:t>
              </w:r>
            </w:p>
          </w:tc>
        </w:sdtContent>
      </w:sdt>
      <w:tc>
        <w:tcPr>
          <w:tcW w:w="4591" w:type="dxa"/>
        </w:tcPr>
        <w:p w14:paraId="1B511C34" w14:textId="77777777" w:rsidR="00686EE2" w:rsidRPr="001A5EBC" w:rsidRDefault="00686EE2" w:rsidP="007570C3">
          <w:pPr>
            <w:pStyle w:val="Header"/>
          </w:pPr>
        </w:p>
      </w:tc>
    </w:tr>
    <w:tr w:rsidR="00686EE2" w:rsidRPr="001A5EBC" w14:paraId="6D147827" w14:textId="77777777" w:rsidTr="000900F5">
      <w:trPr>
        <w:cantSplit/>
        <w:trHeight w:hRule="exact" w:val="227"/>
      </w:trPr>
      <w:tc>
        <w:tcPr>
          <w:tcW w:w="5954" w:type="dxa"/>
          <w:vMerge/>
        </w:tcPr>
        <w:p w14:paraId="35174443" w14:textId="77777777" w:rsidR="00686EE2" w:rsidRPr="001A5EBC" w:rsidRDefault="00686EE2" w:rsidP="007570C3">
          <w:pPr>
            <w:pStyle w:val="Header"/>
          </w:pPr>
        </w:p>
      </w:tc>
      <w:tc>
        <w:tcPr>
          <w:tcW w:w="4591" w:type="dxa"/>
          <w:vAlign w:val="bottom"/>
        </w:tcPr>
        <w:p w14:paraId="58A27FFA" w14:textId="77777777" w:rsidR="00686EE2" w:rsidRPr="001A5EBC" w:rsidRDefault="00686EE2" w:rsidP="00686EE2">
          <w:pPr>
            <w:pStyle w:val="Header"/>
            <w:jc w:val="right"/>
          </w:pPr>
          <w:r w:rsidRPr="001A5EBC">
            <w:t>CAMBRIDGE ECONOMETRICS</w:t>
          </w:r>
        </w:p>
      </w:tc>
    </w:tr>
  </w:tbl>
  <w:p w14:paraId="4552644F" w14:textId="77777777" w:rsidR="00F84948" w:rsidRPr="001A5EBC" w:rsidRDefault="00C557CF" w:rsidP="007570C3">
    <w:pPr>
      <w:pStyle w:val="Header"/>
    </w:pPr>
    <w:r w:rsidRPr="001A5EBC">
      <w:rPr>
        <w:noProof/>
      </w:rPr>
      <mc:AlternateContent>
        <mc:Choice Requires="wps">
          <w:drawing>
            <wp:anchor distT="0" distB="0" distL="114300" distR="114300" simplePos="0" relativeHeight="251658240" behindDoc="0" locked="0" layoutInCell="1" allowOverlap="1" wp14:anchorId="390E810E" wp14:editId="7C79C74E">
              <wp:simplePos x="0" y="0"/>
              <wp:positionH relativeFrom="page">
                <wp:posOffset>0</wp:posOffset>
              </wp:positionH>
              <wp:positionV relativeFrom="page">
                <wp:posOffset>951865</wp:posOffset>
              </wp:positionV>
              <wp:extent cx="7560000" cy="0"/>
              <wp:effectExtent l="0" t="0" r="0" b="0"/>
              <wp:wrapNone/>
              <wp:docPr id="318913196" name="Straight Connector 3"/>
              <wp:cNvGraphicFramePr/>
              <a:graphic xmlns:a="http://schemas.openxmlformats.org/drawingml/2006/main">
                <a:graphicData uri="http://schemas.microsoft.com/office/word/2010/wordprocessingShape">
                  <wps:wsp>
                    <wps:cNvCnPr/>
                    <wps:spPr>
                      <a:xfrm>
                        <a:off x="0" y="0"/>
                        <a:ext cx="75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2CEF05" id="Straight Connector 3" o:spid="_x0000_s1026"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74.95pt" to="595.3pt,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" strokecolor="#0b1f2c [3213]">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6E4AAA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772F16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4EE2C8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FC881D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9E2377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FC94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BA0C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2C845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5E3B50"/>
    <w:lvl w:ilvl="0">
      <w:start w:val="1"/>
      <w:numFmt w:val="decimal"/>
      <w:lvlText w:val="%1."/>
      <w:lvlJc w:val="left"/>
      <w:pPr>
        <w:ind w:left="1040" w:hanging="360"/>
      </w:pPr>
      <w:rPr>
        <w:rFonts w:hint="default"/>
        <w:b/>
        <w:i w:val="0"/>
        <w:color w:val="009FE3"/>
      </w:rPr>
    </w:lvl>
  </w:abstractNum>
  <w:abstractNum w:abstractNumId="9" w15:restartNumberingAfterBreak="0">
    <w:nsid w:val="FFFFFF89"/>
    <w:multiLevelType w:val="singleLevel"/>
    <w:tmpl w:val="D0D06E7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C76DDE"/>
    <w:multiLevelType w:val="hybridMultilevel"/>
    <w:tmpl w:val="4F1C5C34"/>
    <w:lvl w:ilvl="0" w:tplc="E662C4A4">
      <w:start w:val="1"/>
      <w:numFmt w:val="bullet"/>
      <w:pStyle w:val="ListBullet2"/>
      <w:lvlText w:val=""/>
      <w:lvlJc w:val="left"/>
      <w:pPr>
        <w:ind w:left="1683" w:hanging="360"/>
      </w:pPr>
      <w:rPr>
        <w:rFonts w:ascii="Symbol" w:hAnsi="Symbol" w:hint="default"/>
      </w:rPr>
    </w:lvl>
    <w:lvl w:ilvl="1" w:tplc="08090003" w:tentative="1">
      <w:start w:val="1"/>
      <w:numFmt w:val="bullet"/>
      <w:lvlText w:val="o"/>
      <w:lvlJc w:val="left"/>
      <w:pPr>
        <w:ind w:left="2403" w:hanging="360"/>
      </w:pPr>
      <w:rPr>
        <w:rFonts w:ascii="Courier New" w:hAnsi="Courier New" w:cs="Courier New" w:hint="default"/>
      </w:rPr>
    </w:lvl>
    <w:lvl w:ilvl="2" w:tplc="08090005" w:tentative="1">
      <w:start w:val="1"/>
      <w:numFmt w:val="bullet"/>
      <w:lvlText w:val=""/>
      <w:lvlJc w:val="left"/>
      <w:pPr>
        <w:ind w:left="3123" w:hanging="360"/>
      </w:pPr>
      <w:rPr>
        <w:rFonts w:ascii="Wingdings" w:hAnsi="Wingdings" w:hint="default"/>
      </w:rPr>
    </w:lvl>
    <w:lvl w:ilvl="3" w:tplc="08090001" w:tentative="1">
      <w:start w:val="1"/>
      <w:numFmt w:val="bullet"/>
      <w:lvlText w:val=""/>
      <w:lvlJc w:val="left"/>
      <w:pPr>
        <w:ind w:left="3843" w:hanging="360"/>
      </w:pPr>
      <w:rPr>
        <w:rFonts w:ascii="Symbol" w:hAnsi="Symbol" w:hint="default"/>
      </w:rPr>
    </w:lvl>
    <w:lvl w:ilvl="4" w:tplc="08090003" w:tentative="1">
      <w:start w:val="1"/>
      <w:numFmt w:val="bullet"/>
      <w:lvlText w:val="o"/>
      <w:lvlJc w:val="left"/>
      <w:pPr>
        <w:ind w:left="4563" w:hanging="360"/>
      </w:pPr>
      <w:rPr>
        <w:rFonts w:ascii="Courier New" w:hAnsi="Courier New" w:cs="Courier New" w:hint="default"/>
      </w:rPr>
    </w:lvl>
    <w:lvl w:ilvl="5" w:tplc="08090005" w:tentative="1">
      <w:start w:val="1"/>
      <w:numFmt w:val="bullet"/>
      <w:lvlText w:val=""/>
      <w:lvlJc w:val="left"/>
      <w:pPr>
        <w:ind w:left="5283" w:hanging="360"/>
      </w:pPr>
      <w:rPr>
        <w:rFonts w:ascii="Wingdings" w:hAnsi="Wingdings" w:hint="default"/>
      </w:rPr>
    </w:lvl>
    <w:lvl w:ilvl="6" w:tplc="08090001" w:tentative="1">
      <w:start w:val="1"/>
      <w:numFmt w:val="bullet"/>
      <w:lvlText w:val=""/>
      <w:lvlJc w:val="left"/>
      <w:pPr>
        <w:ind w:left="6003" w:hanging="360"/>
      </w:pPr>
      <w:rPr>
        <w:rFonts w:ascii="Symbol" w:hAnsi="Symbol" w:hint="default"/>
      </w:rPr>
    </w:lvl>
    <w:lvl w:ilvl="7" w:tplc="08090003" w:tentative="1">
      <w:start w:val="1"/>
      <w:numFmt w:val="bullet"/>
      <w:lvlText w:val="o"/>
      <w:lvlJc w:val="left"/>
      <w:pPr>
        <w:ind w:left="6723" w:hanging="360"/>
      </w:pPr>
      <w:rPr>
        <w:rFonts w:ascii="Courier New" w:hAnsi="Courier New" w:cs="Courier New" w:hint="default"/>
      </w:rPr>
    </w:lvl>
    <w:lvl w:ilvl="8" w:tplc="08090005" w:tentative="1">
      <w:start w:val="1"/>
      <w:numFmt w:val="bullet"/>
      <w:lvlText w:val=""/>
      <w:lvlJc w:val="left"/>
      <w:pPr>
        <w:ind w:left="7443" w:hanging="360"/>
      </w:pPr>
      <w:rPr>
        <w:rFonts w:ascii="Wingdings" w:hAnsi="Wingdings" w:hint="default"/>
      </w:rPr>
    </w:lvl>
  </w:abstractNum>
  <w:abstractNum w:abstractNumId="11" w15:restartNumberingAfterBreak="0">
    <w:nsid w:val="034D44C4"/>
    <w:multiLevelType w:val="hybridMultilevel"/>
    <w:tmpl w:val="CCF2D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922216"/>
    <w:multiLevelType w:val="hybridMultilevel"/>
    <w:tmpl w:val="F702B71A"/>
    <w:lvl w:ilvl="0" w:tplc="7BBE85A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BE6411"/>
    <w:multiLevelType w:val="hybridMultilevel"/>
    <w:tmpl w:val="3EDAC028"/>
    <w:lvl w:ilvl="0" w:tplc="465A7B3A">
      <w:start w:val="1"/>
      <w:numFmt w:val="bullet"/>
      <w:lvlText w:val=""/>
      <w:lvlJc w:val="left"/>
      <w:pPr>
        <w:ind w:left="720" w:hanging="360"/>
      </w:pPr>
      <w:rPr>
        <w:rFonts w:ascii="Symbol" w:hAnsi="Symbol"/>
      </w:rPr>
    </w:lvl>
    <w:lvl w:ilvl="1" w:tplc="C9601FA4">
      <w:start w:val="1"/>
      <w:numFmt w:val="bullet"/>
      <w:lvlText w:val=""/>
      <w:lvlJc w:val="left"/>
      <w:pPr>
        <w:ind w:left="720" w:hanging="360"/>
      </w:pPr>
      <w:rPr>
        <w:rFonts w:ascii="Symbol" w:hAnsi="Symbol"/>
      </w:rPr>
    </w:lvl>
    <w:lvl w:ilvl="2" w:tplc="219A5450">
      <w:start w:val="1"/>
      <w:numFmt w:val="bullet"/>
      <w:lvlText w:val=""/>
      <w:lvlJc w:val="left"/>
      <w:pPr>
        <w:ind w:left="720" w:hanging="360"/>
      </w:pPr>
      <w:rPr>
        <w:rFonts w:ascii="Symbol" w:hAnsi="Symbol"/>
      </w:rPr>
    </w:lvl>
    <w:lvl w:ilvl="3" w:tplc="E51CE33C">
      <w:start w:val="1"/>
      <w:numFmt w:val="bullet"/>
      <w:lvlText w:val=""/>
      <w:lvlJc w:val="left"/>
      <w:pPr>
        <w:ind w:left="720" w:hanging="360"/>
      </w:pPr>
      <w:rPr>
        <w:rFonts w:ascii="Symbol" w:hAnsi="Symbol"/>
      </w:rPr>
    </w:lvl>
    <w:lvl w:ilvl="4" w:tplc="2738FAA4">
      <w:start w:val="1"/>
      <w:numFmt w:val="bullet"/>
      <w:lvlText w:val=""/>
      <w:lvlJc w:val="left"/>
      <w:pPr>
        <w:ind w:left="720" w:hanging="360"/>
      </w:pPr>
      <w:rPr>
        <w:rFonts w:ascii="Symbol" w:hAnsi="Symbol"/>
      </w:rPr>
    </w:lvl>
    <w:lvl w:ilvl="5" w:tplc="1A7C86A6">
      <w:start w:val="1"/>
      <w:numFmt w:val="bullet"/>
      <w:lvlText w:val=""/>
      <w:lvlJc w:val="left"/>
      <w:pPr>
        <w:ind w:left="720" w:hanging="360"/>
      </w:pPr>
      <w:rPr>
        <w:rFonts w:ascii="Symbol" w:hAnsi="Symbol"/>
      </w:rPr>
    </w:lvl>
    <w:lvl w:ilvl="6" w:tplc="3406483E">
      <w:start w:val="1"/>
      <w:numFmt w:val="bullet"/>
      <w:lvlText w:val=""/>
      <w:lvlJc w:val="left"/>
      <w:pPr>
        <w:ind w:left="720" w:hanging="360"/>
      </w:pPr>
      <w:rPr>
        <w:rFonts w:ascii="Symbol" w:hAnsi="Symbol"/>
      </w:rPr>
    </w:lvl>
    <w:lvl w:ilvl="7" w:tplc="C178CE1E">
      <w:start w:val="1"/>
      <w:numFmt w:val="bullet"/>
      <w:lvlText w:val=""/>
      <w:lvlJc w:val="left"/>
      <w:pPr>
        <w:ind w:left="720" w:hanging="360"/>
      </w:pPr>
      <w:rPr>
        <w:rFonts w:ascii="Symbol" w:hAnsi="Symbol"/>
      </w:rPr>
    </w:lvl>
    <w:lvl w:ilvl="8" w:tplc="FAB6CA34">
      <w:start w:val="1"/>
      <w:numFmt w:val="bullet"/>
      <w:lvlText w:val=""/>
      <w:lvlJc w:val="left"/>
      <w:pPr>
        <w:ind w:left="720" w:hanging="360"/>
      </w:pPr>
      <w:rPr>
        <w:rFonts w:ascii="Symbol" w:hAnsi="Symbol"/>
      </w:rPr>
    </w:lvl>
  </w:abstractNum>
  <w:abstractNum w:abstractNumId="14" w15:restartNumberingAfterBreak="0">
    <w:nsid w:val="0C083D86"/>
    <w:multiLevelType w:val="hybridMultilevel"/>
    <w:tmpl w:val="2A16F7D4"/>
    <w:lvl w:ilvl="0" w:tplc="6696FC42">
      <w:start w:val="1"/>
      <w:numFmt w:val="bullet"/>
      <w:lvlText w:val=""/>
      <w:lvlJc w:val="left"/>
      <w:pPr>
        <w:ind w:left="720" w:hanging="360"/>
      </w:pPr>
      <w:rPr>
        <w:rFonts w:ascii="Symbol" w:hAnsi="Symbol" w:hint="default"/>
        <w:color w:val="009FE3"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744EEE"/>
    <w:multiLevelType w:val="hybridMultilevel"/>
    <w:tmpl w:val="74903B24"/>
    <w:lvl w:ilvl="0" w:tplc="24C8570A">
      <w:start w:val="1"/>
      <w:numFmt w:val="bullet"/>
      <w:lvlText w:val=""/>
      <w:lvlJc w:val="left"/>
      <w:pPr>
        <w:ind w:left="720" w:hanging="360"/>
      </w:pPr>
      <w:rPr>
        <w:rFonts w:ascii="Symbol" w:hAnsi="Symbol"/>
      </w:rPr>
    </w:lvl>
    <w:lvl w:ilvl="1" w:tplc="9ECA3B7A">
      <w:start w:val="1"/>
      <w:numFmt w:val="bullet"/>
      <w:lvlText w:val=""/>
      <w:lvlJc w:val="left"/>
      <w:pPr>
        <w:ind w:left="720" w:hanging="360"/>
      </w:pPr>
      <w:rPr>
        <w:rFonts w:ascii="Symbol" w:hAnsi="Symbol"/>
      </w:rPr>
    </w:lvl>
    <w:lvl w:ilvl="2" w:tplc="2A5A0824">
      <w:start w:val="1"/>
      <w:numFmt w:val="bullet"/>
      <w:lvlText w:val=""/>
      <w:lvlJc w:val="left"/>
      <w:pPr>
        <w:ind w:left="720" w:hanging="360"/>
      </w:pPr>
      <w:rPr>
        <w:rFonts w:ascii="Symbol" w:hAnsi="Symbol"/>
      </w:rPr>
    </w:lvl>
    <w:lvl w:ilvl="3" w:tplc="AAB22412">
      <w:start w:val="1"/>
      <w:numFmt w:val="bullet"/>
      <w:lvlText w:val=""/>
      <w:lvlJc w:val="left"/>
      <w:pPr>
        <w:ind w:left="720" w:hanging="360"/>
      </w:pPr>
      <w:rPr>
        <w:rFonts w:ascii="Symbol" w:hAnsi="Symbol"/>
      </w:rPr>
    </w:lvl>
    <w:lvl w:ilvl="4" w:tplc="393ABB54">
      <w:start w:val="1"/>
      <w:numFmt w:val="bullet"/>
      <w:lvlText w:val=""/>
      <w:lvlJc w:val="left"/>
      <w:pPr>
        <w:ind w:left="720" w:hanging="360"/>
      </w:pPr>
      <w:rPr>
        <w:rFonts w:ascii="Symbol" w:hAnsi="Symbol"/>
      </w:rPr>
    </w:lvl>
    <w:lvl w:ilvl="5" w:tplc="3D844762">
      <w:start w:val="1"/>
      <w:numFmt w:val="bullet"/>
      <w:lvlText w:val=""/>
      <w:lvlJc w:val="left"/>
      <w:pPr>
        <w:ind w:left="720" w:hanging="360"/>
      </w:pPr>
      <w:rPr>
        <w:rFonts w:ascii="Symbol" w:hAnsi="Symbol"/>
      </w:rPr>
    </w:lvl>
    <w:lvl w:ilvl="6" w:tplc="CE58B13E">
      <w:start w:val="1"/>
      <w:numFmt w:val="bullet"/>
      <w:lvlText w:val=""/>
      <w:lvlJc w:val="left"/>
      <w:pPr>
        <w:ind w:left="720" w:hanging="360"/>
      </w:pPr>
      <w:rPr>
        <w:rFonts w:ascii="Symbol" w:hAnsi="Symbol"/>
      </w:rPr>
    </w:lvl>
    <w:lvl w:ilvl="7" w:tplc="14A45D46">
      <w:start w:val="1"/>
      <w:numFmt w:val="bullet"/>
      <w:lvlText w:val=""/>
      <w:lvlJc w:val="left"/>
      <w:pPr>
        <w:ind w:left="720" w:hanging="360"/>
      </w:pPr>
      <w:rPr>
        <w:rFonts w:ascii="Symbol" w:hAnsi="Symbol"/>
      </w:rPr>
    </w:lvl>
    <w:lvl w:ilvl="8" w:tplc="AE627F84">
      <w:start w:val="1"/>
      <w:numFmt w:val="bullet"/>
      <w:lvlText w:val=""/>
      <w:lvlJc w:val="left"/>
      <w:pPr>
        <w:ind w:left="720" w:hanging="360"/>
      </w:pPr>
      <w:rPr>
        <w:rFonts w:ascii="Symbol" w:hAnsi="Symbol"/>
      </w:rPr>
    </w:lvl>
  </w:abstractNum>
  <w:abstractNum w:abstractNumId="16" w15:restartNumberingAfterBreak="0">
    <w:nsid w:val="18EE076F"/>
    <w:multiLevelType w:val="hybridMultilevel"/>
    <w:tmpl w:val="AA1C9E6E"/>
    <w:lvl w:ilvl="0" w:tplc="8E829BB6">
      <w:start w:val="1"/>
      <w:numFmt w:val="bullet"/>
      <w:lvlText w:val=""/>
      <w:lvlJc w:val="left"/>
      <w:pPr>
        <w:ind w:left="720" w:hanging="360"/>
      </w:pPr>
      <w:rPr>
        <w:rFonts w:ascii="Symbol" w:hAnsi="Symbol"/>
      </w:rPr>
    </w:lvl>
    <w:lvl w:ilvl="1" w:tplc="06A4351A">
      <w:start w:val="1"/>
      <w:numFmt w:val="bullet"/>
      <w:lvlText w:val=""/>
      <w:lvlJc w:val="left"/>
      <w:pPr>
        <w:ind w:left="720" w:hanging="360"/>
      </w:pPr>
      <w:rPr>
        <w:rFonts w:ascii="Symbol" w:hAnsi="Symbol"/>
      </w:rPr>
    </w:lvl>
    <w:lvl w:ilvl="2" w:tplc="A454AB40">
      <w:start w:val="1"/>
      <w:numFmt w:val="bullet"/>
      <w:lvlText w:val=""/>
      <w:lvlJc w:val="left"/>
      <w:pPr>
        <w:ind w:left="720" w:hanging="360"/>
      </w:pPr>
      <w:rPr>
        <w:rFonts w:ascii="Symbol" w:hAnsi="Symbol"/>
      </w:rPr>
    </w:lvl>
    <w:lvl w:ilvl="3" w:tplc="3586BE4C">
      <w:start w:val="1"/>
      <w:numFmt w:val="bullet"/>
      <w:lvlText w:val=""/>
      <w:lvlJc w:val="left"/>
      <w:pPr>
        <w:ind w:left="720" w:hanging="360"/>
      </w:pPr>
      <w:rPr>
        <w:rFonts w:ascii="Symbol" w:hAnsi="Symbol"/>
      </w:rPr>
    </w:lvl>
    <w:lvl w:ilvl="4" w:tplc="F0964AAC">
      <w:start w:val="1"/>
      <w:numFmt w:val="bullet"/>
      <w:lvlText w:val=""/>
      <w:lvlJc w:val="left"/>
      <w:pPr>
        <w:ind w:left="720" w:hanging="360"/>
      </w:pPr>
      <w:rPr>
        <w:rFonts w:ascii="Symbol" w:hAnsi="Symbol"/>
      </w:rPr>
    </w:lvl>
    <w:lvl w:ilvl="5" w:tplc="160E6DE2">
      <w:start w:val="1"/>
      <w:numFmt w:val="bullet"/>
      <w:lvlText w:val=""/>
      <w:lvlJc w:val="left"/>
      <w:pPr>
        <w:ind w:left="720" w:hanging="360"/>
      </w:pPr>
      <w:rPr>
        <w:rFonts w:ascii="Symbol" w:hAnsi="Symbol"/>
      </w:rPr>
    </w:lvl>
    <w:lvl w:ilvl="6" w:tplc="EB629526">
      <w:start w:val="1"/>
      <w:numFmt w:val="bullet"/>
      <w:lvlText w:val=""/>
      <w:lvlJc w:val="left"/>
      <w:pPr>
        <w:ind w:left="720" w:hanging="360"/>
      </w:pPr>
      <w:rPr>
        <w:rFonts w:ascii="Symbol" w:hAnsi="Symbol"/>
      </w:rPr>
    </w:lvl>
    <w:lvl w:ilvl="7" w:tplc="4A9C9A38">
      <w:start w:val="1"/>
      <w:numFmt w:val="bullet"/>
      <w:lvlText w:val=""/>
      <w:lvlJc w:val="left"/>
      <w:pPr>
        <w:ind w:left="720" w:hanging="360"/>
      </w:pPr>
      <w:rPr>
        <w:rFonts w:ascii="Symbol" w:hAnsi="Symbol"/>
      </w:rPr>
    </w:lvl>
    <w:lvl w:ilvl="8" w:tplc="EB8E3204">
      <w:start w:val="1"/>
      <w:numFmt w:val="bullet"/>
      <w:lvlText w:val=""/>
      <w:lvlJc w:val="left"/>
      <w:pPr>
        <w:ind w:left="720" w:hanging="360"/>
      </w:pPr>
      <w:rPr>
        <w:rFonts w:ascii="Symbol" w:hAnsi="Symbol"/>
      </w:rPr>
    </w:lvl>
  </w:abstractNum>
  <w:abstractNum w:abstractNumId="17" w15:restartNumberingAfterBreak="0">
    <w:nsid w:val="199477BF"/>
    <w:multiLevelType w:val="multilevel"/>
    <w:tmpl w:val="F4DC1C3E"/>
    <w:numStyleLink w:val="CEListNumber"/>
  </w:abstractNum>
  <w:abstractNum w:abstractNumId="18" w15:restartNumberingAfterBreak="0">
    <w:nsid w:val="1E1C473A"/>
    <w:multiLevelType w:val="hybridMultilevel"/>
    <w:tmpl w:val="8F8C6EE6"/>
    <w:lvl w:ilvl="0" w:tplc="FC4A2576">
      <w:start w:val="1"/>
      <w:numFmt w:val="bullet"/>
      <w:lvlText w:val=""/>
      <w:lvlJc w:val="left"/>
      <w:pPr>
        <w:ind w:left="720" w:hanging="360"/>
      </w:pPr>
      <w:rPr>
        <w:rFonts w:ascii="Symbol" w:hAnsi="Symbol"/>
      </w:rPr>
    </w:lvl>
    <w:lvl w:ilvl="1" w:tplc="8DA0D9D0">
      <w:start w:val="1"/>
      <w:numFmt w:val="bullet"/>
      <w:lvlText w:val=""/>
      <w:lvlJc w:val="left"/>
      <w:pPr>
        <w:ind w:left="720" w:hanging="360"/>
      </w:pPr>
      <w:rPr>
        <w:rFonts w:ascii="Symbol" w:hAnsi="Symbol"/>
      </w:rPr>
    </w:lvl>
    <w:lvl w:ilvl="2" w:tplc="8A3EF256">
      <w:start w:val="1"/>
      <w:numFmt w:val="bullet"/>
      <w:lvlText w:val=""/>
      <w:lvlJc w:val="left"/>
      <w:pPr>
        <w:ind w:left="720" w:hanging="360"/>
      </w:pPr>
      <w:rPr>
        <w:rFonts w:ascii="Symbol" w:hAnsi="Symbol"/>
      </w:rPr>
    </w:lvl>
    <w:lvl w:ilvl="3" w:tplc="92F434A0">
      <w:start w:val="1"/>
      <w:numFmt w:val="bullet"/>
      <w:lvlText w:val=""/>
      <w:lvlJc w:val="left"/>
      <w:pPr>
        <w:ind w:left="720" w:hanging="360"/>
      </w:pPr>
      <w:rPr>
        <w:rFonts w:ascii="Symbol" w:hAnsi="Symbol"/>
      </w:rPr>
    </w:lvl>
    <w:lvl w:ilvl="4" w:tplc="608EADE6">
      <w:start w:val="1"/>
      <w:numFmt w:val="bullet"/>
      <w:lvlText w:val=""/>
      <w:lvlJc w:val="left"/>
      <w:pPr>
        <w:ind w:left="720" w:hanging="360"/>
      </w:pPr>
      <w:rPr>
        <w:rFonts w:ascii="Symbol" w:hAnsi="Symbol"/>
      </w:rPr>
    </w:lvl>
    <w:lvl w:ilvl="5" w:tplc="F698ABEE">
      <w:start w:val="1"/>
      <w:numFmt w:val="bullet"/>
      <w:lvlText w:val=""/>
      <w:lvlJc w:val="left"/>
      <w:pPr>
        <w:ind w:left="720" w:hanging="360"/>
      </w:pPr>
      <w:rPr>
        <w:rFonts w:ascii="Symbol" w:hAnsi="Symbol"/>
      </w:rPr>
    </w:lvl>
    <w:lvl w:ilvl="6" w:tplc="54FEE6E2">
      <w:start w:val="1"/>
      <w:numFmt w:val="bullet"/>
      <w:lvlText w:val=""/>
      <w:lvlJc w:val="left"/>
      <w:pPr>
        <w:ind w:left="720" w:hanging="360"/>
      </w:pPr>
      <w:rPr>
        <w:rFonts w:ascii="Symbol" w:hAnsi="Symbol"/>
      </w:rPr>
    </w:lvl>
    <w:lvl w:ilvl="7" w:tplc="FF3A22B4">
      <w:start w:val="1"/>
      <w:numFmt w:val="bullet"/>
      <w:lvlText w:val=""/>
      <w:lvlJc w:val="left"/>
      <w:pPr>
        <w:ind w:left="720" w:hanging="360"/>
      </w:pPr>
      <w:rPr>
        <w:rFonts w:ascii="Symbol" w:hAnsi="Symbol"/>
      </w:rPr>
    </w:lvl>
    <w:lvl w:ilvl="8" w:tplc="B04622BC">
      <w:start w:val="1"/>
      <w:numFmt w:val="bullet"/>
      <w:lvlText w:val=""/>
      <w:lvlJc w:val="left"/>
      <w:pPr>
        <w:ind w:left="720" w:hanging="360"/>
      </w:pPr>
      <w:rPr>
        <w:rFonts w:ascii="Symbol" w:hAnsi="Symbol"/>
      </w:rPr>
    </w:lvl>
  </w:abstractNum>
  <w:abstractNum w:abstractNumId="19" w15:restartNumberingAfterBreak="0">
    <w:nsid w:val="1E613679"/>
    <w:multiLevelType w:val="hybridMultilevel"/>
    <w:tmpl w:val="09FC478A"/>
    <w:lvl w:ilvl="0" w:tplc="E2428CDC">
      <w:start w:val="1"/>
      <w:numFmt w:val="decimal"/>
      <w:lvlText w:val="%1."/>
      <w:lvlJc w:val="left"/>
      <w:pPr>
        <w:ind w:left="1020" w:hanging="341"/>
      </w:pPr>
      <w:rPr>
        <w:rFonts w:ascii="Arial" w:eastAsia="Arial" w:hAnsi="Arial" w:cs="Arial" w:hint="default"/>
        <w:b w:val="0"/>
        <w:bCs w:val="0"/>
        <w:i w:val="0"/>
        <w:iCs w:val="0"/>
        <w:spacing w:val="0"/>
        <w:w w:val="100"/>
        <w:sz w:val="28"/>
        <w:szCs w:val="28"/>
        <w:lang w:val="en-US" w:eastAsia="en-US" w:bidi="ar-SA"/>
      </w:rPr>
    </w:lvl>
    <w:lvl w:ilvl="1" w:tplc="617EA624">
      <w:numFmt w:val="bullet"/>
      <w:lvlText w:val="•"/>
      <w:lvlJc w:val="left"/>
      <w:pPr>
        <w:ind w:left="2108" w:hanging="341"/>
      </w:pPr>
      <w:rPr>
        <w:rFonts w:hint="default"/>
        <w:lang w:val="en-US" w:eastAsia="en-US" w:bidi="ar-SA"/>
      </w:rPr>
    </w:lvl>
    <w:lvl w:ilvl="2" w:tplc="4C3ACC8A">
      <w:numFmt w:val="bullet"/>
      <w:lvlText w:val="•"/>
      <w:lvlJc w:val="left"/>
      <w:pPr>
        <w:ind w:left="3197" w:hanging="341"/>
      </w:pPr>
      <w:rPr>
        <w:rFonts w:hint="default"/>
        <w:lang w:val="en-US" w:eastAsia="en-US" w:bidi="ar-SA"/>
      </w:rPr>
    </w:lvl>
    <w:lvl w:ilvl="3" w:tplc="637CF68C">
      <w:numFmt w:val="bullet"/>
      <w:lvlText w:val="•"/>
      <w:lvlJc w:val="left"/>
      <w:pPr>
        <w:ind w:left="4285" w:hanging="341"/>
      </w:pPr>
      <w:rPr>
        <w:rFonts w:hint="default"/>
        <w:lang w:val="en-US" w:eastAsia="en-US" w:bidi="ar-SA"/>
      </w:rPr>
    </w:lvl>
    <w:lvl w:ilvl="4" w:tplc="0CBE2A68">
      <w:numFmt w:val="bullet"/>
      <w:lvlText w:val="•"/>
      <w:lvlJc w:val="left"/>
      <w:pPr>
        <w:ind w:left="5374" w:hanging="341"/>
      </w:pPr>
      <w:rPr>
        <w:rFonts w:hint="default"/>
        <w:lang w:val="en-US" w:eastAsia="en-US" w:bidi="ar-SA"/>
      </w:rPr>
    </w:lvl>
    <w:lvl w:ilvl="5" w:tplc="2B68961A">
      <w:numFmt w:val="bullet"/>
      <w:lvlText w:val="•"/>
      <w:lvlJc w:val="left"/>
      <w:pPr>
        <w:ind w:left="6462" w:hanging="341"/>
      </w:pPr>
      <w:rPr>
        <w:rFonts w:hint="default"/>
        <w:lang w:val="en-US" w:eastAsia="en-US" w:bidi="ar-SA"/>
      </w:rPr>
    </w:lvl>
    <w:lvl w:ilvl="6" w:tplc="F7D8C55C">
      <w:numFmt w:val="bullet"/>
      <w:lvlText w:val="•"/>
      <w:lvlJc w:val="left"/>
      <w:pPr>
        <w:ind w:left="7551" w:hanging="341"/>
      </w:pPr>
      <w:rPr>
        <w:rFonts w:hint="default"/>
        <w:lang w:val="en-US" w:eastAsia="en-US" w:bidi="ar-SA"/>
      </w:rPr>
    </w:lvl>
    <w:lvl w:ilvl="7" w:tplc="E2F6749A">
      <w:numFmt w:val="bullet"/>
      <w:lvlText w:val="•"/>
      <w:lvlJc w:val="left"/>
      <w:pPr>
        <w:ind w:left="8639" w:hanging="341"/>
      </w:pPr>
      <w:rPr>
        <w:rFonts w:hint="default"/>
        <w:lang w:val="en-US" w:eastAsia="en-US" w:bidi="ar-SA"/>
      </w:rPr>
    </w:lvl>
    <w:lvl w:ilvl="8" w:tplc="AC303BF6">
      <w:numFmt w:val="bullet"/>
      <w:lvlText w:val="•"/>
      <w:lvlJc w:val="left"/>
      <w:pPr>
        <w:ind w:left="9728" w:hanging="341"/>
      </w:pPr>
      <w:rPr>
        <w:rFonts w:hint="default"/>
        <w:lang w:val="en-US" w:eastAsia="en-US" w:bidi="ar-SA"/>
      </w:rPr>
    </w:lvl>
  </w:abstractNum>
  <w:abstractNum w:abstractNumId="20" w15:restartNumberingAfterBreak="0">
    <w:nsid w:val="1EE977BC"/>
    <w:multiLevelType w:val="hybridMultilevel"/>
    <w:tmpl w:val="5D9A70A8"/>
    <w:lvl w:ilvl="0" w:tplc="5A86405E">
      <w:start w:val="1"/>
      <w:numFmt w:val="bullet"/>
      <w:lvlText w:val=""/>
      <w:lvlJc w:val="left"/>
      <w:pPr>
        <w:ind w:left="720" w:hanging="360"/>
      </w:pPr>
      <w:rPr>
        <w:rFonts w:ascii="Symbol" w:hAnsi="Symbol"/>
      </w:rPr>
    </w:lvl>
    <w:lvl w:ilvl="1" w:tplc="A4F83EB4">
      <w:start w:val="1"/>
      <w:numFmt w:val="bullet"/>
      <w:lvlText w:val=""/>
      <w:lvlJc w:val="left"/>
      <w:pPr>
        <w:ind w:left="720" w:hanging="360"/>
      </w:pPr>
      <w:rPr>
        <w:rFonts w:ascii="Symbol" w:hAnsi="Symbol"/>
      </w:rPr>
    </w:lvl>
    <w:lvl w:ilvl="2" w:tplc="032CFBF2">
      <w:start w:val="1"/>
      <w:numFmt w:val="bullet"/>
      <w:lvlText w:val=""/>
      <w:lvlJc w:val="left"/>
      <w:pPr>
        <w:ind w:left="720" w:hanging="360"/>
      </w:pPr>
      <w:rPr>
        <w:rFonts w:ascii="Symbol" w:hAnsi="Symbol"/>
      </w:rPr>
    </w:lvl>
    <w:lvl w:ilvl="3" w:tplc="1494EF46">
      <w:start w:val="1"/>
      <w:numFmt w:val="bullet"/>
      <w:lvlText w:val=""/>
      <w:lvlJc w:val="left"/>
      <w:pPr>
        <w:ind w:left="720" w:hanging="360"/>
      </w:pPr>
      <w:rPr>
        <w:rFonts w:ascii="Symbol" w:hAnsi="Symbol"/>
      </w:rPr>
    </w:lvl>
    <w:lvl w:ilvl="4" w:tplc="E084D076">
      <w:start w:val="1"/>
      <w:numFmt w:val="bullet"/>
      <w:lvlText w:val=""/>
      <w:lvlJc w:val="left"/>
      <w:pPr>
        <w:ind w:left="720" w:hanging="360"/>
      </w:pPr>
      <w:rPr>
        <w:rFonts w:ascii="Symbol" w:hAnsi="Symbol"/>
      </w:rPr>
    </w:lvl>
    <w:lvl w:ilvl="5" w:tplc="CD3E51FE">
      <w:start w:val="1"/>
      <w:numFmt w:val="bullet"/>
      <w:lvlText w:val=""/>
      <w:lvlJc w:val="left"/>
      <w:pPr>
        <w:ind w:left="720" w:hanging="360"/>
      </w:pPr>
      <w:rPr>
        <w:rFonts w:ascii="Symbol" w:hAnsi="Symbol"/>
      </w:rPr>
    </w:lvl>
    <w:lvl w:ilvl="6" w:tplc="08108B90">
      <w:start w:val="1"/>
      <w:numFmt w:val="bullet"/>
      <w:lvlText w:val=""/>
      <w:lvlJc w:val="left"/>
      <w:pPr>
        <w:ind w:left="720" w:hanging="360"/>
      </w:pPr>
      <w:rPr>
        <w:rFonts w:ascii="Symbol" w:hAnsi="Symbol"/>
      </w:rPr>
    </w:lvl>
    <w:lvl w:ilvl="7" w:tplc="8E9207E0">
      <w:start w:val="1"/>
      <w:numFmt w:val="bullet"/>
      <w:lvlText w:val=""/>
      <w:lvlJc w:val="left"/>
      <w:pPr>
        <w:ind w:left="720" w:hanging="360"/>
      </w:pPr>
      <w:rPr>
        <w:rFonts w:ascii="Symbol" w:hAnsi="Symbol"/>
      </w:rPr>
    </w:lvl>
    <w:lvl w:ilvl="8" w:tplc="572C8980">
      <w:start w:val="1"/>
      <w:numFmt w:val="bullet"/>
      <w:lvlText w:val=""/>
      <w:lvlJc w:val="left"/>
      <w:pPr>
        <w:ind w:left="720" w:hanging="360"/>
      </w:pPr>
      <w:rPr>
        <w:rFonts w:ascii="Symbol" w:hAnsi="Symbol"/>
      </w:rPr>
    </w:lvl>
  </w:abstractNum>
  <w:abstractNum w:abstractNumId="21" w15:restartNumberingAfterBreak="0">
    <w:nsid w:val="24E65588"/>
    <w:multiLevelType w:val="multilevel"/>
    <w:tmpl w:val="CF0EDBBC"/>
    <w:lvl w:ilvl="0">
      <w:start w:val="1"/>
      <w:numFmt w:val="decimal"/>
      <w:lvlText w:val="%1."/>
      <w:lvlJc w:val="left"/>
      <w:pPr>
        <w:ind w:left="1400" w:hanging="721"/>
      </w:pPr>
      <w:rPr>
        <w:rFonts w:ascii="Kaleko 105 Round" w:eastAsia="Kaleko105Round-Book" w:hAnsi="Kaleko 105 Round" w:cs="Kaleko105Round-Book" w:hint="default"/>
        <w:b w:val="0"/>
        <w:bCs w:val="0"/>
        <w:i w:val="0"/>
        <w:iCs w:val="0"/>
        <w:color w:val="0B1F2C"/>
        <w:spacing w:val="0"/>
        <w:w w:val="100"/>
        <w:sz w:val="56"/>
        <w:szCs w:val="56"/>
        <w:lang w:val="en-US" w:eastAsia="en-US" w:bidi="ar-SA"/>
      </w:rPr>
    </w:lvl>
    <w:lvl w:ilvl="1">
      <w:start w:val="1"/>
      <w:numFmt w:val="decimal"/>
      <w:lvlText w:val="%1.%2."/>
      <w:lvlJc w:val="left"/>
      <w:pPr>
        <w:ind w:left="1102" w:hanging="422"/>
      </w:pPr>
      <w:rPr>
        <w:rFonts w:ascii="Kaleko 105 Round" w:eastAsia="Kaleko105Round-Book" w:hAnsi="Kaleko 105 Round" w:cs="Kaleko105Round-Book" w:hint="default"/>
        <w:b w:val="0"/>
        <w:bCs w:val="0"/>
        <w:i w:val="0"/>
        <w:iCs w:val="0"/>
        <w:color w:val="009FE3"/>
        <w:spacing w:val="0"/>
        <w:w w:val="100"/>
        <w:sz w:val="32"/>
        <w:szCs w:val="32"/>
        <w:lang w:val="en-US" w:eastAsia="en-US" w:bidi="ar-SA"/>
      </w:rPr>
    </w:lvl>
    <w:lvl w:ilvl="2">
      <w:numFmt w:val="bullet"/>
      <w:pStyle w:val="ListBullet"/>
      <w:lvlText w:val="•"/>
      <w:lvlJc w:val="left"/>
      <w:pPr>
        <w:ind w:left="963" w:hanging="284"/>
      </w:pPr>
      <w:rPr>
        <w:rFonts w:ascii="Kaleko105Round-Book" w:eastAsia="Kaleko105Round-Book" w:hAnsi="Kaleko105Round-Book" w:cs="Kaleko105Round-Book" w:hint="default"/>
        <w:b w:val="0"/>
        <w:bCs w:val="0"/>
        <w:i w:val="0"/>
        <w:iCs w:val="0"/>
        <w:color w:val="009FE3"/>
        <w:spacing w:val="0"/>
        <w:w w:val="100"/>
        <w:sz w:val="20"/>
        <w:szCs w:val="20"/>
        <w:lang w:val="en-US" w:eastAsia="en-US" w:bidi="ar-SA"/>
      </w:rPr>
    </w:lvl>
    <w:lvl w:ilvl="3">
      <w:numFmt w:val="bullet"/>
      <w:lvlText w:val="•"/>
      <w:lvlJc w:val="left"/>
      <w:pPr>
        <w:ind w:left="1400" w:hanging="284"/>
      </w:pPr>
      <w:rPr>
        <w:rFonts w:hint="default"/>
        <w:lang w:val="en-US" w:eastAsia="en-US" w:bidi="ar-SA"/>
      </w:rPr>
    </w:lvl>
    <w:lvl w:ilvl="4">
      <w:numFmt w:val="bullet"/>
      <w:lvlText w:val="•"/>
      <w:lvlJc w:val="left"/>
      <w:pPr>
        <w:ind w:left="2900" w:hanging="284"/>
      </w:pPr>
      <w:rPr>
        <w:rFonts w:hint="default"/>
        <w:lang w:val="en-US" w:eastAsia="en-US" w:bidi="ar-SA"/>
      </w:rPr>
    </w:lvl>
    <w:lvl w:ilvl="5">
      <w:numFmt w:val="bullet"/>
      <w:lvlText w:val="•"/>
      <w:lvlJc w:val="left"/>
      <w:pPr>
        <w:ind w:left="4401" w:hanging="284"/>
      </w:pPr>
      <w:rPr>
        <w:rFonts w:hint="default"/>
        <w:lang w:val="en-US" w:eastAsia="en-US" w:bidi="ar-SA"/>
      </w:rPr>
    </w:lvl>
    <w:lvl w:ilvl="6">
      <w:numFmt w:val="bullet"/>
      <w:lvlText w:val="•"/>
      <w:lvlJc w:val="left"/>
      <w:pPr>
        <w:ind w:left="5902" w:hanging="284"/>
      </w:pPr>
      <w:rPr>
        <w:rFonts w:hint="default"/>
        <w:lang w:val="en-US" w:eastAsia="en-US" w:bidi="ar-SA"/>
      </w:rPr>
    </w:lvl>
    <w:lvl w:ilvl="7">
      <w:numFmt w:val="bullet"/>
      <w:lvlText w:val="•"/>
      <w:lvlJc w:val="left"/>
      <w:pPr>
        <w:ind w:left="7403" w:hanging="284"/>
      </w:pPr>
      <w:rPr>
        <w:rFonts w:hint="default"/>
        <w:lang w:val="en-US" w:eastAsia="en-US" w:bidi="ar-SA"/>
      </w:rPr>
    </w:lvl>
    <w:lvl w:ilvl="8">
      <w:numFmt w:val="bullet"/>
      <w:lvlText w:val="•"/>
      <w:lvlJc w:val="left"/>
      <w:pPr>
        <w:ind w:left="8903" w:hanging="284"/>
      </w:pPr>
      <w:rPr>
        <w:rFonts w:hint="default"/>
        <w:lang w:val="en-US" w:eastAsia="en-US" w:bidi="ar-SA"/>
      </w:rPr>
    </w:lvl>
  </w:abstractNum>
  <w:abstractNum w:abstractNumId="22" w15:restartNumberingAfterBreak="0">
    <w:nsid w:val="28C840C6"/>
    <w:multiLevelType w:val="hybridMultilevel"/>
    <w:tmpl w:val="7250EAB4"/>
    <w:lvl w:ilvl="0" w:tplc="8E364F02">
      <w:start w:val="1"/>
      <w:numFmt w:val="bullet"/>
      <w:lvlText w:val=""/>
      <w:lvlJc w:val="left"/>
      <w:pPr>
        <w:ind w:left="720" w:hanging="360"/>
      </w:pPr>
      <w:rPr>
        <w:rFonts w:ascii="Symbol" w:hAnsi="Symbol"/>
      </w:rPr>
    </w:lvl>
    <w:lvl w:ilvl="1" w:tplc="62E08846">
      <w:start w:val="1"/>
      <w:numFmt w:val="bullet"/>
      <w:lvlText w:val=""/>
      <w:lvlJc w:val="left"/>
      <w:pPr>
        <w:ind w:left="720" w:hanging="360"/>
      </w:pPr>
      <w:rPr>
        <w:rFonts w:ascii="Symbol" w:hAnsi="Symbol"/>
      </w:rPr>
    </w:lvl>
    <w:lvl w:ilvl="2" w:tplc="7D6C10EC">
      <w:start w:val="1"/>
      <w:numFmt w:val="bullet"/>
      <w:lvlText w:val=""/>
      <w:lvlJc w:val="left"/>
      <w:pPr>
        <w:ind w:left="720" w:hanging="360"/>
      </w:pPr>
      <w:rPr>
        <w:rFonts w:ascii="Symbol" w:hAnsi="Symbol"/>
      </w:rPr>
    </w:lvl>
    <w:lvl w:ilvl="3" w:tplc="9ECC84C6">
      <w:start w:val="1"/>
      <w:numFmt w:val="bullet"/>
      <w:lvlText w:val=""/>
      <w:lvlJc w:val="left"/>
      <w:pPr>
        <w:ind w:left="720" w:hanging="360"/>
      </w:pPr>
      <w:rPr>
        <w:rFonts w:ascii="Symbol" w:hAnsi="Symbol"/>
      </w:rPr>
    </w:lvl>
    <w:lvl w:ilvl="4" w:tplc="0C08F490">
      <w:start w:val="1"/>
      <w:numFmt w:val="bullet"/>
      <w:lvlText w:val=""/>
      <w:lvlJc w:val="left"/>
      <w:pPr>
        <w:ind w:left="720" w:hanging="360"/>
      </w:pPr>
      <w:rPr>
        <w:rFonts w:ascii="Symbol" w:hAnsi="Symbol"/>
      </w:rPr>
    </w:lvl>
    <w:lvl w:ilvl="5" w:tplc="D5163CD2">
      <w:start w:val="1"/>
      <w:numFmt w:val="bullet"/>
      <w:lvlText w:val=""/>
      <w:lvlJc w:val="left"/>
      <w:pPr>
        <w:ind w:left="720" w:hanging="360"/>
      </w:pPr>
      <w:rPr>
        <w:rFonts w:ascii="Symbol" w:hAnsi="Symbol"/>
      </w:rPr>
    </w:lvl>
    <w:lvl w:ilvl="6" w:tplc="D5A477B0">
      <w:start w:val="1"/>
      <w:numFmt w:val="bullet"/>
      <w:lvlText w:val=""/>
      <w:lvlJc w:val="left"/>
      <w:pPr>
        <w:ind w:left="720" w:hanging="360"/>
      </w:pPr>
      <w:rPr>
        <w:rFonts w:ascii="Symbol" w:hAnsi="Symbol"/>
      </w:rPr>
    </w:lvl>
    <w:lvl w:ilvl="7" w:tplc="3AECC054">
      <w:start w:val="1"/>
      <w:numFmt w:val="bullet"/>
      <w:lvlText w:val=""/>
      <w:lvlJc w:val="left"/>
      <w:pPr>
        <w:ind w:left="720" w:hanging="360"/>
      </w:pPr>
      <w:rPr>
        <w:rFonts w:ascii="Symbol" w:hAnsi="Symbol"/>
      </w:rPr>
    </w:lvl>
    <w:lvl w:ilvl="8" w:tplc="F45AE132">
      <w:start w:val="1"/>
      <w:numFmt w:val="bullet"/>
      <w:lvlText w:val=""/>
      <w:lvlJc w:val="left"/>
      <w:pPr>
        <w:ind w:left="720" w:hanging="360"/>
      </w:pPr>
      <w:rPr>
        <w:rFonts w:ascii="Symbol" w:hAnsi="Symbol"/>
      </w:rPr>
    </w:lvl>
  </w:abstractNum>
  <w:abstractNum w:abstractNumId="23" w15:restartNumberingAfterBreak="0">
    <w:nsid w:val="2BF1019A"/>
    <w:multiLevelType w:val="multilevel"/>
    <w:tmpl w:val="1AEC50B0"/>
    <w:styleLink w:val="CENumberedHeadings"/>
    <w:lvl w:ilvl="0">
      <w:start w:val="1"/>
      <w:numFmt w:val="decimal"/>
      <w:lvlText w:val="%1."/>
      <w:lvlJc w:val="left"/>
      <w:pPr>
        <w:ind w:left="720" w:hanging="720"/>
      </w:pPr>
      <w:rPr>
        <w:rFonts w:ascii="Kaleko 105 Round" w:eastAsia="Kaleko105Round-Book" w:hAnsi="Kaleko 105 Round" w:cs="Kaleko105Round-Book" w:hint="default"/>
        <w:b w:val="0"/>
        <w:bCs w:val="0"/>
        <w:i w:val="0"/>
        <w:iCs w:val="0"/>
        <w:color w:val="0B1F2C"/>
        <w:spacing w:val="0"/>
        <w:w w:val="100"/>
        <w:sz w:val="56"/>
        <w:szCs w:val="56"/>
        <w:lang w:val="en-US" w:eastAsia="en-US" w:bidi="ar-SA"/>
      </w:rPr>
    </w:lvl>
    <w:lvl w:ilvl="1">
      <w:start w:val="1"/>
      <w:numFmt w:val="decimal"/>
      <w:lvlText w:val="%1.%2."/>
      <w:lvlJc w:val="left"/>
      <w:pPr>
        <w:ind w:left="720" w:hanging="720"/>
      </w:pPr>
      <w:rPr>
        <w:rFonts w:ascii="Kaleko 105 Round" w:eastAsia="Kaleko105Round-Book" w:hAnsi="Kaleko 105 Round" w:cs="Kaleko105Round-Book" w:hint="default"/>
        <w:b w:val="0"/>
        <w:bCs w:val="0"/>
        <w:i w:val="0"/>
        <w:iCs w:val="0"/>
        <w:color w:val="009FE3"/>
        <w:spacing w:val="0"/>
        <w:w w:val="100"/>
        <w:sz w:val="32"/>
        <w:szCs w:val="32"/>
        <w:lang w:val="en-US" w:eastAsia="en-US" w:bidi="ar-SA"/>
      </w:rPr>
    </w:lvl>
    <w:lvl w:ilvl="2">
      <w:start w:val="1"/>
      <w:numFmt w:val="decimal"/>
      <w:lvlText w:val="%1.%2.%3"/>
      <w:lvlJc w:val="left"/>
      <w:pPr>
        <w:ind w:left="720" w:hanging="720"/>
      </w:pPr>
      <w:rPr>
        <w:rFonts w:hint="default"/>
        <w:b w:val="0"/>
        <w:bCs w:val="0"/>
        <w:i w:val="0"/>
        <w:iCs w:val="0"/>
        <w:color w:val="009FE3"/>
        <w:spacing w:val="0"/>
        <w:w w:val="100"/>
        <w:sz w:val="20"/>
        <w:szCs w:val="20"/>
        <w:lang w:val="en-US" w:eastAsia="en-US" w:bidi="ar-SA"/>
      </w:rPr>
    </w:lvl>
    <w:lvl w:ilvl="3">
      <w:numFmt w:val="none"/>
      <w:lvlText w:val=""/>
      <w:lvlJc w:val="left"/>
      <w:pPr>
        <w:ind w:left="1400" w:hanging="284"/>
      </w:pPr>
      <w:rPr>
        <w:rFonts w:hint="default"/>
        <w:lang w:val="en-US" w:eastAsia="en-US" w:bidi="ar-SA"/>
      </w:rPr>
    </w:lvl>
    <w:lvl w:ilvl="4">
      <w:numFmt w:val="none"/>
      <w:lvlText w:val=""/>
      <w:lvlJc w:val="left"/>
      <w:pPr>
        <w:ind w:left="2900" w:hanging="284"/>
      </w:pPr>
      <w:rPr>
        <w:rFonts w:hint="default"/>
        <w:lang w:val="en-US" w:eastAsia="en-US" w:bidi="ar-SA"/>
      </w:rPr>
    </w:lvl>
    <w:lvl w:ilvl="5">
      <w:numFmt w:val="none"/>
      <w:lvlText w:val="%6"/>
      <w:lvlJc w:val="left"/>
      <w:pPr>
        <w:ind w:left="4401" w:hanging="284"/>
      </w:pPr>
      <w:rPr>
        <w:rFonts w:hint="default"/>
        <w:lang w:val="en-US" w:eastAsia="en-US" w:bidi="ar-SA"/>
      </w:rPr>
    </w:lvl>
    <w:lvl w:ilvl="6">
      <w:start w:val="1"/>
      <w:numFmt w:val="none"/>
      <w:lvlText w:val="%7"/>
      <w:lvlJc w:val="left"/>
      <w:pPr>
        <w:ind w:left="5902" w:hanging="284"/>
      </w:pPr>
      <w:rPr>
        <w:rFonts w:hint="default"/>
        <w:lang w:val="en-US" w:eastAsia="en-US" w:bidi="ar-SA"/>
      </w:rPr>
    </w:lvl>
    <w:lvl w:ilvl="7">
      <w:numFmt w:val="none"/>
      <w:lvlText w:val=""/>
      <w:lvlJc w:val="left"/>
      <w:pPr>
        <w:ind w:left="7403" w:hanging="284"/>
      </w:pPr>
      <w:rPr>
        <w:rFonts w:hint="default"/>
        <w:lang w:val="en-US" w:eastAsia="en-US" w:bidi="ar-SA"/>
      </w:rPr>
    </w:lvl>
    <w:lvl w:ilvl="8">
      <w:numFmt w:val="bullet"/>
      <w:lvlText w:val="•"/>
      <w:lvlJc w:val="left"/>
      <w:pPr>
        <w:ind w:left="8903" w:hanging="284"/>
      </w:pPr>
      <w:rPr>
        <w:rFonts w:hint="default"/>
        <w:lang w:val="en-US" w:eastAsia="en-US" w:bidi="ar-SA"/>
      </w:rPr>
    </w:lvl>
  </w:abstractNum>
  <w:abstractNum w:abstractNumId="24" w15:restartNumberingAfterBreak="0">
    <w:nsid w:val="386A012A"/>
    <w:multiLevelType w:val="hybridMultilevel"/>
    <w:tmpl w:val="1040D71C"/>
    <w:lvl w:ilvl="0" w:tplc="21D67A0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97A47ED"/>
    <w:multiLevelType w:val="multilevel"/>
    <w:tmpl w:val="1AEC50B0"/>
    <w:numStyleLink w:val="CENumberedHeadings"/>
  </w:abstractNum>
  <w:abstractNum w:abstractNumId="26" w15:restartNumberingAfterBreak="0">
    <w:nsid w:val="39C87679"/>
    <w:multiLevelType w:val="hybridMultilevel"/>
    <w:tmpl w:val="BF4AEE00"/>
    <w:lvl w:ilvl="0" w:tplc="0C544EC4">
      <w:start w:val="1"/>
      <w:numFmt w:val="bullet"/>
      <w:lvlText w:val=""/>
      <w:lvlJc w:val="left"/>
      <w:pPr>
        <w:ind w:left="720" w:hanging="360"/>
      </w:pPr>
      <w:rPr>
        <w:rFonts w:ascii="Symbol" w:hAnsi="Symbol"/>
      </w:rPr>
    </w:lvl>
    <w:lvl w:ilvl="1" w:tplc="4EB85F7C">
      <w:start w:val="1"/>
      <w:numFmt w:val="bullet"/>
      <w:lvlText w:val=""/>
      <w:lvlJc w:val="left"/>
      <w:pPr>
        <w:ind w:left="720" w:hanging="360"/>
      </w:pPr>
      <w:rPr>
        <w:rFonts w:ascii="Symbol" w:hAnsi="Symbol"/>
      </w:rPr>
    </w:lvl>
    <w:lvl w:ilvl="2" w:tplc="9A867248">
      <w:start w:val="1"/>
      <w:numFmt w:val="bullet"/>
      <w:lvlText w:val=""/>
      <w:lvlJc w:val="left"/>
      <w:pPr>
        <w:ind w:left="720" w:hanging="360"/>
      </w:pPr>
      <w:rPr>
        <w:rFonts w:ascii="Symbol" w:hAnsi="Symbol"/>
      </w:rPr>
    </w:lvl>
    <w:lvl w:ilvl="3" w:tplc="B372BA1E">
      <w:start w:val="1"/>
      <w:numFmt w:val="bullet"/>
      <w:lvlText w:val=""/>
      <w:lvlJc w:val="left"/>
      <w:pPr>
        <w:ind w:left="720" w:hanging="360"/>
      </w:pPr>
      <w:rPr>
        <w:rFonts w:ascii="Symbol" w:hAnsi="Symbol"/>
      </w:rPr>
    </w:lvl>
    <w:lvl w:ilvl="4" w:tplc="8314F96E">
      <w:start w:val="1"/>
      <w:numFmt w:val="bullet"/>
      <w:lvlText w:val=""/>
      <w:lvlJc w:val="left"/>
      <w:pPr>
        <w:ind w:left="720" w:hanging="360"/>
      </w:pPr>
      <w:rPr>
        <w:rFonts w:ascii="Symbol" w:hAnsi="Symbol"/>
      </w:rPr>
    </w:lvl>
    <w:lvl w:ilvl="5" w:tplc="79286142">
      <w:start w:val="1"/>
      <w:numFmt w:val="bullet"/>
      <w:lvlText w:val=""/>
      <w:lvlJc w:val="left"/>
      <w:pPr>
        <w:ind w:left="720" w:hanging="360"/>
      </w:pPr>
      <w:rPr>
        <w:rFonts w:ascii="Symbol" w:hAnsi="Symbol"/>
      </w:rPr>
    </w:lvl>
    <w:lvl w:ilvl="6" w:tplc="8EF27166">
      <w:start w:val="1"/>
      <w:numFmt w:val="bullet"/>
      <w:lvlText w:val=""/>
      <w:lvlJc w:val="left"/>
      <w:pPr>
        <w:ind w:left="720" w:hanging="360"/>
      </w:pPr>
      <w:rPr>
        <w:rFonts w:ascii="Symbol" w:hAnsi="Symbol"/>
      </w:rPr>
    </w:lvl>
    <w:lvl w:ilvl="7" w:tplc="AF084C4E">
      <w:start w:val="1"/>
      <w:numFmt w:val="bullet"/>
      <w:lvlText w:val=""/>
      <w:lvlJc w:val="left"/>
      <w:pPr>
        <w:ind w:left="720" w:hanging="360"/>
      </w:pPr>
      <w:rPr>
        <w:rFonts w:ascii="Symbol" w:hAnsi="Symbol"/>
      </w:rPr>
    </w:lvl>
    <w:lvl w:ilvl="8" w:tplc="9C66649C">
      <w:start w:val="1"/>
      <w:numFmt w:val="bullet"/>
      <w:lvlText w:val=""/>
      <w:lvlJc w:val="left"/>
      <w:pPr>
        <w:ind w:left="720" w:hanging="360"/>
      </w:pPr>
      <w:rPr>
        <w:rFonts w:ascii="Symbol" w:hAnsi="Symbol"/>
      </w:rPr>
    </w:lvl>
  </w:abstractNum>
  <w:abstractNum w:abstractNumId="27" w15:restartNumberingAfterBreak="0">
    <w:nsid w:val="3A230A77"/>
    <w:multiLevelType w:val="multilevel"/>
    <w:tmpl w:val="1AEC50B0"/>
    <w:numStyleLink w:val="CENumberedHeadings"/>
  </w:abstractNum>
  <w:abstractNum w:abstractNumId="28" w15:restartNumberingAfterBreak="0">
    <w:nsid w:val="3C4A3033"/>
    <w:multiLevelType w:val="hybridMultilevel"/>
    <w:tmpl w:val="9FD63EA2"/>
    <w:lvl w:ilvl="0" w:tplc="37508938">
      <w:start w:val="1"/>
      <w:numFmt w:val="bullet"/>
      <w:lvlText w:val=""/>
      <w:lvlJc w:val="left"/>
      <w:pPr>
        <w:ind w:left="720" w:hanging="360"/>
      </w:pPr>
      <w:rPr>
        <w:rFonts w:ascii="Symbol" w:hAnsi="Symbol"/>
      </w:rPr>
    </w:lvl>
    <w:lvl w:ilvl="1" w:tplc="CE345ED8">
      <w:start w:val="1"/>
      <w:numFmt w:val="bullet"/>
      <w:lvlText w:val=""/>
      <w:lvlJc w:val="left"/>
      <w:pPr>
        <w:ind w:left="720" w:hanging="360"/>
      </w:pPr>
      <w:rPr>
        <w:rFonts w:ascii="Symbol" w:hAnsi="Symbol"/>
      </w:rPr>
    </w:lvl>
    <w:lvl w:ilvl="2" w:tplc="D70A44F2">
      <w:start w:val="1"/>
      <w:numFmt w:val="bullet"/>
      <w:lvlText w:val=""/>
      <w:lvlJc w:val="left"/>
      <w:pPr>
        <w:ind w:left="720" w:hanging="360"/>
      </w:pPr>
      <w:rPr>
        <w:rFonts w:ascii="Symbol" w:hAnsi="Symbol"/>
      </w:rPr>
    </w:lvl>
    <w:lvl w:ilvl="3" w:tplc="5232DDB6">
      <w:start w:val="1"/>
      <w:numFmt w:val="bullet"/>
      <w:lvlText w:val=""/>
      <w:lvlJc w:val="left"/>
      <w:pPr>
        <w:ind w:left="720" w:hanging="360"/>
      </w:pPr>
      <w:rPr>
        <w:rFonts w:ascii="Symbol" w:hAnsi="Symbol"/>
      </w:rPr>
    </w:lvl>
    <w:lvl w:ilvl="4" w:tplc="08D667FE">
      <w:start w:val="1"/>
      <w:numFmt w:val="bullet"/>
      <w:lvlText w:val=""/>
      <w:lvlJc w:val="left"/>
      <w:pPr>
        <w:ind w:left="720" w:hanging="360"/>
      </w:pPr>
      <w:rPr>
        <w:rFonts w:ascii="Symbol" w:hAnsi="Symbol"/>
      </w:rPr>
    </w:lvl>
    <w:lvl w:ilvl="5" w:tplc="06927C38">
      <w:start w:val="1"/>
      <w:numFmt w:val="bullet"/>
      <w:lvlText w:val=""/>
      <w:lvlJc w:val="left"/>
      <w:pPr>
        <w:ind w:left="720" w:hanging="360"/>
      </w:pPr>
      <w:rPr>
        <w:rFonts w:ascii="Symbol" w:hAnsi="Symbol"/>
      </w:rPr>
    </w:lvl>
    <w:lvl w:ilvl="6" w:tplc="E1809600">
      <w:start w:val="1"/>
      <w:numFmt w:val="bullet"/>
      <w:lvlText w:val=""/>
      <w:lvlJc w:val="left"/>
      <w:pPr>
        <w:ind w:left="720" w:hanging="360"/>
      </w:pPr>
      <w:rPr>
        <w:rFonts w:ascii="Symbol" w:hAnsi="Symbol"/>
      </w:rPr>
    </w:lvl>
    <w:lvl w:ilvl="7" w:tplc="2052425A">
      <w:start w:val="1"/>
      <w:numFmt w:val="bullet"/>
      <w:lvlText w:val=""/>
      <w:lvlJc w:val="left"/>
      <w:pPr>
        <w:ind w:left="720" w:hanging="360"/>
      </w:pPr>
      <w:rPr>
        <w:rFonts w:ascii="Symbol" w:hAnsi="Symbol"/>
      </w:rPr>
    </w:lvl>
    <w:lvl w:ilvl="8" w:tplc="C7AEF590">
      <w:start w:val="1"/>
      <w:numFmt w:val="bullet"/>
      <w:lvlText w:val=""/>
      <w:lvlJc w:val="left"/>
      <w:pPr>
        <w:ind w:left="720" w:hanging="360"/>
      </w:pPr>
      <w:rPr>
        <w:rFonts w:ascii="Symbol" w:hAnsi="Symbol"/>
      </w:rPr>
    </w:lvl>
  </w:abstractNum>
  <w:abstractNum w:abstractNumId="29" w15:restartNumberingAfterBreak="0">
    <w:nsid w:val="3EE5268F"/>
    <w:multiLevelType w:val="hybridMultilevel"/>
    <w:tmpl w:val="E2A8E0B4"/>
    <w:lvl w:ilvl="0" w:tplc="FC0020F8">
      <w:start w:val="1"/>
      <w:numFmt w:val="bullet"/>
      <w:lvlText w:val=""/>
      <w:lvlJc w:val="left"/>
      <w:pPr>
        <w:ind w:left="720" w:hanging="360"/>
      </w:pPr>
      <w:rPr>
        <w:rFonts w:ascii="Symbol" w:hAnsi="Symbol"/>
      </w:rPr>
    </w:lvl>
    <w:lvl w:ilvl="1" w:tplc="0A2EC694">
      <w:start w:val="1"/>
      <w:numFmt w:val="bullet"/>
      <w:lvlText w:val=""/>
      <w:lvlJc w:val="left"/>
      <w:pPr>
        <w:ind w:left="720" w:hanging="360"/>
      </w:pPr>
      <w:rPr>
        <w:rFonts w:ascii="Symbol" w:hAnsi="Symbol"/>
      </w:rPr>
    </w:lvl>
    <w:lvl w:ilvl="2" w:tplc="CA64E3A0">
      <w:start w:val="1"/>
      <w:numFmt w:val="bullet"/>
      <w:lvlText w:val=""/>
      <w:lvlJc w:val="left"/>
      <w:pPr>
        <w:ind w:left="720" w:hanging="360"/>
      </w:pPr>
      <w:rPr>
        <w:rFonts w:ascii="Symbol" w:hAnsi="Symbol"/>
      </w:rPr>
    </w:lvl>
    <w:lvl w:ilvl="3" w:tplc="25EC3C52">
      <w:start w:val="1"/>
      <w:numFmt w:val="bullet"/>
      <w:lvlText w:val=""/>
      <w:lvlJc w:val="left"/>
      <w:pPr>
        <w:ind w:left="720" w:hanging="360"/>
      </w:pPr>
      <w:rPr>
        <w:rFonts w:ascii="Symbol" w:hAnsi="Symbol"/>
      </w:rPr>
    </w:lvl>
    <w:lvl w:ilvl="4" w:tplc="6A7EDF5A">
      <w:start w:val="1"/>
      <w:numFmt w:val="bullet"/>
      <w:lvlText w:val=""/>
      <w:lvlJc w:val="left"/>
      <w:pPr>
        <w:ind w:left="720" w:hanging="360"/>
      </w:pPr>
      <w:rPr>
        <w:rFonts w:ascii="Symbol" w:hAnsi="Symbol"/>
      </w:rPr>
    </w:lvl>
    <w:lvl w:ilvl="5" w:tplc="FEC44A28">
      <w:start w:val="1"/>
      <w:numFmt w:val="bullet"/>
      <w:lvlText w:val=""/>
      <w:lvlJc w:val="left"/>
      <w:pPr>
        <w:ind w:left="720" w:hanging="360"/>
      </w:pPr>
      <w:rPr>
        <w:rFonts w:ascii="Symbol" w:hAnsi="Symbol"/>
      </w:rPr>
    </w:lvl>
    <w:lvl w:ilvl="6" w:tplc="4C2CA47A">
      <w:start w:val="1"/>
      <w:numFmt w:val="bullet"/>
      <w:lvlText w:val=""/>
      <w:lvlJc w:val="left"/>
      <w:pPr>
        <w:ind w:left="720" w:hanging="360"/>
      </w:pPr>
      <w:rPr>
        <w:rFonts w:ascii="Symbol" w:hAnsi="Symbol"/>
      </w:rPr>
    </w:lvl>
    <w:lvl w:ilvl="7" w:tplc="633A4448">
      <w:start w:val="1"/>
      <w:numFmt w:val="bullet"/>
      <w:lvlText w:val=""/>
      <w:lvlJc w:val="left"/>
      <w:pPr>
        <w:ind w:left="720" w:hanging="360"/>
      </w:pPr>
      <w:rPr>
        <w:rFonts w:ascii="Symbol" w:hAnsi="Symbol"/>
      </w:rPr>
    </w:lvl>
    <w:lvl w:ilvl="8" w:tplc="085C0164">
      <w:start w:val="1"/>
      <w:numFmt w:val="bullet"/>
      <w:lvlText w:val=""/>
      <w:lvlJc w:val="left"/>
      <w:pPr>
        <w:ind w:left="720" w:hanging="360"/>
      </w:pPr>
      <w:rPr>
        <w:rFonts w:ascii="Symbol" w:hAnsi="Symbol"/>
      </w:rPr>
    </w:lvl>
  </w:abstractNum>
  <w:abstractNum w:abstractNumId="30" w15:restartNumberingAfterBreak="0">
    <w:nsid w:val="46AA371F"/>
    <w:multiLevelType w:val="multilevel"/>
    <w:tmpl w:val="1AEC50B0"/>
    <w:numStyleLink w:val="CENumberedHeadings"/>
  </w:abstractNum>
  <w:abstractNum w:abstractNumId="31" w15:restartNumberingAfterBreak="0">
    <w:nsid w:val="47C169AB"/>
    <w:multiLevelType w:val="hybridMultilevel"/>
    <w:tmpl w:val="BA3053FE"/>
    <w:lvl w:ilvl="0" w:tplc="6696FC42">
      <w:start w:val="1"/>
      <w:numFmt w:val="bullet"/>
      <w:lvlText w:val=""/>
      <w:lvlJc w:val="left"/>
      <w:pPr>
        <w:ind w:left="720" w:hanging="360"/>
      </w:pPr>
      <w:rPr>
        <w:rFonts w:ascii="Symbol" w:hAnsi="Symbol" w:hint="default"/>
        <w:color w:val="009FE3"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AB95C1D"/>
    <w:multiLevelType w:val="multilevel"/>
    <w:tmpl w:val="813C5054"/>
    <w:styleLink w:val="CEAppendixNumberedHeadings"/>
    <w:lvl w:ilvl="0">
      <w:start w:val="1"/>
      <w:numFmt w:val="upperLetter"/>
      <w:lvlText w:val="Appendix %1 - "/>
      <w:lvlJc w:val="left"/>
      <w:pPr>
        <w:tabs>
          <w:tab w:val="num" w:pos="2211"/>
        </w:tabs>
        <w:ind w:left="2211" w:hanging="2211"/>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4F2748BE"/>
    <w:multiLevelType w:val="multilevel"/>
    <w:tmpl w:val="F4DC1C3E"/>
    <w:styleLink w:val="CEListNumber"/>
    <w:lvl w:ilvl="0">
      <w:start w:val="1"/>
      <w:numFmt w:val="decimal"/>
      <w:pStyle w:val="ListNumber"/>
      <w:lvlText w:val="%1."/>
      <w:lvlJc w:val="left"/>
      <w:pPr>
        <w:tabs>
          <w:tab w:val="num" w:pos="454"/>
        </w:tabs>
        <w:ind w:left="454" w:hanging="454"/>
      </w:pPr>
      <w:rPr>
        <w:rFonts w:hint="default"/>
        <w:b/>
        <w:color w:val="009FE3" w:themeColor="accent1"/>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4F67629F"/>
    <w:multiLevelType w:val="hybridMultilevel"/>
    <w:tmpl w:val="593A8D8A"/>
    <w:lvl w:ilvl="0" w:tplc="D222FCEE">
      <w:start w:val="1"/>
      <w:numFmt w:val="bullet"/>
      <w:pStyle w:val="ListBullet4"/>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15:restartNumberingAfterBreak="0">
    <w:nsid w:val="59D0508F"/>
    <w:multiLevelType w:val="multilevel"/>
    <w:tmpl w:val="1AEC50B0"/>
    <w:numStyleLink w:val="CENumberedHeadings"/>
  </w:abstractNum>
  <w:abstractNum w:abstractNumId="36" w15:restartNumberingAfterBreak="0">
    <w:nsid w:val="5F074D74"/>
    <w:multiLevelType w:val="hybridMultilevel"/>
    <w:tmpl w:val="4732C548"/>
    <w:lvl w:ilvl="0" w:tplc="F660845E">
      <w:start w:val="1"/>
      <w:numFmt w:val="decimal"/>
      <w:lvlText w:val="%1."/>
      <w:lvlJc w:val="left"/>
      <w:pPr>
        <w:ind w:left="963" w:hanging="284"/>
      </w:pPr>
      <w:rPr>
        <w:rFonts w:ascii="Arial" w:eastAsia="Arial" w:hAnsi="Arial" w:cs="Arial" w:hint="default"/>
        <w:b/>
        <w:bCs/>
        <w:i w:val="0"/>
        <w:iCs w:val="0"/>
        <w:color w:val="009FE3"/>
        <w:spacing w:val="0"/>
        <w:w w:val="100"/>
        <w:sz w:val="20"/>
        <w:szCs w:val="20"/>
        <w:lang w:val="en-US" w:eastAsia="en-US" w:bidi="ar-SA"/>
      </w:rPr>
    </w:lvl>
    <w:lvl w:ilvl="1" w:tplc="835CC988">
      <w:numFmt w:val="bullet"/>
      <w:lvlText w:val="•"/>
      <w:lvlJc w:val="left"/>
      <w:pPr>
        <w:ind w:left="1190" w:hanging="227"/>
      </w:pPr>
      <w:rPr>
        <w:rFonts w:ascii="Kaleko105Round-Book" w:eastAsia="Kaleko105Round-Book" w:hAnsi="Kaleko105Round-Book" w:cs="Kaleko105Round-Book" w:hint="default"/>
        <w:b w:val="0"/>
        <w:bCs w:val="0"/>
        <w:i w:val="0"/>
        <w:iCs w:val="0"/>
        <w:color w:val="009FE3"/>
        <w:spacing w:val="0"/>
        <w:w w:val="100"/>
        <w:sz w:val="20"/>
        <w:szCs w:val="20"/>
        <w:lang w:val="en-US" w:eastAsia="en-US" w:bidi="ar-SA"/>
      </w:rPr>
    </w:lvl>
    <w:lvl w:ilvl="2" w:tplc="E2BE3354">
      <w:numFmt w:val="bullet"/>
      <w:lvlText w:val="•"/>
      <w:lvlJc w:val="left"/>
      <w:pPr>
        <w:ind w:left="2389" w:hanging="227"/>
      </w:pPr>
      <w:rPr>
        <w:rFonts w:hint="default"/>
        <w:lang w:val="en-US" w:eastAsia="en-US" w:bidi="ar-SA"/>
      </w:rPr>
    </w:lvl>
    <w:lvl w:ilvl="3" w:tplc="A250498E">
      <w:numFmt w:val="bullet"/>
      <w:lvlText w:val="•"/>
      <w:lvlJc w:val="left"/>
      <w:pPr>
        <w:ind w:left="3579" w:hanging="227"/>
      </w:pPr>
      <w:rPr>
        <w:rFonts w:hint="default"/>
        <w:lang w:val="en-US" w:eastAsia="en-US" w:bidi="ar-SA"/>
      </w:rPr>
    </w:lvl>
    <w:lvl w:ilvl="4" w:tplc="2D266E14">
      <w:numFmt w:val="bullet"/>
      <w:lvlText w:val="•"/>
      <w:lvlJc w:val="left"/>
      <w:pPr>
        <w:ind w:left="4768" w:hanging="227"/>
      </w:pPr>
      <w:rPr>
        <w:rFonts w:hint="default"/>
        <w:lang w:val="en-US" w:eastAsia="en-US" w:bidi="ar-SA"/>
      </w:rPr>
    </w:lvl>
    <w:lvl w:ilvl="5" w:tplc="69AA2BAA">
      <w:numFmt w:val="bullet"/>
      <w:lvlText w:val="•"/>
      <w:lvlJc w:val="left"/>
      <w:pPr>
        <w:ind w:left="5958" w:hanging="227"/>
      </w:pPr>
      <w:rPr>
        <w:rFonts w:hint="default"/>
        <w:lang w:val="en-US" w:eastAsia="en-US" w:bidi="ar-SA"/>
      </w:rPr>
    </w:lvl>
    <w:lvl w:ilvl="6" w:tplc="67ACAC4C">
      <w:numFmt w:val="bullet"/>
      <w:lvlText w:val="•"/>
      <w:lvlJc w:val="left"/>
      <w:pPr>
        <w:ind w:left="7147" w:hanging="227"/>
      </w:pPr>
      <w:rPr>
        <w:rFonts w:hint="default"/>
        <w:lang w:val="en-US" w:eastAsia="en-US" w:bidi="ar-SA"/>
      </w:rPr>
    </w:lvl>
    <w:lvl w:ilvl="7" w:tplc="538A68AE">
      <w:numFmt w:val="bullet"/>
      <w:lvlText w:val="•"/>
      <w:lvlJc w:val="left"/>
      <w:pPr>
        <w:ind w:left="8337" w:hanging="227"/>
      </w:pPr>
      <w:rPr>
        <w:rFonts w:hint="default"/>
        <w:lang w:val="en-US" w:eastAsia="en-US" w:bidi="ar-SA"/>
      </w:rPr>
    </w:lvl>
    <w:lvl w:ilvl="8" w:tplc="6FF69E5E">
      <w:numFmt w:val="bullet"/>
      <w:lvlText w:val="•"/>
      <w:lvlJc w:val="left"/>
      <w:pPr>
        <w:ind w:left="9526" w:hanging="227"/>
      </w:pPr>
      <w:rPr>
        <w:rFonts w:hint="default"/>
        <w:lang w:val="en-US" w:eastAsia="en-US" w:bidi="ar-SA"/>
      </w:rPr>
    </w:lvl>
  </w:abstractNum>
  <w:abstractNum w:abstractNumId="37" w15:restartNumberingAfterBreak="0">
    <w:nsid w:val="5FCF570A"/>
    <w:multiLevelType w:val="multilevel"/>
    <w:tmpl w:val="A2288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00F5BBA"/>
    <w:multiLevelType w:val="hybridMultilevel"/>
    <w:tmpl w:val="6804BF08"/>
    <w:lvl w:ilvl="0" w:tplc="6696FC42">
      <w:start w:val="1"/>
      <w:numFmt w:val="bullet"/>
      <w:lvlText w:val=""/>
      <w:lvlJc w:val="left"/>
      <w:pPr>
        <w:ind w:left="720" w:hanging="360"/>
      </w:pPr>
      <w:rPr>
        <w:rFonts w:ascii="Symbol" w:hAnsi="Symbol" w:hint="default"/>
        <w:color w:val="009FE3"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596C7F"/>
    <w:multiLevelType w:val="multilevel"/>
    <w:tmpl w:val="813C5054"/>
    <w:numStyleLink w:val="CEAppendixNumberedHeadings"/>
  </w:abstractNum>
  <w:abstractNum w:abstractNumId="40" w15:restartNumberingAfterBreak="0">
    <w:nsid w:val="6B1727C5"/>
    <w:multiLevelType w:val="multilevel"/>
    <w:tmpl w:val="813C5054"/>
    <w:numStyleLink w:val="CEAppendixNumberedHeadings"/>
  </w:abstractNum>
  <w:abstractNum w:abstractNumId="41" w15:restartNumberingAfterBreak="0">
    <w:nsid w:val="6C1350A3"/>
    <w:multiLevelType w:val="multilevel"/>
    <w:tmpl w:val="813C5054"/>
    <w:numStyleLink w:val="CEAppendixNumberedHeadings"/>
  </w:abstractNum>
  <w:abstractNum w:abstractNumId="42" w15:restartNumberingAfterBreak="0">
    <w:nsid w:val="708E4104"/>
    <w:multiLevelType w:val="hybridMultilevel"/>
    <w:tmpl w:val="F8B013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7C462A0"/>
    <w:multiLevelType w:val="hybridMultilevel"/>
    <w:tmpl w:val="C0E0E462"/>
    <w:lvl w:ilvl="0" w:tplc="3FA4CE52">
      <w:start w:val="1"/>
      <w:numFmt w:val="bullet"/>
      <w:lvlText w:val=""/>
      <w:lvlJc w:val="left"/>
      <w:pPr>
        <w:ind w:left="720" w:hanging="360"/>
      </w:pPr>
      <w:rPr>
        <w:rFonts w:ascii="Symbol" w:hAnsi="Symbol"/>
      </w:rPr>
    </w:lvl>
    <w:lvl w:ilvl="1" w:tplc="9A5E8618">
      <w:start w:val="1"/>
      <w:numFmt w:val="bullet"/>
      <w:lvlText w:val=""/>
      <w:lvlJc w:val="left"/>
      <w:pPr>
        <w:ind w:left="720" w:hanging="360"/>
      </w:pPr>
      <w:rPr>
        <w:rFonts w:ascii="Symbol" w:hAnsi="Symbol"/>
      </w:rPr>
    </w:lvl>
    <w:lvl w:ilvl="2" w:tplc="DE748454">
      <w:start w:val="1"/>
      <w:numFmt w:val="bullet"/>
      <w:lvlText w:val=""/>
      <w:lvlJc w:val="left"/>
      <w:pPr>
        <w:ind w:left="720" w:hanging="360"/>
      </w:pPr>
      <w:rPr>
        <w:rFonts w:ascii="Symbol" w:hAnsi="Symbol"/>
      </w:rPr>
    </w:lvl>
    <w:lvl w:ilvl="3" w:tplc="F24E242A">
      <w:start w:val="1"/>
      <w:numFmt w:val="bullet"/>
      <w:lvlText w:val=""/>
      <w:lvlJc w:val="left"/>
      <w:pPr>
        <w:ind w:left="720" w:hanging="360"/>
      </w:pPr>
      <w:rPr>
        <w:rFonts w:ascii="Symbol" w:hAnsi="Symbol"/>
      </w:rPr>
    </w:lvl>
    <w:lvl w:ilvl="4" w:tplc="B3FA0514">
      <w:start w:val="1"/>
      <w:numFmt w:val="bullet"/>
      <w:lvlText w:val=""/>
      <w:lvlJc w:val="left"/>
      <w:pPr>
        <w:ind w:left="720" w:hanging="360"/>
      </w:pPr>
      <w:rPr>
        <w:rFonts w:ascii="Symbol" w:hAnsi="Symbol"/>
      </w:rPr>
    </w:lvl>
    <w:lvl w:ilvl="5" w:tplc="0EECEF56">
      <w:start w:val="1"/>
      <w:numFmt w:val="bullet"/>
      <w:lvlText w:val=""/>
      <w:lvlJc w:val="left"/>
      <w:pPr>
        <w:ind w:left="720" w:hanging="360"/>
      </w:pPr>
      <w:rPr>
        <w:rFonts w:ascii="Symbol" w:hAnsi="Symbol"/>
      </w:rPr>
    </w:lvl>
    <w:lvl w:ilvl="6" w:tplc="52B8D1E0">
      <w:start w:val="1"/>
      <w:numFmt w:val="bullet"/>
      <w:lvlText w:val=""/>
      <w:lvlJc w:val="left"/>
      <w:pPr>
        <w:ind w:left="720" w:hanging="360"/>
      </w:pPr>
      <w:rPr>
        <w:rFonts w:ascii="Symbol" w:hAnsi="Symbol"/>
      </w:rPr>
    </w:lvl>
    <w:lvl w:ilvl="7" w:tplc="02C6E59C">
      <w:start w:val="1"/>
      <w:numFmt w:val="bullet"/>
      <w:lvlText w:val=""/>
      <w:lvlJc w:val="left"/>
      <w:pPr>
        <w:ind w:left="720" w:hanging="360"/>
      </w:pPr>
      <w:rPr>
        <w:rFonts w:ascii="Symbol" w:hAnsi="Symbol"/>
      </w:rPr>
    </w:lvl>
    <w:lvl w:ilvl="8" w:tplc="46EEA14C">
      <w:start w:val="1"/>
      <w:numFmt w:val="bullet"/>
      <w:lvlText w:val=""/>
      <w:lvlJc w:val="left"/>
      <w:pPr>
        <w:ind w:left="720" w:hanging="360"/>
      </w:pPr>
      <w:rPr>
        <w:rFonts w:ascii="Symbol" w:hAnsi="Symbol"/>
      </w:rPr>
    </w:lvl>
  </w:abstractNum>
  <w:abstractNum w:abstractNumId="44" w15:restartNumberingAfterBreak="0">
    <w:nsid w:val="790B5EB7"/>
    <w:multiLevelType w:val="multilevel"/>
    <w:tmpl w:val="1AEC50B0"/>
    <w:numStyleLink w:val="CENumberedHeadings"/>
  </w:abstractNum>
  <w:abstractNum w:abstractNumId="45" w15:restartNumberingAfterBreak="0">
    <w:nsid w:val="790C19AB"/>
    <w:multiLevelType w:val="hybridMultilevel"/>
    <w:tmpl w:val="E1B45EEE"/>
    <w:lvl w:ilvl="0" w:tplc="6696FC42">
      <w:start w:val="1"/>
      <w:numFmt w:val="bullet"/>
      <w:lvlText w:val=""/>
      <w:lvlJc w:val="left"/>
      <w:pPr>
        <w:ind w:left="720" w:hanging="360"/>
      </w:pPr>
      <w:rPr>
        <w:rFonts w:ascii="Symbol" w:hAnsi="Symbol" w:hint="default"/>
        <w:color w:val="009FE3" w:themeColor="accent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6" w15:restartNumberingAfterBreak="0">
    <w:nsid w:val="7EC532CF"/>
    <w:multiLevelType w:val="hybridMultilevel"/>
    <w:tmpl w:val="EE12AFEC"/>
    <w:lvl w:ilvl="0" w:tplc="6038D5E8">
      <w:start w:val="1"/>
      <w:numFmt w:val="bullet"/>
      <w:lvlText w:val=""/>
      <w:lvlJc w:val="left"/>
      <w:pPr>
        <w:ind w:left="720" w:hanging="360"/>
      </w:pPr>
      <w:rPr>
        <w:rFonts w:ascii="Symbol" w:hAnsi="Symbol"/>
      </w:rPr>
    </w:lvl>
    <w:lvl w:ilvl="1" w:tplc="B1489FFA">
      <w:start w:val="1"/>
      <w:numFmt w:val="bullet"/>
      <w:lvlText w:val=""/>
      <w:lvlJc w:val="left"/>
      <w:pPr>
        <w:ind w:left="720" w:hanging="360"/>
      </w:pPr>
      <w:rPr>
        <w:rFonts w:ascii="Symbol" w:hAnsi="Symbol"/>
      </w:rPr>
    </w:lvl>
    <w:lvl w:ilvl="2" w:tplc="CABC0FB2">
      <w:start w:val="1"/>
      <w:numFmt w:val="bullet"/>
      <w:lvlText w:val=""/>
      <w:lvlJc w:val="left"/>
      <w:pPr>
        <w:ind w:left="720" w:hanging="360"/>
      </w:pPr>
      <w:rPr>
        <w:rFonts w:ascii="Symbol" w:hAnsi="Symbol"/>
      </w:rPr>
    </w:lvl>
    <w:lvl w:ilvl="3" w:tplc="9502F42A">
      <w:start w:val="1"/>
      <w:numFmt w:val="bullet"/>
      <w:lvlText w:val=""/>
      <w:lvlJc w:val="left"/>
      <w:pPr>
        <w:ind w:left="720" w:hanging="360"/>
      </w:pPr>
      <w:rPr>
        <w:rFonts w:ascii="Symbol" w:hAnsi="Symbol"/>
      </w:rPr>
    </w:lvl>
    <w:lvl w:ilvl="4" w:tplc="9850D408">
      <w:start w:val="1"/>
      <w:numFmt w:val="bullet"/>
      <w:lvlText w:val=""/>
      <w:lvlJc w:val="left"/>
      <w:pPr>
        <w:ind w:left="720" w:hanging="360"/>
      </w:pPr>
      <w:rPr>
        <w:rFonts w:ascii="Symbol" w:hAnsi="Symbol"/>
      </w:rPr>
    </w:lvl>
    <w:lvl w:ilvl="5" w:tplc="D350626E">
      <w:start w:val="1"/>
      <w:numFmt w:val="bullet"/>
      <w:lvlText w:val=""/>
      <w:lvlJc w:val="left"/>
      <w:pPr>
        <w:ind w:left="720" w:hanging="360"/>
      </w:pPr>
      <w:rPr>
        <w:rFonts w:ascii="Symbol" w:hAnsi="Symbol"/>
      </w:rPr>
    </w:lvl>
    <w:lvl w:ilvl="6" w:tplc="86A84978">
      <w:start w:val="1"/>
      <w:numFmt w:val="bullet"/>
      <w:lvlText w:val=""/>
      <w:lvlJc w:val="left"/>
      <w:pPr>
        <w:ind w:left="720" w:hanging="360"/>
      </w:pPr>
      <w:rPr>
        <w:rFonts w:ascii="Symbol" w:hAnsi="Symbol"/>
      </w:rPr>
    </w:lvl>
    <w:lvl w:ilvl="7" w:tplc="17068DCE">
      <w:start w:val="1"/>
      <w:numFmt w:val="bullet"/>
      <w:lvlText w:val=""/>
      <w:lvlJc w:val="left"/>
      <w:pPr>
        <w:ind w:left="720" w:hanging="360"/>
      </w:pPr>
      <w:rPr>
        <w:rFonts w:ascii="Symbol" w:hAnsi="Symbol"/>
      </w:rPr>
    </w:lvl>
    <w:lvl w:ilvl="8" w:tplc="AAAC1D1E">
      <w:start w:val="1"/>
      <w:numFmt w:val="bullet"/>
      <w:lvlText w:val=""/>
      <w:lvlJc w:val="left"/>
      <w:pPr>
        <w:ind w:left="720" w:hanging="360"/>
      </w:pPr>
      <w:rPr>
        <w:rFonts w:ascii="Symbol" w:hAnsi="Symbol"/>
      </w:rPr>
    </w:lvl>
  </w:abstractNum>
  <w:num w:numId="1" w16cid:durableId="66802394">
    <w:abstractNumId w:val="36"/>
  </w:num>
  <w:num w:numId="2" w16cid:durableId="971786534">
    <w:abstractNumId w:val="21"/>
  </w:num>
  <w:num w:numId="3" w16cid:durableId="1194883699">
    <w:abstractNumId w:val="19"/>
  </w:num>
  <w:num w:numId="4" w16cid:durableId="409472602">
    <w:abstractNumId w:val="23"/>
  </w:num>
  <w:num w:numId="5" w16cid:durableId="2661266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06396584">
    <w:abstractNumId w:val="9"/>
  </w:num>
  <w:num w:numId="7" w16cid:durableId="1671639741">
    <w:abstractNumId w:val="7"/>
  </w:num>
  <w:num w:numId="8" w16cid:durableId="492111159">
    <w:abstractNumId w:val="6"/>
  </w:num>
  <w:num w:numId="9" w16cid:durableId="454099276">
    <w:abstractNumId w:val="5"/>
  </w:num>
  <w:num w:numId="10" w16cid:durableId="256671722">
    <w:abstractNumId w:val="4"/>
  </w:num>
  <w:num w:numId="11" w16cid:durableId="2077891171">
    <w:abstractNumId w:val="8"/>
  </w:num>
  <w:num w:numId="12" w16cid:durableId="1314985658">
    <w:abstractNumId w:val="3"/>
  </w:num>
  <w:num w:numId="13" w16cid:durableId="405957763">
    <w:abstractNumId w:val="2"/>
  </w:num>
  <w:num w:numId="14" w16cid:durableId="1737312613">
    <w:abstractNumId w:val="1"/>
  </w:num>
  <w:num w:numId="15" w16cid:durableId="1132477640">
    <w:abstractNumId w:val="0"/>
  </w:num>
  <w:num w:numId="16" w16cid:durableId="1052195509">
    <w:abstractNumId w:val="10"/>
  </w:num>
  <w:num w:numId="17" w16cid:durableId="1967924934">
    <w:abstractNumId w:val="27"/>
  </w:num>
  <w:num w:numId="18" w16cid:durableId="915898056">
    <w:abstractNumId w:val="32"/>
  </w:num>
  <w:num w:numId="19" w16cid:durableId="254830471">
    <w:abstractNumId w:val="41"/>
  </w:num>
  <w:num w:numId="20" w16cid:durableId="972171055">
    <w:abstractNumId w:val="40"/>
  </w:num>
  <w:num w:numId="21" w16cid:durableId="1756823556">
    <w:abstractNumId w:val="35"/>
  </w:num>
  <w:num w:numId="22" w16cid:durableId="1535384566">
    <w:abstractNumId w:val="35"/>
    <w:lvlOverride w:ilvl="0">
      <w:startOverride w:val="1"/>
    </w:lvlOverride>
    <w:lvlOverride w:ilvl="1">
      <w:startOverride w:val="1"/>
    </w:lvlOverride>
    <w:lvlOverride w:ilvl="2">
      <w:startOverride w:val="1"/>
    </w:lvlOverride>
    <w:lvlOverride w:ilvl="3"/>
    <w:lvlOverride w:ilvl="4"/>
    <w:lvlOverride w:ilvl="5"/>
    <w:lvlOverride w:ilvl="6">
      <w:startOverride w:val="1"/>
    </w:lvlOverride>
    <w:lvlOverride w:ilvl="7"/>
    <w:lvlOverride w:ilvl="8"/>
  </w:num>
  <w:num w:numId="23" w16cid:durableId="420764672">
    <w:abstractNumId w:val="25"/>
  </w:num>
  <w:num w:numId="24" w16cid:durableId="519666501">
    <w:abstractNumId w:val="30"/>
  </w:num>
  <w:num w:numId="25" w16cid:durableId="1920358428">
    <w:abstractNumId w:val="44"/>
  </w:num>
  <w:num w:numId="26" w16cid:durableId="1997109531">
    <w:abstractNumId w:val="34"/>
  </w:num>
  <w:num w:numId="27" w16cid:durableId="1294749139">
    <w:abstractNumId w:val="39"/>
  </w:num>
  <w:num w:numId="28" w16cid:durableId="1056204918">
    <w:abstractNumId w:val="33"/>
  </w:num>
  <w:num w:numId="29" w16cid:durableId="2461538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33372094">
    <w:abstractNumId w:val="17"/>
  </w:num>
  <w:num w:numId="31" w16cid:durableId="711154576">
    <w:abstractNumId w:val="46"/>
  </w:num>
  <w:num w:numId="32" w16cid:durableId="702943241">
    <w:abstractNumId w:val="16"/>
  </w:num>
  <w:num w:numId="33" w16cid:durableId="218639980">
    <w:abstractNumId w:val="28"/>
  </w:num>
  <w:num w:numId="34" w16cid:durableId="1743990220">
    <w:abstractNumId w:val="22"/>
  </w:num>
  <w:num w:numId="35" w16cid:durableId="1192298536">
    <w:abstractNumId w:val="20"/>
  </w:num>
  <w:num w:numId="36" w16cid:durableId="441648661">
    <w:abstractNumId w:val="26"/>
  </w:num>
  <w:num w:numId="37" w16cid:durableId="2005470093">
    <w:abstractNumId w:val="18"/>
  </w:num>
  <w:num w:numId="38" w16cid:durableId="751663225">
    <w:abstractNumId w:val="43"/>
  </w:num>
  <w:num w:numId="39" w16cid:durableId="1326350226">
    <w:abstractNumId w:val="29"/>
  </w:num>
  <w:num w:numId="40" w16cid:durableId="706106631">
    <w:abstractNumId w:val="15"/>
  </w:num>
  <w:num w:numId="41" w16cid:durableId="1436435457">
    <w:abstractNumId w:val="13"/>
  </w:num>
  <w:num w:numId="42" w16cid:durableId="34551493">
    <w:abstractNumId w:val="42"/>
  </w:num>
  <w:num w:numId="43" w16cid:durableId="2006588189">
    <w:abstractNumId w:val="45"/>
  </w:num>
  <w:num w:numId="44" w16cid:durableId="210650325">
    <w:abstractNumId w:val="38"/>
  </w:num>
  <w:num w:numId="45" w16cid:durableId="227348335">
    <w:abstractNumId w:val="12"/>
  </w:num>
  <w:num w:numId="46" w16cid:durableId="2046296426">
    <w:abstractNumId w:val="37"/>
  </w:num>
  <w:num w:numId="47" w16cid:durableId="1071536330">
    <w:abstractNumId w:val="24"/>
  </w:num>
  <w:num w:numId="48" w16cid:durableId="322978222">
    <w:abstractNumId w:val="11"/>
  </w:num>
  <w:num w:numId="49" w16cid:durableId="545263885">
    <w:abstractNumId w:val="31"/>
  </w:num>
  <w:num w:numId="50" w16cid:durableId="132304905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1"/>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25A"/>
    <w:rsid w:val="00000028"/>
    <w:rsid w:val="000015CC"/>
    <w:rsid w:val="00001891"/>
    <w:rsid w:val="000024CF"/>
    <w:rsid w:val="000026B3"/>
    <w:rsid w:val="000029FD"/>
    <w:rsid w:val="00002DA8"/>
    <w:rsid w:val="00003D33"/>
    <w:rsid w:val="000044E7"/>
    <w:rsid w:val="000058F2"/>
    <w:rsid w:val="00010A7F"/>
    <w:rsid w:val="000136E9"/>
    <w:rsid w:val="00014DFF"/>
    <w:rsid w:val="000157A0"/>
    <w:rsid w:val="000163D1"/>
    <w:rsid w:val="00016C73"/>
    <w:rsid w:val="00016E17"/>
    <w:rsid w:val="00017110"/>
    <w:rsid w:val="00020CE7"/>
    <w:rsid w:val="0002149C"/>
    <w:rsid w:val="00022007"/>
    <w:rsid w:val="00022C73"/>
    <w:rsid w:val="00022CA2"/>
    <w:rsid w:val="00022E4E"/>
    <w:rsid w:val="000235BC"/>
    <w:rsid w:val="00024A1D"/>
    <w:rsid w:val="00024C92"/>
    <w:rsid w:val="000259ED"/>
    <w:rsid w:val="00026475"/>
    <w:rsid w:val="00031D95"/>
    <w:rsid w:val="00031FD4"/>
    <w:rsid w:val="00032D26"/>
    <w:rsid w:val="00033369"/>
    <w:rsid w:val="00033429"/>
    <w:rsid w:val="00033685"/>
    <w:rsid w:val="000338E9"/>
    <w:rsid w:val="00033FFA"/>
    <w:rsid w:val="00036880"/>
    <w:rsid w:val="00037F2D"/>
    <w:rsid w:val="000402B9"/>
    <w:rsid w:val="0004035E"/>
    <w:rsid w:val="00040AFE"/>
    <w:rsid w:val="00042354"/>
    <w:rsid w:val="00042FDD"/>
    <w:rsid w:val="00044277"/>
    <w:rsid w:val="00045CBA"/>
    <w:rsid w:val="00046889"/>
    <w:rsid w:val="00046FCD"/>
    <w:rsid w:val="0004725A"/>
    <w:rsid w:val="00047C22"/>
    <w:rsid w:val="00047E37"/>
    <w:rsid w:val="000502EE"/>
    <w:rsid w:val="00050C0E"/>
    <w:rsid w:val="00051218"/>
    <w:rsid w:val="0005131E"/>
    <w:rsid w:val="00051971"/>
    <w:rsid w:val="00051EE0"/>
    <w:rsid w:val="00051F51"/>
    <w:rsid w:val="00052C65"/>
    <w:rsid w:val="00052DEF"/>
    <w:rsid w:val="0005314C"/>
    <w:rsid w:val="0005341E"/>
    <w:rsid w:val="00053D4D"/>
    <w:rsid w:val="00055D7B"/>
    <w:rsid w:val="000564BB"/>
    <w:rsid w:val="00060B67"/>
    <w:rsid w:val="00062404"/>
    <w:rsid w:val="000628A0"/>
    <w:rsid w:val="0006374E"/>
    <w:rsid w:val="00063F1E"/>
    <w:rsid w:val="00064D91"/>
    <w:rsid w:val="00064FFB"/>
    <w:rsid w:val="00065053"/>
    <w:rsid w:val="00065B77"/>
    <w:rsid w:val="00067005"/>
    <w:rsid w:val="00067588"/>
    <w:rsid w:val="00067707"/>
    <w:rsid w:val="0007168F"/>
    <w:rsid w:val="00073700"/>
    <w:rsid w:val="00073765"/>
    <w:rsid w:val="00073B4D"/>
    <w:rsid w:val="00075D99"/>
    <w:rsid w:val="0007689D"/>
    <w:rsid w:val="00076CD4"/>
    <w:rsid w:val="00077712"/>
    <w:rsid w:val="0008000F"/>
    <w:rsid w:val="00080946"/>
    <w:rsid w:val="00081717"/>
    <w:rsid w:val="00081B72"/>
    <w:rsid w:val="00082A30"/>
    <w:rsid w:val="00084ED1"/>
    <w:rsid w:val="00086A53"/>
    <w:rsid w:val="00087EB8"/>
    <w:rsid w:val="000900F5"/>
    <w:rsid w:val="0009255E"/>
    <w:rsid w:val="00093623"/>
    <w:rsid w:val="0009362B"/>
    <w:rsid w:val="000950BE"/>
    <w:rsid w:val="00096199"/>
    <w:rsid w:val="000977FC"/>
    <w:rsid w:val="000A01B8"/>
    <w:rsid w:val="000A0777"/>
    <w:rsid w:val="000A08B1"/>
    <w:rsid w:val="000A1900"/>
    <w:rsid w:val="000A1A91"/>
    <w:rsid w:val="000A27A7"/>
    <w:rsid w:val="000A486A"/>
    <w:rsid w:val="000A56A4"/>
    <w:rsid w:val="000A5B6C"/>
    <w:rsid w:val="000A5BD3"/>
    <w:rsid w:val="000A6AD2"/>
    <w:rsid w:val="000A7917"/>
    <w:rsid w:val="000B0A00"/>
    <w:rsid w:val="000B15E1"/>
    <w:rsid w:val="000B183E"/>
    <w:rsid w:val="000B1F12"/>
    <w:rsid w:val="000B2641"/>
    <w:rsid w:val="000B2CD9"/>
    <w:rsid w:val="000B4E1C"/>
    <w:rsid w:val="000B67DF"/>
    <w:rsid w:val="000B7EB6"/>
    <w:rsid w:val="000C0138"/>
    <w:rsid w:val="000C027F"/>
    <w:rsid w:val="000C19D1"/>
    <w:rsid w:val="000C1ACE"/>
    <w:rsid w:val="000C214E"/>
    <w:rsid w:val="000C3BB3"/>
    <w:rsid w:val="000C3FD4"/>
    <w:rsid w:val="000C44E1"/>
    <w:rsid w:val="000C5992"/>
    <w:rsid w:val="000C63B0"/>
    <w:rsid w:val="000C6CD7"/>
    <w:rsid w:val="000C71B2"/>
    <w:rsid w:val="000D0132"/>
    <w:rsid w:val="000D08DB"/>
    <w:rsid w:val="000D1A7B"/>
    <w:rsid w:val="000D1D6A"/>
    <w:rsid w:val="000D274C"/>
    <w:rsid w:val="000D31E5"/>
    <w:rsid w:val="000D4229"/>
    <w:rsid w:val="000D54EC"/>
    <w:rsid w:val="000D56B0"/>
    <w:rsid w:val="000D574C"/>
    <w:rsid w:val="000D5BBF"/>
    <w:rsid w:val="000D5C59"/>
    <w:rsid w:val="000D6A62"/>
    <w:rsid w:val="000D6F50"/>
    <w:rsid w:val="000D738D"/>
    <w:rsid w:val="000D764F"/>
    <w:rsid w:val="000D77C4"/>
    <w:rsid w:val="000E0C0B"/>
    <w:rsid w:val="000E298A"/>
    <w:rsid w:val="000E2FD7"/>
    <w:rsid w:val="000E4A8D"/>
    <w:rsid w:val="000E4C86"/>
    <w:rsid w:val="000E633C"/>
    <w:rsid w:val="000E677C"/>
    <w:rsid w:val="000E75C8"/>
    <w:rsid w:val="000F02E6"/>
    <w:rsid w:val="000F03B4"/>
    <w:rsid w:val="000F271D"/>
    <w:rsid w:val="000F28B6"/>
    <w:rsid w:val="000F418C"/>
    <w:rsid w:val="000F44DB"/>
    <w:rsid w:val="000F4CBF"/>
    <w:rsid w:val="000F6915"/>
    <w:rsid w:val="000F6A32"/>
    <w:rsid w:val="000F7AD1"/>
    <w:rsid w:val="00100266"/>
    <w:rsid w:val="0010189F"/>
    <w:rsid w:val="001024FC"/>
    <w:rsid w:val="00102854"/>
    <w:rsid w:val="00102AF3"/>
    <w:rsid w:val="0010431C"/>
    <w:rsid w:val="00104C28"/>
    <w:rsid w:val="00104E2C"/>
    <w:rsid w:val="0010538D"/>
    <w:rsid w:val="00105410"/>
    <w:rsid w:val="00105603"/>
    <w:rsid w:val="00105BA9"/>
    <w:rsid w:val="00105F8D"/>
    <w:rsid w:val="00106894"/>
    <w:rsid w:val="00107660"/>
    <w:rsid w:val="00107ACF"/>
    <w:rsid w:val="00110E99"/>
    <w:rsid w:val="00112944"/>
    <w:rsid w:val="0011341C"/>
    <w:rsid w:val="001134DC"/>
    <w:rsid w:val="00113FB7"/>
    <w:rsid w:val="00114066"/>
    <w:rsid w:val="0011423A"/>
    <w:rsid w:val="00116FE5"/>
    <w:rsid w:val="00120667"/>
    <w:rsid w:val="0012291F"/>
    <w:rsid w:val="00123E16"/>
    <w:rsid w:val="00124761"/>
    <w:rsid w:val="001247EE"/>
    <w:rsid w:val="00124D13"/>
    <w:rsid w:val="001258D1"/>
    <w:rsid w:val="00125B2E"/>
    <w:rsid w:val="00125D5A"/>
    <w:rsid w:val="0012765C"/>
    <w:rsid w:val="00127681"/>
    <w:rsid w:val="001322F0"/>
    <w:rsid w:val="00132761"/>
    <w:rsid w:val="00133570"/>
    <w:rsid w:val="00133C9F"/>
    <w:rsid w:val="0013422B"/>
    <w:rsid w:val="00135012"/>
    <w:rsid w:val="0013530B"/>
    <w:rsid w:val="0013532A"/>
    <w:rsid w:val="00135D64"/>
    <w:rsid w:val="00136072"/>
    <w:rsid w:val="0013643E"/>
    <w:rsid w:val="001378F7"/>
    <w:rsid w:val="00140D5F"/>
    <w:rsid w:val="001416A3"/>
    <w:rsid w:val="00141E6F"/>
    <w:rsid w:val="00142A50"/>
    <w:rsid w:val="00143EB3"/>
    <w:rsid w:val="001442C3"/>
    <w:rsid w:val="0014451C"/>
    <w:rsid w:val="0014471C"/>
    <w:rsid w:val="00144830"/>
    <w:rsid w:val="00144C7B"/>
    <w:rsid w:val="0014534D"/>
    <w:rsid w:val="00145F6A"/>
    <w:rsid w:val="001463AB"/>
    <w:rsid w:val="0014640A"/>
    <w:rsid w:val="0014642A"/>
    <w:rsid w:val="0014674D"/>
    <w:rsid w:val="001477F9"/>
    <w:rsid w:val="00147CCA"/>
    <w:rsid w:val="00150140"/>
    <w:rsid w:val="00150A5E"/>
    <w:rsid w:val="00151CFD"/>
    <w:rsid w:val="00152C0B"/>
    <w:rsid w:val="00153FA4"/>
    <w:rsid w:val="001544F6"/>
    <w:rsid w:val="0015484D"/>
    <w:rsid w:val="00155147"/>
    <w:rsid w:val="00155C68"/>
    <w:rsid w:val="00155E03"/>
    <w:rsid w:val="00156E0C"/>
    <w:rsid w:val="00156F18"/>
    <w:rsid w:val="00160A8B"/>
    <w:rsid w:val="00160E20"/>
    <w:rsid w:val="001622DC"/>
    <w:rsid w:val="001628F4"/>
    <w:rsid w:val="001642C4"/>
    <w:rsid w:val="00164C8F"/>
    <w:rsid w:val="00165843"/>
    <w:rsid w:val="00166520"/>
    <w:rsid w:val="001671C1"/>
    <w:rsid w:val="00170A74"/>
    <w:rsid w:val="00170DD8"/>
    <w:rsid w:val="00171E8E"/>
    <w:rsid w:val="001720B4"/>
    <w:rsid w:val="00172EC7"/>
    <w:rsid w:val="00173548"/>
    <w:rsid w:val="00173B2A"/>
    <w:rsid w:val="001747C2"/>
    <w:rsid w:val="001752ED"/>
    <w:rsid w:val="0017580F"/>
    <w:rsid w:val="00175ACC"/>
    <w:rsid w:val="0017661F"/>
    <w:rsid w:val="00176C6E"/>
    <w:rsid w:val="00176E8B"/>
    <w:rsid w:val="00180CE4"/>
    <w:rsid w:val="00181ED0"/>
    <w:rsid w:val="00182529"/>
    <w:rsid w:val="00183911"/>
    <w:rsid w:val="00183935"/>
    <w:rsid w:val="001839BC"/>
    <w:rsid w:val="00183E1E"/>
    <w:rsid w:val="001840D1"/>
    <w:rsid w:val="001844E4"/>
    <w:rsid w:val="00185547"/>
    <w:rsid w:val="00185D12"/>
    <w:rsid w:val="001876D6"/>
    <w:rsid w:val="00187B79"/>
    <w:rsid w:val="00191B41"/>
    <w:rsid w:val="001921B7"/>
    <w:rsid w:val="0019319C"/>
    <w:rsid w:val="001938C6"/>
    <w:rsid w:val="001938CC"/>
    <w:rsid w:val="001946F1"/>
    <w:rsid w:val="001949EB"/>
    <w:rsid w:val="00195A34"/>
    <w:rsid w:val="00196A74"/>
    <w:rsid w:val="001972F7"/>
    <w:rsid w:val="001A02C5"/>
    <w:rsid w:val="001A1150"/>
    <w:rsid w:val="001A142C"/>
    <w:rsid w:val="001A27B8"/>
    <w:rsid w:val="001A32D8"/>
    <w:rsid w:val="001A464F"/>
    <w:rsid w:val="001A4F66"/>
    <w:rsid w:val="001A50F7"/>
    <w:rsid w:val="001A5EBC"/>
    <w:rsid w:val="001A7A4F"/>
    <w:rsid w:val="001B03F4"/>
    <w:rsid w:val="001B0D89"/>
    <w:rsid w:val="001B27C4"/>
    <w:rsid w:val="001B3D48"/>
    <w:rsid w:val="001B4A10"/>
    <w:rsid w:val="001B4F8B"/>
    <w:rsid w:val="001B62C4"/>
    <w:rsid w:val="001B7A2B"/>
    <w:rsid w:val="001C042B"/>
    <w:rsid w:val="001C0477"/>
    <w:rsid w:val="001C072E"/>
    <w:rsid w:val="001C0746"/>
    <w:rsid w:val="001C133A"/>
    <w:rsid w:val="001C4048"/>
    <w:rsid w:val="001C4969"/>
    <w:rsid w:val="001D04B1"/>
    <w:rsid w:val="001D099B"/>
    <w:rsid w:val="001D0D5E"/>
    <w:rsid w:val="001D149E"/>
    <w:rsid w:val="001D1EA4"/>
    <w:rsid w:val="001D2B56"/>
    <w:rsid w:val="001D3389"/>
    <w:rsid w:val="001D370D"/>
    <w:rsid w:val="001D3A51"/>
    <w:rsid w:val="001D5267"/>
    <w:rsid w:val="001D578A"/>
    <w:rsid w:val="001D6CDE"/>
    <w:rsid w:val="001D702A"/>
    <w:rsid w:val="001E11B3"/>
    <w:rsid w:val="001E1429"/>
    <w:rsid w:val="001E284F"/>
    <w:rsid w:val="001E2E48"/>
    <w:rsid w:val="001E3C24"/>
    <w:rsid w:val="001E3DEE"/>
    <w:rsid w:val="001E483B"/>
    <w:rsid w:val="001E4B0C"/>
    <w:rsid w:val="001E4D3A"/>
    <w:rsid w:val="001E5483"/>
    <w:rsid w:val="001E5C97"/>
    <w:rsid w:val="001E67AE"/>
    <w:rsid w:val="001E703C"/>
    <w:rsid w:val="001F0924"/>
    <w:rsid w:val="001F0D67"/>
    <w:rsid w:val="001F12A9"/>
    <w:rsid w:val="001F1714"/>
    <w:rsid w:val="001F19D6"/>
    <w:rsid w:val="001F221D"/>
    <w:rsid w:val="001F24A5"/>
    <w:rsid w:val="001F27D5"/>
    <w:rsid w:val="001F36EA"/>
    <w:rsid w:val="001F3738"/>
    <w:rsid w:val="001F3A86"/>
    <w:rsid w:val="001F4BF4"/>
    <w:rsid w:val="001F4FD4"/>
    <w:rsid w:val="001F515C"/>
    <w:rsid w:val="001F5843"/>
    <w:rsid w:val="001F6B97"/>
    <w:rsid w:val="002000DE"/>
    <w:rsid w:val="00200FAC"/>
    <w:rsid w:val="002016AF"/>
    <w:rsid w:val="00201DB0"/>
    <w:rsid w:val="002029AB"/>
    <w:rsid w:val="00203CE3"/>
    <w:rsid w:val="0020420B"/>
    <w:rsid w:val="002066D0"/>
    <w:rsid w:val="002078D7"/>
    <w:rsid w:val="002118D3"/>
    <w:rsid w:val="0021445A"/>
    <w:rsid w:val="00214D4B"/>
    <w:rsid w:val="00215497"/>
    <w:rsid w:val="00216550"/>
    <w:rsid w:val="00216BA4"/>
    <w:rsid w:val="00216EF9"/>
    <w:rsid w:val="002171C3"/>
    <w:rsid w:val="0022028F"/>
    <w:rsid w:val="0022179E"/>
    <w:rsid w:val="00221923"/>
    <w:rsid w:val="0022314E"/>
    <w:rsid w:val="0022400A"/>
    <w:rsid w:val="002250CF"/>
    <w:rsid w:val="002251D1"/>
    <w:rsid w:val="00225601"/>
    <w:rsid w:val="0022637D"/>
    <w:rsid w:val="00226E5C"/>
    <w:rsid w:val="00227E5B"/>
    <w:rsid w:val="002304A3"/>
    <w:rsid w:val="002313E4"/>
    <w:rsid w:val="00231ECC"/>
    <w:rsid w:val="00235DFD"/>
    <w:rsid w:val="00236284"/>
    <w:rsid w:val="002368B0"/>
    <w:rsid w:val="002369E2"/>
    <w:rsid w:val="00236E56"/>
    <w:rsid w:val="00237129"/>
    <w:rsid w:val="00237175"/>
    <w:rsid w:val="00237528"/>
    <w:rsid w:val="0023797E"/>
    <w:rsid w:val="00237DBA"/>
    <w:rsid w:val="002400A8"/>
    <w:rsid w:val="00240A31"/>
    <w:rsid w:val="00240E4E"/>
    <w:rsid w:val="00241793"/>
    <w:rsid w:val="00243C79"/>
    <w:rsid w:val="00244014"/>
    <w:rsid w:val="0024415D"/>
    <w:rsid w:val="002445BA"/>
    <w:rsid w:val="00244BD7"/>
    <w:rsid w:val="00244BF6"/>
    <w:rsid w:val="00244C21"/>
    <w:rsid w:val="00245088"/>
    <w:rsid w:val="0024585E"/>
    <w:rsid w:val="0024719A"/>
    <w:rsid w:val="0024794B"/>
    <w:rsid w:val="00250B05"/>
    <w:rsid w:val="0025113B"/>
    <w:rsid w:val="00251AEE"/>
    <w:rsid w:val="00251FA3"/>
    <w:rsid w:val="00252A89"/>
    <w:rsid w:val="00255017"/>
    <w:rsid w:val="00255DD5"/>
    <w:rsid w:val="00255F49"/>
    <w:rsid w:val="00256581"/>
    <w:rsid w:val="00256729"/>
    <w:rsid w:val="002572F9"/>
    <w:rsid w:val="00257701"/>
    <w:rsid w:val="00257A49"/>
    <w:rsid w:val="00257CF9"/>
    <w:rsid w:val="00260850"/>
    <w:rsid w:val="002608B7"/>
    <w:rsid w:val="00260A1B"/>
    <w:rsid w:val="00260B1D"/>
    <w:rsid w:val="00260C1D"/>
    <w:rsid w:val="00261D73"/>
    <w:rsid w:val="00261E0C"/>
    <w:rsid w:val="002635A5"/>
    <w:rsid w:val="00263723"/>
    <w:rsid w:val="0026507B"/>
    <w:rsid w:val="002657F8"/>
    <w:rsid w:val="0026703A"/>
    <w:rsid w:val="00267EC4"/>
    <w:rsid w:val="00270D96"/>
    <w:rsid w:val="00270E6A"/>
    <w:rsid w:val="0027105E"/>
    <w:rsid w:val="002717EC"/>
    <w:rsid w:val="00271C39"/>
    <w:rsid w:val="00273263"/>
    <w:rsid w:val="00273B8C"/>
    <w:rsid w:val="002740A7"/>
    <w:rsid w:val="00275FD9"/>
    <w:rsid w:val="0027679F"/>
    <w:rsid w:val="002779BD"/>
    <w:rsid w:val="00280377"/>
    <w:rsid w:val="0028067F"/>
    <w:rsid w:val="00281335"/>
    <w:rsid w:val="00281764"/>
    <w:rsid w:val="00281BAD"/>
    <w:rsid w:val="00281D43"/>
    <w:rsid w:val="00282994"/>
    <w:rsid w:val="002843E5"/>
    <w:rsid w:val="00284D1A"/>
    <w:rsid w:val="00285DF8"/>
    <w:rsid w:val="00285EB1"/>
    <w:rsid w:val="00286FC6"/>
    <w:rsid w:val="00287110"/>
    <w:rsid w:val="00287A5C"/>
    <w:rsid w:val="00290CA4"/>
    <w:rsid w:val="00290D70"/>
    <w:rsid w:val="00291258"/>
    <w:rsid w:val="00292657"/>
    <w:rsid w:val="002927D7"/>
    <w:rsid w:val="00292A7C"/>
    <w:rsid w:val="00292CE6"/>
    <w:rsid w:val="00292D3B"/>
    <w:rsid w:val="00293839"/>
    <w:rsid w:val="00294FF0"/>
    <w:rsid w:val="002963DD"/>
    <w:rsid w:val="002A25D8"/>
    <w:rsid w:val="002A2993"/>
    <w:rsid w:val="002A2BC6"/>
    <w:rsid w:val="002A3462"/>
    <w:rsid w:val="002A387E"/>
    <w:rsid w:val="002A51EE"/>
    <w:rsid w:val="002A65D6"/>
    <w:rsid w:val="002A7AE9"/>
    <w:rsid w:val="002B022B"/>
    <w:rsid w:val="002B09C6"/>
    <w:rsid w:val="002B13BB"/>
    <w:rsid w:val="002B1DA3"/>
    <w:rsid w:val="002B2A92"/>
    <w:rsid w:val="002B3491"/>
    <w:rsid w:val="002B34D5"/>
    <w:rsid w:val="002B5A6C"/>
    <w:rsid w:val="002B67A2"/>
    <w:rsid w:val="002B6885"/>
    <w:rsid w:val="002B6CC7"/>
    <w:rsid w:val="002B79F6"/>
    <w:rsid w:val="002C00F6"/>
    <w:rsid w:val="002C0499"/>
    <w:rsid w:val="002C0D8C"/>
    <w:rsid w:val="002C13E1"/>
    <w:rsid w:val="002C1CCA"/>
    <w:rsid w:val="002C23E3"/>
    <w:rsid w:val="002C3F95"/>
    <w:rsid w:val="002C581D"/>
    <w:rsid w:val="002C650B"/>
    <w:rsid w:val="002C668B"/>
    <w:rsid w:val="002C6717"/>
    <w:rsid w:val="002C6892"/>
    <w:rsid w:val="002C712D"/>
    <w:rsid w:val="002D05CC"/>
    <w:rsid w:val="002D0B29"/>
    <w:rsid w:val="002D0B95"/>
    <w:rsid w:val="002D132A"/>
    <w:rsid w:val="002D1437"/>
    <w:rsid w:val="002D18D9"/>
    <w:rsid w:val="002D19E5"/>
    <w:rsid w:val="002D1B93"/>
    <w:rsid w:val="002D2918"/>
    <w:rsid w:val="002D2DFE"/>
    <w:rsid w:val="002D3DED"/>
    <w:rsid w:val="002D4510"/>
    <w:rsid w:val="002D4F62"/>
    <w:rsid w:val="002D716F"/>
    <w:rsid w:val="002E0236"/>
    <w:rsid w:val="002E0EEF"/>
    <w:rsid w:val="002E3DCB"/>
    <w:rsid w:val="002E4A81"/>
    <w:rsid w:val="002E6CA7"/>
    <w:rsid w:val="002E6E30"/>
    <w:rsid w:val="002F0972"/>
    <w:rsid w:val="002F09E3"/>
    <w:rsid w:val="002F1A22"/>
    <w:rsid w:val="002F2C53"/>
    <w:rsid w:val="002F4BFF"/>
    <w:rsid w:val="002F5E0D"/>
    <w:rsid w:val="002F6B50"/>
    <w:rsid w:val="002F776E"/>
    <w:rsid w:val="002F7B3A"/>
    <w:rsid w:val="002F7D0D"/>
    <w:rsid w:val="002F7E67"/>
    <w:rsid w:val="0030060B"/>
    <w:rsid w:val="003014DE"/>
    <w:rsid w:val="0030414B"/>
    <w:rsid w:val="003049F0"/>
    <w:rsid w:val="00305E0B"/>
    <w:rsid w:val="003076B9"/>
    <w:rsid w:val="00307744"/>
    <w:rsid w:val="00310A24"/>
    <w:rsid w:val="00311570"/>
    <w:rsid w:val="00312039"/>
    <w:rsid w:val="00313297"/>
    <w:rsid w:val="00313F45"/>
    <w:rsid w:val="00314531"/>
    <w:rsid w:val="00314595"/>
    <w:rsid w:val="003159F0"/>
    <w:rsid w:val="003161C9"/>
    <w:rsid w:val="00317154"/>
    <w:rsid w:val="003171F2"/>
    <w:rsid w:val="003174F8"/>
    <w:rsid w:val="00320A1A"/>
    <w:rsid w:val="00320E92"/>
    <w:rsid w:val="00321233"/>
    <w:rsid w:val="00321567"/>
    <w:rsid w:val="0032279C"/>
    <w:rsid w:val="00323942"/>
    <w:rsid w:val="003241D0"/>
    <w:rsid w:val="00324596"/>
    <w:rsid w:val="003253FF"/>
    <w:rsid w:val="00325F14"/>
    <w:rsid w:val="003266B3"/>
    <w:rsid w:val="0032730D"/>
    <w:rsid w:val="003276E5"/>
    <w:rsid w:val="003314C8"/>
    <w:rsid w:val="003349EE"/>
    <w:rsid w:val="00334D3F"/>
    <w:rsid w:val="003363F5"/>
    <w:rsid w:val="003364F5"/>
    <w:rsid w:val="0033726E"/>
    <w:rsid w:val="00337D02"/>
    <w:rsid w:val="00340006"/>
    <w:rsid w:val="00341690"/>
    <w:rsid w:val="00341E2B"/>
    <w:rsid w:val="00343102"/>
    <w:rsid w:val="003446BE"/>
    <w:rsid w:val="003454C4"/>
    <w:rsid w:val="00345A97"/>
    <w:rsid w:val="00345B75"/>
    <w:rsid w:val="00347076"/>
    <w:rsid w:val="0034730B"/>
    <w:rsid w:val="00347CC6"/>
    <w:rsid w:val="0035255A"/>
    <w:rsid w:val="00353A56"/>
    <w:rsid w:val="00354ECF"/>
    <w:rsid w:val="00355D50"/>
    <w:rsid w:val="00355FDC"/>
    <w:rsid w:val="003562DA"/>
    <w:rsid w:val="00357134"/>
    <w:rsid w:val="0035774B"/>
    <w:rsid w:val="00360170"/>
    <w:rsid w:val="00360532"/>
    <w:rsid w:val="00360E2B"/>
    <w:rsid w:val="00361106"/>
    <w:rsid w:val="003618CB"/>
    <w:rsid w:val="00362B7A"/>
    <w:rsid w:val="0036326F"/>
    <w:rsid w:val="00363A6D"/>
    <w:rsid w:val="003642AD"/>
    <w:rsid w:val="00364923"/>
    <w:rsid w:val="003660E3"/>
    <w:rsid w:val="003705F0"/>
    <w:rsid w:val="00371DF6"/>
    <w:rsid w:val="00372527"/>
    <w:rsid w:val="00372EC7"/>
    <w:rsid w:val="003754DF"/>
    <w:rsid w:val="00376356"/>
    <w:rsid w:val="00377191"/>
    <w:rsid w:val="003804E6"/>
    <w:rsid w:val="00382E3D"/>
    <w:rsid w:val="003839D6"/>
    <w:rsid w:val="00384712"/>
    <w:rsid w:val="00384C97"/>
    <w:rsid w:val="00385DAF"/>
    <w:rsid w:val="0038603B"/>
    <w:rsid w:val="003862CB"/>
    <w:rsid w:val="003869ED"/>
    <w:rsid w:val="0038725B"/>
    <w:rsid w:val="0038782E"/>
    <w:rsid w:val="003879C5"/>
    <w:rsid w:val="00387E7D"/>
    <w:rsid w:val="00390681"/>
    <w:rsid w:val="00390C9F"/>
    <w:rsid w:val="00390CC2"/>
    <w:rsid w:val="00391251"/>
    <w:rsid w:val="00392421"/>
    <w:rsid w:val="00392CF2"/>
    <w:rsid w:val="00393508"/>
    <w:rsid w:val="0039351E"/>
    <w:rsid w:val="00393719"/>
    <w:rsid w:val="0039455E"/>
    <w:rsid w:val="003949C9"/>
    <w:rsid w:val="003968F6"/>
    <w:rsid w:val="00397638"/>
    <w:rsid w:val="00397B37"/>
    <w:rsid w:val="003A1EB5"/>
    <w:rsid w:val="003A2C2D"/>
    <w:rsid w:val="003A3F93"/>
    <w:rsid w:val="003A480E"/>
    <w:rsid w:val="003A4915"/>
    <w:rsid w:val="003A4B4F"/>
    <w:rsid w:val="003A5A32"/>
    <w:rsid w:val="003A669C"/>
    <w:rsid w:val="003A730D"/>
    <w:rsid w:val="003A7A44"/>
    <w:rsid w:val="003A7EBD"/>
    <w:rsid w:val="003B0A49"/>
    <w:rsid w:val="003B0B41"/>
    <w:rsid w:val="003B0C2B"/>
    <w:rsid w:val="003B0DAC"/>
    <w:rsid w:val="003B16FB"/>
    <w:rsid w:val="003B1992"/>
    <w:rsid w:val="003B25AE"/>
    <w:rsid w:val="003B2963"/>
    <w:rsid w:val="003B2BFA"/>
    <w:rsid w:val="003B36D2"/>
    <w:rsid w:val="003B53CC"/>
    <w:rsid w:val="003B59E2"/>
    <w:rsid w:val="003B5FD0"/>
    <w:rsid w:val="003B6546"/>
    <w:rsid w:val="003B6FE3"/>
    <w:rsid w:val="003B78A5"/>
    <w:rsid w:val="003C065E"/>
    <w:rsid w:val="003C0A3D"/>
    <w:rsid w:val="003C0EB0"/>
    <w:rsid w:val="003C1C41"/>
    <w:rsid w:val="003C1D4C"/>
    <w:rsid w:val="003C2512"/>
    <w:rsid w:val="003C2559"/>
    <w:rsid w:val="003C25A3"/>
    <w:rsid w:val="003C290B"/>
    <w:rsid w:val="003C2F85"/>
    <w:rsid w:val="003C3630"/>
    <w:rsid w:val="003C3C18"/>
    <w:rsid w:val="003C3E66"/>
    <w:rsid w:val="003C5FE6"/>
    <w:rsid w:val="003C671D"/>
    <w:rsid w:val="003C6D32"/>
    <w:rsid w:val="003C6F4B"/>
    <w:rsid w:val="003C701E"/>
    <w:rsid w:val="003D0EC8"/>
    <w:rsid w:val="003D140D"/>
    <w:rsid w:val="003D18CD"/>
    <w:rsid w:val="003D237D"/>
    <w:rsid w:val="003D2899"/>
    <w:rsid w:val="003D331A"/>
    <w:rsid w:val="003D37DD"/>
    <w:rsid w:val="003D37DE"/>
    <w:rsid w:val="003D3C71"/>
    <w:rsid w:val="003D3E66"/>
    <w:rsid w:val="003D436F"/>
    <w:rsid w:val="003D5072"/>
    <w:rsid w:val="003D5569"/>
    <w:rsid w:val="003D5F35"/>
    <w:rsid w:val="003D6F47"/>
    <w:rsid w:val="003D7FE6"/>
    <w:rsid w:val="003E06D9"/>
    <w:rsid w:val="003E0A41"/>
    <w:rsid w:val="003E1000"/>
    <w:rsid w:val="003E20A8"/>
    <w:rsid w:val="003E311A"/>
    <w:rsid w:val="003E3256"/>
    <w:rsid w:val="003E37FD"/>
    <w:rsid w:val="003E4767"/>
    <w:rsid w:val="003E4DD7"/>
    <w:rsid w:val="003E4E3F"/>
    <w:rsid w:val="003E5581"/>
    <w:rsid w:val="003E5DE4"/>
    <w:rsid w:val="003E6BE8"/>
    <w:rsid w:val="003F276C"/>
    <w:rsid w:val="003F4A4A"/>
    <w:rsid w:val="003F4ED4"/>
    <w:rsid w:val="003F59B7"/>
    <w:rsid w:val="003F5CE2"/>
    <w:rsid w:val="003F62A0"/>
    <w:rsid w:val="003F63B9"/>
    <w:rsid w:val="003F6481"/>
    <w:rsid w:val="003F6BEA"/>
    <w:rsid w:val="003F6DE7"/>
    <w:rsid w:val="003F6E4D"/>
    <w:rsid w:val="003F75DF"/>
    <w:rsid w:val="003F7AA4"/>
    <w:rsid w:val="003F7DC4"/>
    <w:rsid w:val="00400D5D"/>
    <w:rsid w:val="00401865"/>
    <w:rsid w:val="004023C8"/>
    <w:rsid w:val="00402819"/>
    <w:rsid w:val="0040306A"/>
    <w:rsid w:val="0040378C"/>
    <w:rsid w:val="00404AF4"/>
    <w:rsid w:val="00404E2F"/>
    <w:rsid w:val="00404F3F"/>
    <w:rsid w:val="004054A0"/>
    <w:rsid w:val="004057EA"/>
    <w:rsid w:val="00406AFB"/>
    <w:rsid w:val="0041062F"/>
    <w:rsid w:val="00410E35"/>
    <w:rsid w:val="0041303A"/>
    <w:rsid w:val="004138B2"/>
    <w:rsid w:val="00414E93"/>
    <w:rsid w:val="00415229"/>
    <w:rsid w:val="0041605B"/>
    <w:rsid w:val="004163D4"/>
    <w:rsid w:val="00416F79"/>
    <w:rsid w:val="00417170"/>
    <w:rsid w:val="0041720F"/>
    <w:rsid w:val="00417E1E"/>
    <w:rsid w:val="004206D9"/>
    <w:rsid w:val="00420FC1"/>
    <w:rsid w:val="00421525"/>
    <w:rsid w:val="0042172C"/>
    <w:rsid w:val="00421CDA"/>
    <w:rsid w:val="00422116"/>
    <w:rsid w:val="00422535"/>
    <w:rsid w:val="00422E31"/>
    <w:rsid w:val="0042310F"/>
    <w:rsid w:val="0042375E"/>
    <w:rsid w:val="0042620A"/>
    <w:rsid w:val="00427DA2"/>
    <w:rsid w:val="0043161A"/>
    <w:rsid w:val="00432CA9"/>
    <w:rsid w:val="00433286"/>
    <w:rsid w:val="004338E3"/>
    <w:rsid w:val="00434C60"/>
    <w:rsid w:val="004353FF"/>
    <w:rsid w:val="004406B7"/>
    <w:rsid w:val="0044174D"/>
    <w:rsid w:val="00441A7A"/>
    <w:rsid w:val="00443D8C"/>
    <w:rsid w:val="00444DD9"/>
    <w:rsid w:val="00445F60"/>
    <w:rsid w:val="00446A17"/>
    <w:rsid w:val="00447E44"/>
    <w:rsid w:val="0045083C"/>
    <w:rsid w:val="004516D0"/>
    <w:rsid w:val="004528EE"/>
    <w:rsid w:val="00454971"/>
    <w:rsid w:val="00454BA2"/>
    <w:rsid w:val="00457587"/>
    <w:rsid w:val="00460DCE"/>
    <w:rsid w:val="00461424"/>
    <w:rsid w:val="004618A4"/>
    <w:rsid w:val="0046221D"/>
    <w:rsid w:val="00462431"/>
    <w:rsid w:val="00462746"/>
    <w:rsid w:val="00463161"/>
    <w:rsid w:val="004633BB"/>
    <w:rsid w:val="004669B4"/>
    <w:rsid w:val="00467108"/>
    <w:rsid w:val="00470065"/>
    <w:rsid w:val="004705C5"/>
    <w:rsid w:val="004706E4"/>
    <w:rsid w:val="004707F1"/>
    <w:rsid w:val="004708B2"/>
    <w:rsid w:val="004713A7"/>
    <w:rsid w:val="004713BA"/>
    <w:rsid w:val="00471C7A"/>
    <w:rsid w:val="004729F3"/>
    <w:rsid w:val="00472C31"/>
    <w:rsid w:val="00473362"/>
    <w:rsid w:val="00473D4D"/>
    <w:rsid w:val="00474522"/>
    <w:rsid w:val="0047595A"/>
    <w:rsid w:val="00475F8B"/>
    <w:rsid w:val="00476053"/>
    <w:rsid w:val="00476171"/>
    <w:rsid w:val="00476357"/>
    <w:rsid w:val="00480785"/>
    <w:rsid w:val="004808BE"/>
    <w:rsid w:val="00481324"/>
    <w:rsid w:val="00482202"/>
    <w:rsid w:val="00483192"/>
    <w:rsid w:val="004838E3"/>
    <w:rsid w:val="00484D89"/>
    <w:rsid w:val="00485546"/>
    <w:rsid w:val="004856A0"/>
    <w:rsid w:val="004862E0"/>
    <w:rsid w:val="00486AE6"/>
    <w:rsid w:val="004875EE"/>
    <w:rsid w:val="00490067"/>
    <w:rsid w:val="00491D47"/>
    <w:rsid w:val="004924F7"/>
    <w:rsid w:val="004933B4"/>
    <w:rsid w:val="00493EDB"/>
    <w:rsid w:val="0049446B"/>
    <w:rsid w:val="004950FC"/>
    <w:rsid w:val="0049513F"/>
    <w:rsid w:val="00495B94"/>
    <w:rsid w:val="00495CB7"/>
    <w:rsid w:val="00496D32"/>
    <w:rsid w:val="00496F60"/>
    <w:rsid w:val="004A0B2E"/>
    <w:rsid w:val="004A1EEA"/>
    <w:rsid w:val="004A20A1"/>
    <w:rsid w:val="004A20BF"/>
    <w:rsid w:val="004A274A"/>
    <w:rsid w:val="004A39EB"/>
    <w:rsid w:val="004A4F05"/>
    <w:rsid w:val="004A569C"/>
    <w:rsid w:val="004A69EB"/>
    <w:rsid w:val="004A6E4F"/>
    <w:rsid w:val="004A6E59"/>
    <w:rsid w:val="004A6F85"/>
    <w:rsid w:val="004A7E3F"/>
    <w:rsid w:val="004B0C55"/>
    <w:rsid w:val="004B13CB"/>
    <w:rsid w:val="004B2641"/>
    <w:rsid w:val="004B332B"/>
    <w:rsid w:val="004B343D"/>
    <w:rsid w:val="004B443E"/>
    <w:rsid w:val="004B4DD4"/>
    <w:rsid w:val="004B4E50"/>
    <w:rsid w:val="004B6211"/>
    <w:rsid w:val="004B6DCB"/>
    <w:rsid w:val="004B7653"/>
    <w:rsid w:val="004B7E0D"/>
    <w:rsid w:val="004C0448"/>
    <w:rsid w:val="004C0631"/>
    <w:rsid w:val="004C0D21"/>
    <w:rsid w:val="004C129F"/>
    <w:rsid w:val="004C3164"/>
    <w:rsid w:val="004C33BA"/>
    <w:rsid w:val="004C3E19"/>
    <w:rsid w:val="004C55EA"/>
    <w:rsid w:val="004C7967"/>
    <w:rsid w:val="004D1C83"/>
    <w:rsid w:val="004D2C3B"/>
    <w:rsid w:val="004D3C06"/>
    <w:rsid w:val="004D4192"/>
    <w:rsid w:val="004D642A"/>
    <w:rsid w:val="004D7983"/>
    <w:rsid w:val="004E02DD"/>
    <w:rsid w:val="004E09AB"/>
    <w:rsid w:val="004E1111"/>
    <w:rsid w:val="004E120E"/>
    <w:rsid w:val="004E12E8"/>
    <w:rsid w:val="004E146B"/>
    <w:rsid w:val="004E16D3"/>
    <w:rsid w:val="004E1890"/>
    <w:rsid w:val="004E1959"/>
    <w:rsid w:val="004E2668"/>
    <w:rsid w:val="004E27BD"/>
    <w:rsid w:val="004E2824"/>
    <w:rsid w:val="004E3FB1"/>
    <w:rsid w:val="004E441F"/>
    <w:rsid w:val="004E50E4"/>
    <w:rsid w:val="004E58CA"/>
    <w:rsid w:val="004E67B2"/>
    <w:rsid w:val="004E688F"/>
    <w:rsid w:val="004E6C39"/>
    <w:rsid w:val="004E6FD1"/>
    <w:rsid w:val="004E7219"/>
    <w:rsid w:val="004F053E"/>
    <w:rsid w:val="004F0AB3"/>
    <w:rsid w:val="004F0D01"/>
    <w:rsid w:val="004F126B"/>
    <w:rsid w:val="004F1CED"/>
    <w:rsid w:val="004F333E"/>
    <w:rsid w:val="004F356B"/>
    <w:rsid w:val="004F37B8"/>
    <w:rsid w:val="004F46BD"/>
    <w:rsid w:val="004F4C84"/>
    <w:rsid w:val="004F5295"/>
    <w:rsid w:val="004F665E"/>
    <w:rsid w:val="004F6B83"/>
    <w:rsid w:val="004F79E6"/>
    <w:rsid w:val="004F7B7E"/>
    <w:rsid w:val="004F7F48"/>
    <w:rsid w:val="004F7FCD"/>
    <w:rsid w:val="00500A12"/>
    <w:rsid w:val="00501D29"/>
    <w:rsid w:val="00502D32"/>
    <w:rsid w:val="0050568A"/>
    <w:rsid w:val="005074E3"/>
    <w:rsid w:val="0051085A"/>
    <w:rsid w:val="00510B62"/>
    <w:rsid w:val="00511192"/>
    <w:rsid w:val="0051137B"/>
    <w:rsid w:val="00512249"/>
    <w:rsid w:val="00512495"/>
    <w:rsid w:val="0051269A"/>
    <w:rsid w:val="00512AF8"/>
    <w:rsid w:val="005132F2"/>
    <w:rsid w:val="0051344A"/>
    <w:rsid w:val="00513759"/>
    <w:rsid w:val="00513D0F"/>
    <w:rsid w:val="005148E4"/>
    <w:rsid w:val="005158AE"/>
    <w:rsid w:val="005164AE"/>
    <w:rsid w:val="00516FB9"/>
    <w:rsid w:val="005215A2"/>
    <w:rsid w:val="00521C7C"/>
    <w:rsid w:val="005221D5"/>
    <w:rsid w:val="00522957"/>
    <w:rsid w:val="00523347"/>
    <w:rsid w:val="005237AD"/>
    <w:rsid w:val="00523D64"/>
    <w:rsid w:val="00524535"/>
    <w:rsid w:val="00524956"/>
    <w:rsid w:val="00524DF9"/>
    <w:rsid w:val="00524FF5"/>
    <w:rsid w:val="0052528F"/>
    <w:rsid w:val="00525ADE"/>
    <w:rsid w:val="00525E67"/>
    <w:rsid w:val="00526F08"/>
    <w:rsid w:val="00527D91"/>
    <w:rsid w:val="00532982"/>
    <w:rsid w:val="00534C01"/>
    <w:rsid w:val="00535467"/>
    <w:rsid w:val="005366F5"/>
    <w:rsid w:val="00536C48"/>
    <w:rsid w:val="00537E4F"/>
    <w:rsid w:val="00540717"/>
    <w:rsid w:val="00541925"/>
    <w:rsid w:val="00541A40"/>
    <w:rsid w:val="00541EA4"/>
    <w:rsid w:val="00542CE4"/>
    <w:rsid w:val="00542D18"/>
    <w:rsid w:val="00542D4E"/>
    <w:rsid w:val="00542E24"/>
    <w:rsid w:val="00543271"/>
    <w:rsid w:val="00543E89"/>
    <w:rsid w:val="00543F37"/>
    <w:rsid w:val="00544749"/>
    <w:rsid w:val="0054559C"/>
    <w:rsid w:val="00545C95"/>
    <w:rsid w:val="00550268"/>
    <w:rsid w:val="005537C7"/>
    <w:rsid w:val="005538E1"/>
    <w:rsid w:val="00553FF3"/>
    <w:rsid w:val="00554A9D"/>
    <w:rsid w:val="005550C0"/>
    <w:rsid w:val="00555327"/>
    <w:rsid w:val="00557735"/>
    <w:rsid w:val="00560A4F"/>
    <w:rsid w:val="00560B84"/>
    <w:rsid w:val="00560C2D"/>
    <w:rsid w:val="00562408"/>
    <w:rsid w:val="005627DE"/>
    <w:rsid w:val="005627E0"/>
    <w:rsid w:val="0056303B"/>
    <w:rsid w:val="00563445"/>
    <w:rsid w:val="0056414D"/>
    <w:rsid w:val="0056488E"/>
    <w:rsid w:val="00565BD1"/>
    <w:rsid w:val="00565FC5"/>
    <w:rsid w:val="005664F0"/>
    <w:rsid w:val="00566BD0"/>
    <w:rsid w:val="0056740E"/>
    <w:rsid w:val="0056769B"/>
    <w:rsid w:val="00567753"/>
    <w:rsid w:val="00567F8C"/>
    <w:rsid w:val="0057028F"/>
    <w:rsid w:val="005710E1"/>
    <w:rsid w:val="005727F9"/>
    <w:rsid w:val="00573863"/>
    <w:rsid w:val="00575478"/>
    <w:rsid w:val="005777E0"/>
    <w:rsid w:val="005805BB"/>
    <w:rsid w:val="00583354"/>
    <w:rsid w:val="00584E26"/>
    <w:rsid w:val="00584F5D"/>
    <w:rsid w:val="00585D9D"/>
    <w:rsid w:val="00586526"/>
    <w:rsid w:val="00586AEA"/>
    <w:rsid w:val="00587393"/>
    <w:rsid w:val="005916E9"/>
    <w:rsid w:val="00593406"/>
    <w:rsid w:val="0059371D"/>
    <w:rsid w:val="005947C9"/>
    <w:rsid w:val="005953D3"/>
    <w:rsid w:val="00595E7F"/>
    <w:rsid w:val="00595EA0"/>
    <w:rsid w:val="00597BBA"/>
    <w:rsid w:val="00597CD7"/>
    <w:rsid w:val="005A0265"/>
    <w:rsid w:val="005A032E"/>
    <w:rsid w:val="005A0383"/>
    <w:rsid w:val="005A0F08"/>
    <w:rsid w:val="005A16E9"/>
    <w:rsid w:val="005A1B08"/>
    <w:rsid w:val="005A32E7"/>
    <w:rsid w:val="005A3426"/>
    <w:rsid w:val="005A407E"/>
    <w:rsid w:val="005A47AF"/>
    <w:rsid w:val="005A48E1"/>
    <w:rsid w:val="005A543F"/>
    <w:rsid w:val="005A5982"/>
    <w:rsid w:val="005A729E"/>
    <w:rsid w:val="005B0B1D"/>
    <w:rsid w:val="005B1007"/>
    <w:rsid w:val="005B1BD6"/>
    <w:rsid w:val="005B1F85"/>
    <w:rsid w:val="005B23DF"/>
    <w:rsid w:val="005B2FD5"/>
    <w:rsid w:val="005B469F"/>
    <w:rsid w:val="005B47EE"/>
    <w:rsid w:val="005B5EF5"/>
    <w:rsid w:val="005B6180"/>
    <w:rsid w:val="005C0670"/>
    <w:rsid w:val="005C1205"/>
    <w:rsid w:val="005C1807"/>
    <w:rsid w:val="005C1B5A"/>
    <w:rsid w:val="005C21AB"/>
    <w:rsid w:val="005C229A"/>
    <w:rsid w:val="005C27E1"/>
    <w:rsid w:val="005C2F89"/>
    <w:rsid w:val="005C368F"/>
    <w:rsid w:val="005C4D01"/>
    <w:rsid w:val="005C5711"/>
    <w:rsid w:val="005C57B3"/>
    <w:rsid w:val="005C5946"/>
    <w:rsid w:val="005C68DB"/>
    <w:rsid w:val="005C76FA"/>
    <w:rsid w:val="005D225D"/>
    <w:rsid w:val="005D3A61"/>
    <w:rsid w:val="005D4B5A"/>
    <w:rsid w:val="005D50AA"/>
    <w:rsid w:val="005D54B1"/>
    <w:rsid w:val="005D5E0D"/>
    <w:rsid w:val="005D6A5A"/>
    <w:rsid w:val="005D7563"/>
    <w:rsid w:val="005E0322"/>
    <w:rsid w:val="005E092A"/>
    <w:rsid w:val="005E0C75"/>
    <w:rsid w:val="005E0E4B"/>
    <w:rsid w:val="005E124B"/>
    <w:rsid w:val="005E1343"/>
    <w:rsid w:val="005E23D4"/>
    <w:rsid w:val="005E33AC"/>
    <w:rsid w:val="005E33F8"/>
    <w:rsid w:val="005E417F"/>
    <w:rsid w:val="005E4283"/>
    <w:rsid w:val="005E49BC"/>
    <w:rsid w:val="005E4BB3"/>
    <w:rsid w:val="005E4E44"/>
    <w:rsid w:val="005E4EF3"/>
    <w:rsid w:val="005E5183"/>
    <w:rsid w:val="005E6DE8"/>
    <w:rsid w:val="005E7967"/>
    <w:rsid w:val="005F1245"/>
    <w:rsid w:val="005F262E"/>
    <w:rsid w:val="005F2986"/>
    <w:rsid w:val="005F345E"/>
    <w:rsid w:val="005F3896"/>
    <w:rsid w:val="005F5F9D"/>
    <w:rsid w:val="005F666E"/>
    <w:rsid w:val="00600941"/>
    <w:rsid w:val="00600F25"/>
    <w:rsid w:val="00601B74"/>
    <w:rsid w:val="00601CDF"/>
    <w:rsid w:val="00601F43"/>
    <w:rsid w:val="0060336A"/>
    <w:rsid w:val="00603EE2"/>
    <w:rsid w:val="00605459"/>
    <w:rsid w:val="00605AEC"/>
    <w:rsid w:val="0060689C"/>
    <w:rsid w:val="00607D9B"/>
    <w:rsid w:val="006100CA"/>
    <w:rsid w:val="00610C93"/>
    <w:rsid w:val="00610F25"/>
    <w:rsid w:val="0061187A"/>
    <w:rsid w:val="006140FC"/>
    <w:rsid w:val="00614CE7"/>
    <w:rsid w:val="00614D14"/>
    <w:rsid w:val="00614EB7"/>
    <w:rsid w:val="006151E3"/>
    <w:rsid w:val="00615903"/>
    <w:rsid w:val="006164FE"/>
    <w:rsid w:val="00616559"/>
    <w:rsid w:val="00616B2C"/>
    <w:rsid w:val="00616FDC"/>
    <w:rsid w:val="0061770D"/>
    <w:rsid w:val="00621594"/>
    <w:rsid w:val="006215D1"/>
    <w:rsid w:val="006218C8"/>
    <w:rsid w:val="00622B9A"/>
    <w:rsid w:val="0062350F"/>
    <w:rsid w:val="00623E24"/>
    <w:rsid w:val="00624582"/>
    <w:rsid w:val="00624882"/>
    <w:rsid w:val="006256AF"/>
    <w:rsid w:val="00626030"/>
    <w:rsid w:val="006263CF"/>
    <w:rsid w:val="00627263"/>
    <w:rsid w:val="00627740"/>
    <w:rsid w:val="00632AA8"/>
    <w:rsid w:val="006332AD"/>
    <w:rsid w:val="00633E47"/>
    <w:rsid w:val="00636A6D"/>
    <w:rsid w:val="00637658"/>
    <w:rsid w:val="00637922"/>
    <w:rsid w:val="00637C22"/>
    <w:rsid w:val="00640013"/>
    <w:rsid w:val="00640B80"/>
    <w:rsid w:val="006411F0"/>
    <w:rsid w:val="0064180C"/>
    <w:rsid w:val="00641928"/>
    <w:rsid w:val="00641970"/>
    <w:rsid w:val="0064201A"/>
    <w:rsid w:val="0064232C"/>
    <w:rsid w:val="0064236C"/>
    <w:rsid w:val="00642AA5"/>
    <w:rsid w:val="00642C6E"/>
    <w:rsid w:val="00643DC0"/>
    <w:rsid w:val="00644E44"/>
    <w:rsid w:val="00644EA3"/>
    <w:rsid w:val="0064572E"/>
    <w:rsid w:val="00645B48"/>
    <w:rsid w:val="006464D1"/>
    <w:rsid w:val="00647E7B"/>
    <w:rsid w:val="00650623"/>
    <w:rsid w:val="00651193"/>
    <w:rsid w:val="00651632"/>
    <w:rsid w:val="00651B79"/>
    <w:rsid w:val="00651FDB"/>
    <w:rsid w:val="006538F9"/>
    <w:rsid w:val="00653E8F"/>
    <w:rsid w:val="00655851"/>
    <w:rsid w:val="0065677C"/>
    <w:rsid w:val="006573CB"/>
    <w:rsid w:val="00657883"/>
    <w:rsid w:val="0066224E"/>
    <w:rsid w:val="00664153"/>
    <w:rsid w:val="006648B9"/>
    <w:rsid w:val="006654DD"/>
    <w:rsid w:val="00665640"/>
    <w:rsid w:val="00665752"/>
    <w:rsid w:val="00666DE3"/>
    <w:rsid w:val="006670DB"/>
    <w:rsid w:val="00667181"/>
    <w:rsid w:val="00667F0A"/>
    <w:rsid w:val="00667F4F"/>
    <w:rsid w:val="006719E2"/>
    <w:rsid w:val="00672259"/>
    <w:rsid w:val="006722E7"/>
    <w:rsid w:val="0067352D"/>
    <w:rsid w:val="00674119"/>
    <w:rsid w:val="00674761"/>
    <w:rsid w:val="00674D75"/>
    <w:rsid w:val="006752C7"/>
    <w:rsid w:val="006754B3"/>
    <w:rsid w:val="00676B24"/>
    <w:rsid w:val="00677385"/>
    <w:rsid w:val="006776A8"/>
    <w:rsid w:val="00677B72"/>
    <w:rsid w:val="00677D41"/>
    <w:rsid w:val="00677F00"/>
    <w:rsid w:val="006806DF"/>
    <w:rsid w:val="00680DD7"/>
    <w:rsid w:val="00683262"/>
    <w:rsid w:val="006844CB"/>
    <w:rsid w:val="0068467A"/>
    <w:rsid w:val="00685365"/>
    <w:rsid w:val="00685865"/>
    <w:rsid w:val="00685C33"/>
    <w:rsid w:val="00685F5C"/>
    <w:rsid w:val="00686EE2"/>
    <w:rsid w:val="00687592"/>
    <w:rsid w:val="00687CB3"/>
    <w:rsid w:val="00687FEE"/>
    <w:rsid w:val="00690571"/>
    <w:rsid w:val="00690753"/>
    <w:rsid w:val="00690D85"/>
    <w:rsid w:val="00691360"/>
    <w:rsid w:val="00691D01"/>
    <w:rsid w:val="00692BA5"/>
    <w:rsid w:val="00693D7E"/>
    <w:rsid w:val="00694150"/>
    <w:rsid w:val="00694754"/>
    <w:rsid w:val="006948E3"/>
    <w:rsid w:val="006948EE"/>
    <w:rsid w:val="00694F5D"/>
    <w:rsid w:val="00696019"/>
    <w:rsid w:val="00696A8F"/>
    <w:rsid w:val="006A0C62"/>
    <w:rsid w:val="006A15D4"/>
    <w:rsid w:val="006A2199"/>
    <w:rsid w:val="006A22AC"/>
    <w:rsid w:val="006A2C58"/>
    <w:rsid w:val="006A4383"/>
    <w:rsid w:val="006A4794"/>
    <w:rsid w:val="006A5B9C"/>
    <w:rsid w:val="006A619B"/>
    <w:rsid w:val="006A6427"/>
    <w:rsid w:val="006A680F"/>
    <w:rsid w:val="006A6A59"/>
    <w:rsid w:val="006A7AD3"/>
    <w:rsid w:val="006A7ED8"/>
    <w:rsid w:val="006B008D"/>
    <w:rsid w:val="006B10BD"/>
    <w:rsid w:val="006B1EAC"/>
    <w:rsid w:val="006B3084"/>
    <w:rsid w:val="006B4EF2"/>
    <w:rsid w:val="006B6140"/>
    <w:rsid w:val="006B6FBC"/>
    <w:rsid w:val="006B6FD0"/>
    <w:rsid w:val="006B70C8"/>
    <w:rsid w:val="006B71F3"/>
    <w:rsid w:val="006B7278"/>
    <w:rsid w:val="006B7BD6"/>
    <w:rsid w:val="006C0DC8"/>
    <w:rsid w:val="006C0EEA"/>
    <w:rsid w:val="006C1837"/>
    <w:rsid w:val="006C26AA"/>
    <w:rsid w:val="006C296B"/>
    <w:rsid w:val="006C2BA0"/>
    <w:rsid w:val="006C3569"/>
    <w:rsid w:val="006C41A5"/>
    <w:rsid w:val="006C4A16"/>
    <w:rsid w:val="006C5283"/>
    <w:rsid w:val="006C53FA"/>
    <w:rsid w:val="006C5A02"/>
    <w:rsid w:val="006C5A08"/>
    <w:rsid w:val="006C5CCF"/>
    <w:rsid w:val="006C70CC"/>
    <w:rsid w:val="006C7848"/>
    <w:rsid w:val="006C7C85"/>
    <w:rsid w:val="006C7CAD"/>
    <w:rsid w:val="006D198C"/>
    <w:rsid w:val="006D1F8F"/>
    <w:rsid w:val="006D5C54"/>
    <w:rsid w:val="006D5DA9"/>
    <w:rsid w:val="006D669C"/>
    <w:rsid w:val="006D7CB2"/>
    <w:rsid w:val="006E03AB"/>
    <w:rsid w:val="006E11D3"/>
    <w:rsid w:val="006E140C"/>
    <w:rsid w:val="006E1C3D"/>
    <w:rsid w:val="006E31AB"/>
    <w:rsid w:val="006E32BD"/>
    <w:rsid w:val="006E7114"/>
    <w:rsid w:val="006E7420"/>
    <w:rsid w:val="006E7B5E"/>
    <w:rsid w:val="006F0632"/>
    <w:rsid w:val="006F0D09"/>
    <w:rsid w:val="006F17E2"/>
    <w:rsid w:val="006F3DF7"/>
    <w:rsid w:val="006F4AFC"/>
    <w:rsid w:val="006F4E28"/>
    <w:rsid w:val="006F7344"/>
    <w:rsid w:val="0070050E"/>
    <w:rsid w:val="00700A21"/>
    <w:rsid w:val="00701C0A"/>
    <w:rsid w:val="00701E25"/>
    <w:rsid w:val="00701F86"/>
    <w:rsid w:val="00702838"/>
    <w:rsid w:val="0070297E"/>
    <w:rsid w:val="0070316F"/>
    <w:rsid w:val="00703AD9"/>
    <w:rsid w:val="00703F49"/>
    <w:rsid w:val="00704F62"/>
    <w:rsid w:val="00705F42"/>
    <w:rsid w:val="00706538"/>
    <w:rsid w:val="00706E5C"/>
    <w:rsid w:val="00707790"/>
    <w:rsid w:val="00710CCA"/>
    <w:rsid w:val="0071111A"/>
    <w:rsid w:val="007122FC"/>
    <w:rsid w:val="00712321"/>
    <w:rsid w:val="0071283F"/>
    <w:rsid w:val="00712EBB"/>
    <w:rsid w:val="00713C82"/>
    <w:rsid w:val="00714BE3"/>
    <w:rsid w:val="00714BF2"/>
    <w:rsid w:val="0071505B"/>
    <w:rsid w:val="007157B2"/>
    <w:rsid w:val="00715980"/>
    <w:rsid w:val="00715FF9"/>
    <w:rsid w:val="007169E3"/>
    <w:rsid w:val="00716CE1"/>
    <w:rsid w:val="00717AA3"/>
    <w:rsid w:val="0072005B"/>
    <w:rsid w:val="007202AE"/>
    <w:rsid w:val="0072051F"/>
    <w:rsid w:val="007205C0"/>
    <w:rsid w:val="00720B3A"/>
    <w:rsid w:val="007220A5"/>
    <w:rsid w:val="00722A10"/>
    <w:rsid w:val="00722D93"/>
    <w:rsid w:val="007247EA"/>
    <w:rsid w:val="00725173"/>
    <w:rsid w:val="007251D0"/>
    <w:rsid w:val="00726C8A"/>
    <w:rsid w:val="00730179"/>
    <w:rsid w:val="00730B0B"/>
    <w:rsid w:val="00731750"/>
    <w:rsid w:val="0073199E"/>
    <w:rsid w:val="00731DF1"/>
    <w:rsid w:val="00732491"/>
    <w:rsid w:val="00732764"/>
    <w:rsid w:val="00732999"/>
    <w:rsid w:val="0073392B"/>
    <w:rsid w:val="00733FC2"/>
    <w:rsid w:val="00735779"/>
    <w:rsid w:val="00736F2E"/>
    <w:rsid w:val="00737BC7"/>
    <w:rsid w:val="00740244"/>
    <w:rsid w:val="00741F4A"/>
    <w:rsid w:val="0074280F"/>
    <w:rsid w:val="00742F94"/>
    <w:rsid w:val="007430D0"/>
    <w:rsid w:val="0074348E"/>
    <w:rsid w:val="00747B40"/>
    <w:rsid w:val="007512BA"/>
    <w:rsid w:val="00751377"/>
    <w:rsid w:val="00751D2C"/>
    <w:rsid w:val="0075272E"/>
    <w:rsid w:val="0075273F"/>
    <w:rsid w:val="00752B0D"/>
    <w:rsid w:val="00753CC4"/>
    <w:rsid w:val="00753EAC"/>
    <w:rsid w:val="00754191"/>
    <w:rsid w:val="0075553F"/>
    <w:rsid w:val="007557AD"/>
    <w:rsid w:val="00756FCF"/>
    <w:rsid w:val="007570C3"/>
    <w:rsid w:val="00761294"/>
    <w:rsid w:val="0076149E"/>
    <w:rsid w:val="00761A3E"/>
    <w:rsid w:val="00761FCF"/>
    <w:rsid w:val="00762C0A"/>
    <w:rsid w:val="007632A1"/>
    <w:rsid w:val="00763541"/>
    <w:rsid w:val="00763B06"/>
    <w:rsid w:val="00764CF7"/>
    <w:rsid w:val="007657F0"/>
    <w:rsid w:val="00765894"/>
    <w:rsid w:val="007662B1"/>
    <w:rsid w:val="00767BE8"/>
    <w:rsid w:val="0077098E"/>
    <w:rsid w:val="00771667"/>
    <w:rsid w:val="007718A1"/>
    <w:rsid w:val="00772050"/>
    <w:rsid w:val="007723A4"/>
    <w:rsid w:val="007729D1"/>
    <w:rsid w:val="0077473D"/>
    <w:rsid w:val="007749CD"/>
    <w:rsid w:val="00775214"/>
    <w:rsid w:val="00775388"/>
    <w:rsid w:val="00776D43"/>
    <w:rsid w:val="0077741A"/>
    <w:rsid w:val="00777992"/>
    <w:rsid w:val="007831B8"/>
    <w:rsid w:val="0078525E"/>
    <w:rsid w:val="00785C60"/>
    <w:rsid w:val="00785E4B"/>
    <w:rsid w:val="00786646"/>
    <w:rsid w:val="00787078"/>
    <w:rsid w:val="0078767B"/>
    <w:rsid w:val="00787DA1"/>
    <w:rsid w:val="0079052B"/>
    <w:rsid w:val="00790867"/>
    <w:rsid w:val="007909A5"/>
    <w:rsid w:val="00790C88"/>
    <w:rsid w:val="0079188F"/>
    <w:rsid w:val="0079241D"/>
    <w:rsid w:val="00792E75"/>
    <w:rsid w:val="007933AC"/>
    <w:rsid w:val="0079388F"/>
    <w:rsid w:val="0079490B"/>
    <w:rsid w:val="00794D9C"/>
    <w:rsid w:val="007954CE"/>
    <w:rsid w:val="007957DD"/>
    <w:rsid w:val="00795B30"/>
    <w:rsid w:val="00795BE3"/>
    <w:rsid w:val="00795F51"/>
    <w:rsid w:val="00796F9E"/>
    <w:rsid w:val="00797C51"/>
    <w:rsid w:val="007A077C"/>
    <w:rsid w:val="007A0997"/>
    <w:rsid w:val="007A0E4A"/>
    <w:rsid w:val="007A0E8E"/>
    <w:rsid w:val="007A0F47"/>
    <w:rsid w:val="007A14CC"/>
    <w:rsid w:val="007A1608"/>
    <w:rsid w:val="007A1EB2"/>
    <w:rsid w:val="007A26D2"/>
    <w:rsid w:val="007A2C67"/>
    <w:rsid w:val="007A30E0"/>
    <w:rsid w:val="007A31AD"/>
    <w:rsid w:val="007A3897"/>
    <w:rsid w:val="007A4596"/>
    <w:rsid w:val="007A4E63"/>
    <w:rsid w:val="007A4F73"/>
    <w:rsid w:val="007A5230"/>
    <w:rsid w:val="007A5A9F"/>
    <w:rsid w:val="007A73A2"/>
    <w:rsid w:val="007A774D"/>
    <w:rsid w:val="007B0DF9"/>
    <w:rsid w:val="007B135E"/>
    <w:rsid w:val="007B15F0"/>
    <w:rsid w:val="007B1BEA"/>
    <w:rsid w:val="007B2093"/>
    <w:rsid w:val="007B289B"/>
    <w:rsid w:val="007B42F3"/>
    <w:rsid w:val="007B4512"/>
    <w:rsid w:val="007B6028"/>
    <w:rsid w:val="007B6B7C"/>
    <w:rsid w:val="007B74DB"/>
    <w:rsid w:val="007C175E"/>
    <w:rsid w:val="007C1B40"/>
    <w:rsid w:val="007C1D0F"/>
    <w:rsid w:val="007C1E4E"/>
    <w:rsid w:val="007C26A9"/>
    <w:rsid w:val="007C29C8"/>
    <w:rsid w:val="007C329D"/>
    <w:rsid w:val="007C58C7"/>
    <w:rsid w:val="007C5B84"/>
    <w:rsid w:val="007C61D4"/>
    <w:rsid w:val="007C690E"/>
    <w:rsid w:val="007C6FC4"/>
    <w:rsid w:val="007D246A"/>
    <w:rsid w:val="007D32D9"/>
    <w:rsid w:val="007D3A0A"/>
    <w:rsid w:val="007D3F64"/>
    <w:rsid w:val="007D4023"/>
    <w:rsid w:val="007D4485"/>
    <w:rsid w:val="007D5534"/>
    <w:rsid w:val="007D7AD3"/>
    <w:rsid w:val="007E00F9"/>
    <w:rsid w:val="007E2C15"/>
    <w:rsid w:val="007E3D47"/>
    <w:rsid w:val="007E41D4"/>
    <w:rsid w:val="007E584F"/>
    <w:rsid w:val="007E60E2"/>
    <w:rsid w:val="007E6403"/>
    <w:rsid w:val="007E730F"/>
    <w:rsid w:val="007E7ADC"/>
    <w:rsid w:val="007F0E6A"/>
    <w:rsid w:val="007F194C"/>
    <w:rsid w:val="007F236A"/>
    <w:rsid w:val="007F286B"/>
    <w:rsid w:val="007F38B4"/>
    <w:rsid w:val="007F3D0F"/>
    <w:rsid w:val="007F4019"/>
    <w:rsid w:val="007F440C"/>
    <w:rsid w:val="007F4E79"/>
    <w:rsid w:val="007F55D8"/>
    <w:rsid w:val="007F61BF"/>
    <w:rsid w:val="007F65D4"/>
    <w:rsid w:val="007F671E"/>
    <w:rsid w:val="007F70A1"/>
    <w:rsid w:val="008011C9"/>
    <w:rsid w:val="00801325"/>
    <w:rsid w:val="008014F6"/>
    <w:rsid w:val="008020E2"/>
    <w:rsid w:val="008025A8"/>
    <w:rsid w:val="00802D4B"/>
    <w:rsid w:val="0080411F"/>
    <w:rsid w:val="00804B08"/>
    <w:rsid w:val="00804E36"/>
    <w:rsid w:val="0080526A"/>
    <w:rsid w:val="00805451"/>
    <w:rsid w:val="008063CF"/>
    <w:rsid w:val="008063E2"/>
    <w:rsid w:val="008064F8"/>
    <w:rsid w:val="00806C42"/>
    <w:rsid w:val="00806D4E"/>
    <w:rsid w:val="00810FF3"/>
    <w:rsid w:val="0081154B"/>
    <w:rsid w:val="00811823"/>
    <w:rsid w:val="008125CE"/>
    <w:rsid w:val="00812A87"/>
    <w:rsid w:val="00812D4F"/>
    <w:rsid w:val="008131E6"/>
    <w:rsid w:val="00814899"/>
    <w:rsid w:val="008151E2"/>
    <w:rsid w:val="008176A9"/>
    <w:rsid w:val="00817BCE"/>
    <w:rsid w:val="00820487"/>
    <w:rsid w:val="00820909"/>
    <w:rsid w:val="0082124E"/>
    <w:rsid w:val="008222E6"/>
    <w:rsid w:val="008223DD"/>
    <w:rsid w:val="008229B8"/>
    <w:rsid w:val="008234D0"/>
    <w:rsid w:val="008236D0"/>
    <w:rsid w:val="00824373"/>
    <w:rsid w:val="0082465D"/>
    <w:rsid w:val="008253DB"/>
    <w:rsid w:val="00825674"/>
    <w:rsid w:val="00827368"/>
    <w:rsid w:val="00827A8D"/>
    <w:rsid w:val="00827E9D"/>
    <w:rsid w:val="00830E0D"/>
    <w:rsid w:val="00831310"/>
    <w:rsid w:val="0083185D"/>
    <w:rsid w:val="00831AA7"/>
    <w:rsid w:val="0083242D"/>
    <w:rsid w:val="00832FA8"/>
    <w:rsid w:val="00833CFD"/>
    <w:rsid w:val="0083544A"/>
    <w:rsid w:val="00836240"/>
    <w:rsid w:val="00836531"/>
    <w:rsid w:val="008375BE"/>
    <w:rsid w:val="00837612"/>
    <w:rsid w:val="0083784F"/>
    <w:rsid w:val="00841263"/>
    <w:rsid w:val="0084520C"/>
    <w:rsid w:val="008465F4"/>
    <w:rsid w:val="0085002E"/>
    <w:rsid w:val="00850BAC"/>
    <w:rsid w:val="008512A7"/>
    <w:rsid w:val="0085136A"/>
    <w:rsid w:val="00851B5D"/>
    <w:rsid w:val="00852412"/>
    <w:rsid w:val="008558E2"/>
    <w:rsid w:val="00855909"/>
    <w:rsid w:val="008561FD"/>
    <w:rsid w:val="008576A2"/>
    <w:rsid w:val="008576BD"/>
    <w:rsid w:val="0085A862"/>
    <w:rsid w:val="00860260"/>
    <w:rsid w:val="00860A4C"/>
    <w:rsid w:val="00860FEB"/>
    <w:rsid w:val="00861EFB"/>
    <w:rsid w:val="008620FE"/>
    <w:rsid w:val="0086223E"/>
    <w:rsid w:val="00862D6B"/>
    <w:rsid w:val="0086303C"/>
    <w:rsid w:val="00863B96"/>
    <w:rsid w:val="00863BBE"/>
    <w:rsid w:val="008649D8"/>
    <w:rsid w:val="00864DC4"/>
    <w:rsid w:val="00871137"/>
    <w:rsid w:val="008732F7"/>
    <w:rsid w:val="00873968"/>
    <w:rsid w:val="00873F17"/>
    <w:rsid w:val="00874E72"/>
    <w:rsid w:val="008754B4"/>
    <w:rsid w:val="00876197"/>
    <w:rsid w:val="0087629F"/>
    <w:rsid w:val="008815B2"/>
    <w:rsid w:val="008824BA"/>
    <w:rsid w:val="00883664"/>
    <w:rsid w:val="00883857"/>
    <w:rsid w:val="00883F65"/>
    <w:rsid w:val="00884142"/>
    <w:rsid w:val="008848DE"/>
    <w:rsid w:val="008849E0"/>
    <w:rsid w:val="008903D0"/>
    <w:rsid w:val="0089074C"/>
    <w:rsid w:val="00890CE0"/>
    <w:rsid w:val="0089151F"/>
    <w:rsid w:val="00891CD0"/>
    <w:rsid w:val="00892060"/>
    <w:rsid w:val="008921DF"/>
    <w:rsid w:val="00892347"/>
    <w:rsid w:val="008928CB"/>
    <w:rsid w:val="00892944"/>
    <w:rsid w:val="00893D86"/>
    <w:rsid w:val="008953B9"/>
    <w:rsid w:val="00896C52"/>
    <w:rsid w:val="008970F1"/>
    <w:rsid w:val="00897702"/>
    <w:rsid w:val="00897A92"/>
    <w:rsid w:val="00897FA9"/>
    <w:rsid w:val="00897FE2"/>
    <w:rsid w:val="008A0975"/>
    <w:rsid w:val="008A0BA3"/>
    <w:rsid w:val="008A0BEC"/>
    <w:rsid w:val="008A12EF"/>
    <w:rsid w:val="008A1BEB"/>
    <w:rsid w:val="008A2217"/>
    <w:rsid w:val="008A30C1"/>
    <w:rsid w:val="008A3865"/>
    <w:rsid w:val="008A3D31"/>
    <w:rsid w:val="008A3DBC"/>
    <w:rsid w:val="008A3EA7"/>
    <w:rsid w:val="008A4BA0"/>
    <w:rsid w:val="008A58C0"/>
    <w:rsid w:val="008A636F"/>
    <w:rsid w:val="008A74FA"/>
    <w:rsid w:val="008A7F26"/>
    <w:rsid w:val="008B0058"/>
    <w:rsid w:val="008B0490"/>
    <w:rsid w:val="008B200F"/>
    <w:rsid w:val="008B2AA0"/>
    <w:rsid w:val="008B2B98"/>
    <w:rsid w:val="008B36D3"/>
    <w:rsid w:val="008B3C37"/>
    <w:rsid w:val="008B4A5A"/>
    <w:rsid w:val="008B5FC4"/>
    <w:rsid w:val="008B6B31"/>
    <w:rsid w:val="008B6F71"/>
    <w:rsid w:val="008B70E1"/>
    <w:rsid w:val="008C1440"/>
    <w:rsid w:val="008C14D9"/>
    <w:rsid w:val="008C25C5"/>
    <w:rsid w:val="008C2A00"/>
    <w:rsid w:val="008C3000"/>
    <w:rsid w:val="008C32CE"/>
    <w:rsid w:val="008C35F6"/>
    <w:rsid w:val="008C3B23"/>
    <w:rsid w:val="008C3CE9"/>
    <w:rsid w:val="008C538C"/>
    <w:rsid w:val="008C54E5"/>
    <w:rsid w:val="008C5CB8"/>
    <w:rsid w:val="008C7098"/>
    <w:rsid w:val="008C716E"/>
    <w:rsid w:val="008C7201"/>
    <w:rsid w:val="008D0160"/>
    <w:rsid w:val="008D0567"/>
    <w:rsid w:val="008D0CB5"/>
    <w:rsid w:val="008D1080"/>
    <w:rsid w:val="008D1FF4"/>
    <w:rsid w:val="008D259E"/>
    <w:rsid w:val="008D262C"/>
    <w:rsid w:val="008D2B5A"/>
    <w:rsid w:val="008D2E17"/>
    <w:rsid w:val="008D36BD"/>
    <w:rsid w:val="008D4B1C"/>
    <w:rsid w:val="008D4D7E"/>
    <w:rsid w:val="008D5D3D"/>
    <w:rsid w:val="008D6568"/>
    <w:rsid w:val="008D769D"/>
    <w:rsid w:val="008E000B"/>
    <w:rsid w:val="008E13C1"/>
    <w:rsid w:val="008E151C"/>
    <w:rsid w:val="008E1619"/>
    <w:rsid w:val="008E3DAF"/>
    <w:rsid w:val="008E537E"/>
    <w:rsid w:val="008E57AE"/>
    <w:rsid w:val="008E658C"/>
    <w:rsid w:val="008E6598"/>
    <w:rsid w:val="008E7066"/>
    <w:rsid w:val="008E779E"/>
    <w:rsid w:val="008F16BF"/>
    <w:rsid w:val="008F1BB0"/>
    <w:rsid w:val="008F2EC9"/>
    <w:rsid w:val="008F3F82"/>
    <w:rsid w:val="008F429D"/>
    <w:rsid w:val="008F56A1"/>
    <w:rsid w:val="008F72BC"/>
    <w:rsid w:val="008F72F5"/>
    <w:rsid w:val="008F75F9"/>
    <w:rsid w:val="009007F2"/>
    <w:rsid w:val="009021E6"/>
    <w:rsid w:val="0090311A"/>
    <w:rsid w:val="009041BF"/>
    <w:rsid w:val="00904281"/>
    <w:rsid w:val="0090465A"/>
    <w:rsid w:val="009046DF"/>
    <w:rsid w:val="0090719C"/>
    <w:rsid w:val="00911624"/>
    <w:rsid w:val="009119A8"/>
    <w:rsid w:val="00912386"/>
    <w:rsid w:val="009136F9"/>
    <w:rsid w:val="00913C79"/>
    <w:rsid w:val="00914655"/>
    <w:rsid w:val="00916A85"/>
    <w:rsid w:val="00916E3B"/>
    <w:rsid w:val="0092022B"/>
    <w:rsid w:val="00920D9C"/>
    <w:rsid w:val="0092110E"/>
    <w:rsid w:val="00921DD7"/>
    <w:rsid w:val="00923709"/>
    <w:rsid w:val="009238E7"/>
    <w:rsid w:val="00923951"/>
    <w:rsid w:val="00923D73"/>
    <w:rsid w:val="0092452A"/>
    <w:rsid w:val="00924C30"/>
    <w:rsid w:val="00925B0B"/>
    <w:rsid w:val="009274C7"/>
    <w:rsid w:val="009313EE"/>
    <w:rsid w:val="009316C1"/>
    <w:rsid w:val="00932124"/>
    <w:rsid w:val="0093233D"/>
    <w:rsid w:val="0093234F"/>
    <w:rsid w:val="00932B81"/>
    <w:rsid w:val="00932DFD"/>
    <w:rsid w:val="00933BEE"/>
    <w:rsid w:val="009347A4"/>
    <w:rsid w:val="00934F04"/>
    <w:rsid w:val="0093527F"/>
    <w:rsid w:val="00935C41"/>
    <w:rsid w:val="00935E69"/>
    <w:rsid w:val="009361BB"/>
    <w:rsid w:val="009371A2"/>
    <w:rsid w:val="009405E3"/>
    <w:rsid w:val="009417EC"/>
    <w:rsid w:val="00941CD4"/>
    <w:rsid w:val="0094212A"/>
    <w:rsid w:val="00942150"/>
    <w:rsid w:val="009429EF"/>
    <w:rsid w:val="00943616"/>
    <w:rsid w:val="009441A8"/>
    <w:rsid w:val="00944845"/>
    <w:rsid w:val="00945182"/>
    <w:rsid w:val="009454CE"/>
    <w:rsid w:val="00945A3C"/>
    <w:rsid w:val="00945E8D"/>
    <w:rsid w:val="00947598"/>
    <w:rsid w:val="00947634"/>
    <w:rsid w:val="00950029"/>
    <w:rsid w:val="00950438"/>
    <w:rsid w:val="00951AA8"/>
    <w:rsid w:val="00952389"/>
    <w:rsid w:val="009534C2"/>
    <w:rsid w:val="009540E9"/>
    <w:rsid w:val="00954B2F"/>
    <w:rsid w:val="00954DEC"/>
    <w:rsid w:val="0095520F"/>
    <w:rsid w:val="00955E32"/>
    <w:rsid w:val="00955F9E"/>
    <w:rsid w:val="00962713"/>
    <w:rsid w:val="00963041"/>
    <w:rsid w:val="00963F27"/>
    <w:rsid w:val="009645A0"/>
    <w:rsid w:val="0096472E"/>
    <w:rsid w:val="0096492F"/>
    <w:rsid w:val="00964C82"/>
    <w:rsid w:val="009659D7"/>
    <w:rsid w:val="00965CAD"/>
    <w:rsid w:val="009660C7"/>
    <w:rsid w:val="009674C4"/>
    <w:rsid w:val="009701B0"/>
    <w:rsid w:val="009705A5"/>
    <w:rsid w:val="00971108"/>
    <w:rsid w:val="009717C5"/>
    <w:rsid w:val="00972934"/>
    <w:rsid w:val="00972ED2"/>
    <w:rsid w:val="00975E5F"/>
    <w:rsid w:val="00976047"/>
    <w:rsid w:val="00976868"/>
    <w:rsid w:val="0097698B"/>
    <w:rsid w:val="00976D67"/>
    <w:rsid w:val="00977DB8"/>
    <w:rsid w:val="00981FA0"/>
    <w:rsid w:val="009827BB"/>
    <w:rsid w:val="00983505"/>
    <w:rsid w:val="0098401E"/>
    <w:rsid w:val="00985451"/>
    <w:rsid w:val="00985E5B"/>
    <w:rsid w:val="00986145"/>
    <w:rsid w:val="00990662"/>
    <w:rsid w:val="00991983"/>
    <w:rsid w:val="00991A34"/>
    <w:rsid w:val="00991DEB"/>
    <w:rsid w:val="00992B12"/>
    <w:rsid w:val="0099328D"/>
    <w:rsid w:val="00993850"/>
    <w:rsid w:val="00993CF6"/>
    <w:rsid w:val="00993F29"/>
    <w:rsid w:val="009949A2"/>
    <w:rsid w:val="00996AD6"/>
    <w:rsid w:val="009A1B78"/>
    <w:rsid w:val="009A1F09"/>
    <w:rsid w:val="009A2207"/>
    <w:rsid w:val="009A280F"/>
    <w:rsid w:val="009A3103"/>
    <w:rsid w:val="009A5FD7"/>
    <w:rsid w:val="009A6D75"/>
    <w:rsid w:val="009B1B7D"/>
    <w:rsid w:val="009B213E"/>
    <w:rsid w:val="009B30F7"/>
    <w:rsid w:val="009B3977"/>
    <w:rsid w:val="009B4917"/>
    <w:rsid w:val="009B5283"/>
    <w:rsid w:val="009B5445"/>
    <w:rsid w:val="009B5A8C"/>
    <w:rsid w:val="009B5DFD"/>
    <w:rsid w:val="009B60CA"/>
    <w:rsid w:val="009B65DA"/>
    <w:rsid w:val="009B70B9"/>
    <w:rsid w:val="009C0D7D"/>
    <w:rsid w:val="009C1054"/>
    <w:rsid w:val="009C1D0D"/>
    <w:rsid w:val="009C3559"/>
    <w:rsid w:val="009C3952"/>
    <w:rsid w:val="009C434A"/>
    <w:rsid w:val="009C4F2E"/>
    <w:rsid w:val="009C5688"/>
    <w:rsid w:val="009C716B"/>
    <w:rsid w:val="009C7429"/>
    <w:rsid w:val="009D31A0"/>
    <w:rsid w:val="009D3379"/>
    <w:rsid w:val="009D4FEA"/>
    <w:rsid w:val="009D61AE"/>
    <w:rsid w:val="009E03FE"/>
    <w:rsid w:val="009E05E3"/>
    <w:rsid w:val="009E12F7"/>
    <w:rsid w:val="009E1585"/>
    <w:rsid w:val="009E1B07"/>
    <w:rsid w:val="009E34F4"/>
    <w:rsid w:val="009E362B"/>
    <w:rsid w:val="009E3AD1"/>
    <w:rsid w:val="009E3C0E"/>
    <w:rsid w:val="009E4242"/>
    <w:rsid w:val="009E4D07"/>
    <w:rsid w:val="009E6B6D"/>
    <w:rsid w:val="009E73E5"/>
    <w:rsid w:val="009E7807"/>
    <w:rsid w:val="009E7B2E"/>
    <w:rsid w:val="009E7D2C"/>
    <w:rsid w:val="009F0A61"/>
    <w:rsid w:val="009F1E11"/>
    <w:rsid w:val="009F28C8"/>
    <w:rsid w:val="009F2EA5"/>
    <w:rsid w:val="009F32C9"/>
    <w:rsid w:val="009F4319"/>
    <w:rsid w:val="009F46AD"/>
    <w:rsid w:val="009F46BF"/>
    <w:rsid w:val="009F537F"/>
    <w:rsid w:val="009F5995"/>
    <w:rsid w:val="009F6502"/>
    <w:rsid w:val="009F6F99"/>
    <w:rsid w:val="009F7144"/>
    <w:rsid w:val="009F733D"/>
    <w:rsid w:val="009F776D"/>
    <w:rsid w:val="00A0026C"/>
    <w:rsid w:val="00A02800"/>
    <w:rsid w:val="00A031ED"/>
    <w:rsid w:val="00A0372A"/>
    <w:rsid w:val="00A03C18"/>
    <w:rsid w:val="00A03FDA"/>
    <w:rsid w:val="00A040AF"/>
    <w:rsid w:val="00A04CAB"/>
    <w:rsid w:val="00A066AC"/>
    <w:rsid w:val="00A07F40"/>
    <w:rsid w:val="00A1046A"/>
    <w:rsid w:val="00A10627"/>
    <w:rsid w:val="00A106C4"/>
    <w:rsid w:val="00A10783"/>
    <w:rsid w:val="00A10C83"/>
    <w:rsid w:val="00A11F69"/>
    <w:rsid w:val="00A13748"/>
    <w:rsid w:val="00A13CDF"/>
    <w:rsid w:val="00A145F0"/>
    <w:rsid w:val="00A14A35"/>
    <w:rsid w:val="00A155E1"/>
    <w:rsid w:val="00A15B9E"/>
    <w:rsid w:val="00A1697D"/>
    <w:rsid w:val="00A16DED"/>
    <w:rsid w:val="00A17AFD"/>
    <w:rsid w:val="00A20E03"/>
    <w:rsid w:val="00A21C90"/>
    <w:rsid w:val="00A22529"/>
    <w:rsid w:val="00A22AE5"/>
    <w:rsid w:val="00A23034"/>
    <w:rsid w:val="00A2303A"/>
    <w:rsid w:val="00A2369B"/>
    <w:rsid w:val="00A24B1E"/>
    <w:rsid w:val="00A24F4E"/>
    <w:rsid w:val="00A26DE8"/>
    <w:rsid w:val="00A273AE"/>
    <w:rsid w:val="00A27E4C"/>
    <w:rsid w:val="00A30624"/>
    <w:rsid w:val="00A30884"/>
    <w:rsid w:val="00A31125"/>
    <w:rsid w:val="00A3146C"/>
    <w:rsid w:val="00A3211F"/>
    <w:rsid w:val="00A32272"/>
    <w:rsid w:val="00A32ED6"/>
    <w:rsid w:val="00A3353F"/>
    <w:rsid w:val="00A351FC"/>
    <w:rsid w:val="00A353AA"/>
    <w:rsid w:val="00A35869"/>
    <w:rsid w:val="00A35E82"/>
    <w:rsid w:val="00A3629E"/>
    <w:rsid w:val="00A37B81"/>
    <w:rsid w:val="00A400F9"/>
    <w:rsid w:val="00A40193"/>
    <w:rsid w:val="00A4146E"/>
    <w:rsid w:val="00A41E07"/>
    <w:rsid w:val="00A42520"/>
    <w:rsid w:val="00A435F3"/>
    <w:rsid w:val="00A43890"/>
    <w:rsid w:val="00A43A18"/>
    <w:rsid w:val="00A43F2B"/>
    <w:rsid w:val="00A44AAE"/>
    <w:rsid w:val="00A4679C"/>
    <w:rsid w:val="00A46E41"/>
    <w:rsid w:val="00A47D75"/>
    <w:rsid w:val="00A50E45"/>
    <w:rsid w:val="00A51CA9"/>
    <w:rsid w:val="00A52BA5"/>
    <w:rsid w:val="00A54BC2"/>
    <w:rsid w:val="00A55741"/>
    <w:rsid w:val="00A56918"/>
    <w:rsid w:val="00A56E07"/>
    <w:rsid w:val="00A60950"/>
    <w:rsid w:val="00A609BB"/>
    <w:rsid w:val="00A60EF5"/>
    <w:rsid w:val="00A62572"/>
    <w:rsid w:val="00A634C5"/>
    <w:rsid w:val="00A6388D"/>
    <w:rsid w:val="00A641C2"/>
    <w:rsid w:val="00A6495F"/>
    <w:rsid w:val="00A64FE1"/>
    <w:rsid w:val="00A66F46"/>
    <w:rsid w:val="00A67B16"/>
    <w:rsid w:val="00A67C10"/>
    <w:rsid w:val="00A700EF"/>
    <w:rsid w:val="00A702AF"/>
    <w:rsid w:val="00A716B8"/>
    <w:rsid w:val="00A72724"/>
    <w:rsid w:val="00A72C07"/>
    <w:rsid w:val="00A72FE6"/>
    <w:rsid w:val="00A73087"/>
    <w:rsid w:val="00A7342A"/>
    <w:rsid w:val="00A74732"/>
    <w:rsid w:val="00A751F9"/>
    <w:rsid w:val="00A75234"/>
    <w:rsid w:val="00A755EA"/>
    <w:rsid w:val="00A75C5E"/>
    <w:rsid w:val="00A76384"/>
    <w:rsid w:val="00A76890"/>
    <w:rsid w:val="00A7768C"/>
    <w:rsid w:val="00A7771F"/>
    <w:rsid w:val="00A77B1E"/>
    <w:rsid w:val="00A804CD"/>
    <w:rsid w:val="00A820AA"/>
    <w:rsid w:val="00A82E2A"/>
    <w:rsid w:val="00A83EC1"/>
    <w:rsid w:val="00A8599D"/>
    <w:rsid w:val="00A85C3B"/>
    <w:rsid w:val="00A8633D"/>
    <w:rsid w:val="00A86D8E"/>
    <w:rsid w:val="00A903E4"/>
    <w:rsid w:val="00A9098A"/>
    <w:rsid w:val="00A91015"/>
    <w:rsid w:val="00A91538"/>
    <w:rsid w:val="00A9204C"/>
    <w:rsid w:val="00A945DF"/>
    <w:rsid w:val="00A952E5"/>
    <w:rsid w:val="00A95B78"/>
    <w:rsid w:val="00A96326"/>
    <w:rsid w:val="00A97067"/>
    <w:rsid w:val="00AA03EA"/>
    <w:rsid w:val="00AA12C1"/>
    <w:rsid w:val="00AA1752"/>
    <w:rsid w:val="00AA1A46"/>
    <w:rsid w:val="00AA1CBD"/>
    <w:rsid w:val="00AA323A"/>
    <w:rsid w:val="00AA3533"/>
    <w:rsid w:val="00AA3667"/>
    <w:rsid w:val="00AA37F7"/>
    <w:rsid w:val="00AA3B76"/>
    <w:rsid w:val="00AA4156"/>
    <w:rsid w:val="00AA49B8"/>
    <w:rsid w:val="00AA54AB"/>
    <w:rsid w:val="00AA5C57"/>
    <w:rsid w:val="00AA5C96"/>
    <w:rsid w:val="00AA5F3E"/>
    <w:rsid w:val="00AA73EE"/>
    <w:rsid w:val="00AA78BB"/>
    <w:rsid w:val="00AB158A"/>
    <w:rsid w:val="00AB16BC"/>
    <w:rsid w:val="00AB254B"/>
    <w:rsid w:val="00AB3771"/>
    <w:rsid w:val="00AB3B5E"/>
    <w:rsid w:val="00AB4623"/>
    <w:rsid w:val="00AB4764"/>
    <w:rsid w:val="00AB51F5"/>
    <w:rsid w:val="00AB5CFB"/>
    <w:rsid w:val="00AB6959"/>
    <w:rsid w:val="00AB71A0"/>
    <w:rsid w:val="00AB75F5"/>
    <w:rsid w:val="00AC04B5"/>
    <w:rsid w:val="00AC0F07"/>
    <w:rsid w:val="00AC12D2"/>
    <w:rsid w:val="00AC13BC"/>
    <w:rsid w:val="00AC1CD7"/>
    <w:rsid w:val="00AC25EA"/>
    <w:rsid w:val="00AC3025"/>
    <w:rsid w:val="00AC3AC0"/>
    <w:rsid w:val="00AC40F2"/>
    <w:rsid w:val="00AC49D4"/>
    <w:rsid w:val="00AC6030"/>
    <w:rsid w:val="00AC65EB"/>
    <w:rsid w:val="00AC6842"/>
    <w:rsid w:val="00AC685C"/>
    <w:rsid w:val="00AC69FA"/>
    <w:rsid w:val="00AC7D79"/>
    <w:rsid w:val="00AD1078"/>
    <w:rsid w:val="00AD3AB8"/>
    <w:rsid w:val="00AD3C36"/>
    <w:rsid w:val="00AD3DD1"/>
    <w:rsid w:val="00AD4430"/>
    <w:rsid w:val="00AD4AA9"/>
    <w:rsid w:val="00AD5954"/>
    <w:rsid w:val="00AD5A9F"/>
    <w:rsid w:val="00AD6998"/>
    <w:rsid w:val="00AD6C00"/>
    <w:rsid w:val="00AD6F5E"/>
    <w:rsid w:val="00AD7926"/>
    <w:rsid w:val="00AD7BBA"/>
    <w:rsid w:val="00AE0572"/>
    <w:rsid w:val="00AE0F7B"/>
    <w:rsid w:val="00AE104A"/>
    <w:rsid w:val="00AE1EB9"/>
    <w:rsid w:val="00AE4801"/>
    <w:rsid w:val="00AE49B1"/>
    <w:rsid w:val="00AE4F1E"/>
    <w:rsid w:val="00AE513B"/>
    <w:rsid w:val="00AE7558"/>
    <w:rsid w:val="00AE7AB8"/>
    <w:rsid w:val="00AF1E20"/>
    <w:rsid w:val="00AF28A6"/>
    <w:rsid w:val="00AF2DEF"/>
    <w:rsid w:val="00AF3732"/>
    <w:rsid w:val="00AF4EC4"/>
    <w:rsid w:val="00AF749C"/>
    <w:rsid w:val="00AF7971"/>
    <w:rsid w:val="00B00221"/>
    <w:rsid w:val="00B00F95"/>
    <w:rsid w:val="00B018A0"/>
    <w:rsid w:val="00B02D8C"/>
    <w:rsid w:val="00B032B6"/>
    <w:rsid w:val="00B039EB"/>
    <w:rsid w:val="00B03A3A"/>
    <w:rsid w:val="00B049F5"/>
    <w:rsid w:val="00B061B1"/>
    <w:rsid w:val="00B061B3"/>
    <w:rsid w:val="00B06667"/>
    <w:rsid w:val="00B071CC"/>
    <w:rsid w:val="00B073F5"/>
    <w:rsid w:val="00B11BB1"/>
    <w:rsid w:val="00B12750"/>
    <w:rsid w:val="00B14E3B"/>
    <w:rsid w:val="00B15034"/>
    <w:rsid w:val="00B15E17"/>
    <w:rsid w:val="00B1729D"/>
    <w:rsid w:val="00B201FB"/>
    <w:rsid w:val="00B202E6"/>
    <w:rsid w:val="00B20E23"/>
    <w:rsid w:val="00B20F55"/>
    <w:rsid w:val="00B24D15"/>
    <w:rsid w:val="00B255C4"/>
    <w:rsid w:val="00B26F31"/>
    <w:rsid w:val="00B31358"/>
    <w:rsid w:val="00B316B6"/>
    <w:rsid w:val="00B33032"/>
    <w:rsid w:val="00B33106"/>
    <w:rsid w:val="00B3454E"/>
    <w:rsid w:val="00B3566F"/>
    <w:rsid w:val="00B35900"/>
    <w:rsid w:val="00B35C24"/>
    <w:rsid w:val="00B35F4B"/>
    <w:rsid w:val="00B4073A"/>
    <w:rsid w:val="00B43F5A"/>
    <w:rsid w:val="00B4464B"/>
    <w:rsid w:val="00B44E4E"/>
    <w:rsid w:val="00B44F86"/>
    <w:rsid w:val="00B4517B"/>
    <w:rsid w:val="00B4650B"/>
    <w:rsid w:val="00B47ED7"/>
    <w:rsid w:val="00B5024D"/>
    <w:rsid w:val="00B51434"/>
    <w:rsid w:val="00B5192B"/>
    <w:rsid w:val="00B53076"/>
    <w:rsid w:val="00B533FB"/>
    <w:rsid w:val="00B53BF9"/>
    <w:rsid w:val="00B543AA"/>
    <w:rsid w:val="00B543C8"/>
    <w:rsid w:val="00B55F87"/>
    <w:rsid w:val="00B5645C"/>
    <w:rsid w:val="00B56C9F"/>
    <w:rsid w:val="00B570A2"/>
    <w:rsid w:val="00B57144"/>
    <w:rsid w:val="00B571FB"/>
    <w:rsid w:val="00B57FAD"/>
    <w:rsid w:val="00B604A6"/>
    <w:rsid w:val="00B60695"/>
    <w:rsid w:val="00B622E0"/>
    <w:rsid w:val="00B62490"/>
    <w:rsid w:val="00B628E1"/>
    <w:rsid w:val="00B63F70"/>
    <w:rsid w:val="00B6475B"/>
    <w:rsid w:val="00B65006"/>
    <w:rsid w:val="00B6521A"/>
    <w:rsid w:val="00B66639"/>
    <w:rsid w:val="00B66744"/>
    <w:rsid w:val="00B66944"/>
    <w:rsid w:val="00B66AD0"/>
    <w:rsid w:val="00B67424"/>
    <w:rsid w:val="00B67E26"/>
    <w:rsid w:val="00B70923"/>
    <w:rsid w:val="00B70A28"/>
    <w:rsid w:val="00B716E4"/>
    <w:rsid w:val="00B71D24"/>
    <w:rsid w:val="00B7253C"/>
    <w:rsid w:val="00B72A1E"/>
    <w:rsid w:val="00B730E5"/>
    <w:rsid w:val="00B733E5"/>
    <w:rsid w:val="00B735D6"/>
    <w:rsid w:val="00B740C4"/>
    <w:rsid w:val="00B750C5"/>
    <w:rsid w:val="00B75F66"/>
    <w:rsid w:val="00B77ADD"/>
    <w:rsid w:val="00B82654"/>
    <w:rsid w:val="00B826A3"/>
    <w:rsid w:val="00B8347C"/>
    <w:rsid w:val="00B83ED6"/>
    <w:rsid w:val="00B852A4"/>
    <w:rsid w:val="00B85D8F"/>
    <w:rsid w:val="00B860FC"/>
    <w:rsid w:val="00B86364"/>
    <w:rsid w:val="00B86BBA"/>
    <w:rsid w:val="00B86DBC"/>
    <w:rsid w:val="00B907FB"/>
    <w:rsid w:val="00B90AB4"/>
    <w:rsid w:val="00B91F2C"/>
    <w:rsid w:val="00B9214E"/>
    <w:rsid w:val="00B93F37"/>
    <w:rsid w:val="00B942C7"/>
    <w:rsid w:val="00B94374"/>
    <w:rsid w:val="00B94F3E"/>
    <w:rsid w:val="00B9545A"/>
    <w:rsid w:val="00B954CF"/>
    <w:rsid w:val="00B957BF"/>
    <w:rsid w:val="00B96E51"/>
    <w:rsid w:val="00B977A5"/>
    <w:rsid w:val="00B97B25"/>
    <w:rsid w:val="00B97E9A"/>
    <w:rsid w:val="00BA01C7"/>
    <w:rsid w:val="00BA0BB4"/>
    <w:rsid w:val="00BA0FCF"/>
    <w:rsid w:val="00BA2ACE"/>
    <w:rsid w:val="00BA2D5F"/>
    <w:rsid w:val="00BA3821"/>
    <w:rsid w:val="00BA3ED1"/>
    <w:rsid w:val="00BA40A1"/>
    <w:rsid w:val="00BA45D1"/>
    <w:rsid w:val="00BA4B95"/>
    <w:rsid w:val="00BA55E0"/>
    <w:rsid w:val="00BA5DCD"/>
    <w:rsid w:val="00BA615A"/>
    <w:rsid w:val="00BA639C"/>
    <w:rsid w:val="00BA6508"/>
    <w:rsid w:val="00BA777E"/>
    <w:rsid w:val="00BB0461"/>
    <w:rsid w:val="00BB1147"/>
    <w:rsid w:val="00BB152C"/>
    <w:rsid w:val="00BB248C"/>
    <w:rsid w:val="00BB2B1F"/>
    <w:rsid w:val="00BB3451"/>
    <w:rsid w:val="00BB34E7"/>
    <w:rsid w:val="00BB419B"/>
    <w:rsid w:val="00BB43DD"/>
    <w:rsid w:val="00BB501A"/>
    <w:rsid w:val="00BB54A3"/>
    <w:rsid w:val="00BB556E"/>
    <w:rsid w:val="00BB5DC2"/>
    <w:rsid w:val="00BB63CE"/>
    <w:rsid w:val="00BB63EA"/>
    <w:rsid w:val="00BB7120"/>
    <w:rsid w:val="00BC28B4"/>
    <w:rsid w:val="00BC28D6"/>
    <w:rsid w:val="00BC30A9"/>
    <w:rsid w:val="00BC32E2"/>
    <w:rsid w:val="00BC4084"/>
    <w:rsid w:val="00BC4652"/>
    <w:rsid w:val="00BC498C"/>
    <w:rsid w:val="00BC50FE"/>
    <w:rsid w:val="00BC56E3"/>
    <w:rsid w:val="00BC605B"/>
    <w:rsid w:val="00BC60AF"/>
    <w:rsid w:val="00BC6849"/>
    <w:rsid w:val="00BD04CA"/>
    <w:rsid w:val="00BD0D2C"/>
    <w:rsid w:val="00BD13E1"/>
    <w:rsid w:val="00BD1645"/>
    <w:rsid w:val="00BD3C57"/>
    <w:rsid w:val="00BD4A6D"/>
    <w:rsid w:val="00BD4CDC"/>
    <w:rsid w:val="00BD5BB6"/>
    <w:rsid w:val="00BD691D"/>
    <w:rsid w:val="00BD6EEC"/>
    <w:rsid w:val="00BD713C"/>
    <w:rsid w:val="00BD762C"/>
    <w:rsid w:val="00BE0B03"/>
    <w:rsid w:val="00BE0E5A"/>
    <w:rsid w:val="00BE0EE7"/>
    <w:rsid w:val="00BE1854"/>
    <w:rsid w:val="00BE1D77"/>
    <w:rsid w:val="00BE26E9"/>
    <w:rsid w:val="00BE2A31"/>
    <w:rsid w:val="00BE2E6B"/>
    <w:rsid w:val="00BE3885"/>
    <w:rsid w:val="00BE405B"/>
    <w:rsid w:val="00BE42BB"/>
    <w:rsid w:val="00BE4CF1"/>
    <w:rsid w:val="00BE5D27"/>
    <w:rsid w:val="00BF0BB7"/>
    <w:rsid w:val="00BF0D04"/>
    <w:rsid w:val="00BF0EFF"/>
    <w:rsid w:val="00BF18D6"/>
    <w:rsid w:val="00BF2378"/>
    <w:rsid w:val="00BF2F86"/>
    <w:rsid w:val="00BF43D4"/>
    <w:rsid w:val="00BF4748"/>
    <w:rsid w:val="00BF5BC5"/>
    <w:rsid w:val="00BF6A95"/>
    <w:rsid w:val="00C006D7"/>
    <w:rsid w:val="00C01982"/>
    <w:rsid w:val="00C01A7D"/>
    <w:rsid w:val="00C01AEB"/>
    <w:rsid w:val="00C03198"/>
    <w:rsid w:val="00C032EA"/>
    <w:rsid w:val="00C03DBD"/>
    <w:rsid w:val="00C04A09"/>
    <w:rsid w:val="00C055B4"/>
    <w:rsid w:val="00C058B4"/>
    <w:rsid w:val="00C05FCC"/>
    <w:rsid w:val="00C103DD"/>
    <w:rsid w:val="00C106BB"/>
    <w:rsid w:val="00C114CA"/>
    <w:rsid w:val="00C11693"/>
    <w:rsid w:val="00C12BCD"/>
    <w:rsid w:val="00C14295"/>
    <w:rsid w:val="00C1541E"/>
    <w:rsid w:val="00C15DFD"/>
    <w:rsid w:val="00C169D1"/>
    <w:rsid w:val="00C16B67"/>
    <w:rsid w:val="00C175E1"/>
    <w:rsid w:val="00C2018B"/>
    <w:rsid w:val="00C204A7"/>
    <w:rsid w:val="00C20F88"/>
    <w:rsid w:val="00C211FF"/>
    <w:rsid w:val="00C21F38"/>
    <w:rsid w:val="00C24C88"/>
    <w:rsid w:val="00C25C70"/>
    <w:rsid w:val="00C26084"/>
    <w:rsid w:val="00C2674C"/>
    <w:rsid w:val="00C27725"/>
    <w:rsid w:val="00C27861"/>
    <w:rsid w:val="00C301AF"/>
    <w:rsid w:val="00C30D59"/>
    <w:rsid w:val="00C317C5"/>
    <w:rsid w:val="00C32342"/>
    <w:rsid w:val="00C32A90"/>
    <w:rsid w:val="00C34AA9"/>
    <w:rsid w:val="00C35CEB"/>
    <w:rsid w:val="00C36928"/>
    <w:rsid w:val="00C36D7E"/>
    <w:rsid w:val="00C36FBB"/>
    <w:rsid w:val="00C4019B"/>
    <w:rsid w:val="00C402F9"/>
    <w:rsid w:val="00C40D28"/>
    <w:rsid w:val="00C40E9F"/>
    <w:rsid w:val="00C41139"/>
    <w:rsid w:val="00C414BD"/>
    <w:rsid w:val="00C41643"/>
    <w:rsid w:val="00C4442E"/>
    <w:rsid w:val="00C4468C"/>
    <w:rsid w:val="00C457B1"/>
    <w:rsid w:val="00C47ACE"/>
    <w:rsid w:val="00C47B13"/>
    <w:rsid w:val="00C535FA"/>
    <w:rsid w:val="00C54DEF"/>
    <w:rsid w:val="00C5500B"/>
    <w:rsid w:val="00C557CF"/>
    <w:rsid w:val="00C55A16"/>
    <w:rsid w:val="00C56280"/>
    <w:rsid w:val="00C5770E"/>
    <w:rsid w:val="00C57A89"/>
    <w:rsid w:val="00C57FB6"/>
    <w:rsid w:val="00C60F63"/>
    <w:rsid w:val="00C614F6"/>
    <w:rsid w:val="00C6192A"/>
    <w:rsid w:val="00C623A0"/>
    <w:rsid w:val="00C62A0D"/>
    <w:rsid w:val="00C63060"/>
    <w:rsid w:val="00C63E8D"/>
    <w:rsid w:val="00C6407A"/>
    <w:rsid w:val="00C656F1"/>
    <w:rsid w:val="00C65A9A"/>
    <w:rsid w:val="00C65B17"/>
    <w:rsid w:val="00C67326"/>
    <w:rsid w:val="00C67A4D"/>
    <w:rsid w:val="00C70EFF"/>
    <w:rsid w:val="00C71855"/>
    <w:rsid w:val="00C72255"/>
    <w:rsid w:val="00C72840"/>
    <w:rsid w:val="00C72E3B"/>
    <w:rsid w:val="00C73B77"/>
    <w:rsid w:val="00C74521"/>
    <w:rsid w:val="00C75266"/>
    <w:rsid w:val="00C75452"/>
    <w:rsid w:val="00C75978"/>
    <w:rsid w:val="00C76300"/>
    <w:rsid w:val="00C764D3"/>
    <w:rsid w:val="00C778D0"/>
    <w:rsid w:val="00C77CB5"/>
    <w:rsid w:val="00C80B21"/>
    <w:rsid w:val="00C8110E"/>
    <w:rsid w:val="00C81755"/>
    <w:rsid w:val="00C81D5B"/>
    <w:rsid w:val="00C82447"/>
    <w:rsid w:val="00C8435C"/>
    <w:rsid w:val="00C8569D"/>
    <w:rsid w:val="00C85A59"/>
    <w:rsid w:val="00C90DA2"/>
    <w:rsid w:val="00C914CA"/>
    <w:rsid w:val="00C92E6D"/>
    <w:rsid w:val="00C93899"/>
    <w:rsid w:val="00C94E30"/>
    <w:rsid w:val="00C96507"/>
    <w:rsid w:val="00C96ADC"/>
    <w:rsid w:val="00C96FCB"/>
    <w:rsid w:val="00C97930"/>
    <w:rsid w:val="00CA0CDB"/>
    <w:rsid w:val="00CA0D22"/>
    <w:rsid w:val="00CA1C96"/>
    <w:rsid w:val="00CA1D91"/>
    <w:rsid w:val="00CA2290"/>
    <w:rsid w:val="00CA2D3A"/>
    <w:rsid w:val="00CA45C3"/>
    <w:rsid w:val="00CA477D"/>
    <w:rsid w:val="00CA5705"/>
    <w:rsid w:val="00CA5BBA"/>
    <w:rsid w:val="00CA6B3E"/>
    <w:rsid w:val="00CA704A"/>
    <w:rsid w:val="00CA7C69"/>
    <w:rsid w:val="00CA7F85"/>
    <w:rsid w:val="00CB067E"/>
    <w:rsid w:val="00CB1EB3"/>
    <w:rsid w:val="00CB2142"/>
    <w:rsid w:val="00CB2D19"/>
    <w:rsid w:val="00CB2DBE"/>
    <w:rsid w:val="00CB307C"/>
    <w:rsid w:val="00CB4A51"/>
    <w:rsid w:val="00CB4F93"/>
    <w:rsid w:val="00CB5297"/>
    <w:rsid w:val="00CB592F"/>
    <w:rsid w:val="00CB62F6"/>
    <w:rsid w:val="00CB7364"/>
    <w:rsid w:val="00CB7474"/>
    <w:rsid w:val="00CC01C0"/>
    <w:rsid w:val="00CC0C69"/>
    <w:rsid w:val="00CC0CBB"/>
    <w:rsid w:val="00CC1D0E"/>
    <w:rsid w:val="00CC2AD2"/>
    <w:rsid w:val="00CC4520"/>
    <w:rsid w:val="00CC5BA8"/>
    <w:rsid w:val="00CC5C91"/>
    <w:rsid w:val="00CC5CD5"/>
    <w:rsid w:val="00CC6445"/>
    <w:rsid w:val="00CC6832"/>
    <w:rsid w:val="00CC6931"/>
    <w:rsid w:val="00CC6D59"/>
    <w:rsid w:val="00CD06EA"/>
    <w:rsid w:val="00CD09AF"/>
    <w:rsid w:val="00CD4170"/>
    <w:rsid w:val="00CD4BC2"/>
    <w:rsid w:val="00CD57EF"/>
    <w:rsid w:val="00CD5DCF"/>
    <w:rsid w:val="00CD68C4"/>
    <w:rsid w:val="00CD6A9A"/>
    <w:rsid w:val="00CD7030"/>
    <w:rsid w:val="00CE016D"/>
    <w:rsid w:val="00CE092F"/>
    <w:rsid w:val="00CE0C6C"/>
    <w:rsid w:val="00CE0D4E"/>
    <w:rsid w:val="00CE0E55"/>
    <w:rsid w:val="00CE19FD"/>
    <w:rsid w:val="00CE239C"/>
    <w:rsid w:val="00CE2815"/>
    <w:rsid w:val="00CE2C42"/>
    <w:rsid w:val="00CE396A"/>
    <w:rsid w:val="00CE4199"/>
    <w:rsid w:val="00CE4FFC"/>
    <w:rsid w:val="00CE6D43"/>
    <w:rsid w:val="00CE7BD4"/>
    <w:rsid w:val="00CE7D9E"/>
    <w:rsid w:val="00CF0570"/>
    <w:rsid w:val="00CF06F1"/>
    <w:rsid w:val="00CF13B1"/>
    <w:rsid w:val="00CF1658"/>
    <w:rsid w:val="00CF2078"/>
    <w:rsid w:val="00CF2E88"/>
    <w:rsid w:val="00CF3A4D"/>
    <w:rsid w:val="00CF4B9E"/>
    <w:rsid w:val="00CF4BB7"/>
    <w:rsid w:val="00CF4CD0"/>
    <w:rsid w:val="00CF787B"/>
    <w:rsid w:val="00D00253"/>
    <w:rsid w:val="00D008EA"/>
    <w:rsid w:val="00D0511A"/>
    <w:rsid w:val="00D0586E"/>
    <w:rsid w:val="00D05F54"/>
    <w:rsid w:val="00D06BF2"/>
    <w:rsid w:val="00D06DF0"/>
    <w:rsid w:val="00D07094"/>
    <w:rsid w:val="00D076F0"/>
    <w:rsid w:val="00D1173F"/>
    <w:rsid w:val="00D118F1"/>
    <w:rsid w:val="00D122F7"/>
    <w:rsid w:val="00D125AB"/>
    <w:rsid w:val="00D12934"/>
    <w:rsid w:val="00D133AB"/>
    <w:rsid w:val="00D13486"/>
    <w:rsid w:val="00D14335"/>
    <w:rsid w:val="00D15DF0"/>
    <w:rsid w:val="00D163AD"/>
    <w:rsid w:val="00D164FC"/>
    <w:rsid w:val="00D166A0"/>
    <w:rsid w:val="00D17070"/>
    <w:rsid w:val="00D17B06"/>
    <w:rsid w:val="00D20036"/>
    <w:rsid w:val="00D20AD4"/>
    <w:rsid w:val="00D20B24"/>
    <w:rsid w:val="00D2101D"/>
    <w:rsid w:val="00D211C7"/>
    <w:rsid w:val="00D2166C"/>
    <w:rsid w:val="00D219DB"/>
    <w:rsid w:val="00D21B1C"/>
    <w:rsid w:val="00D2232A"/>
    <w:rsid w:val="00D2361A"/>
    <w:rsid w:val="00D23875"/>
    <w:rsid w:val="00D243D4"/>
    <w:rsid w:val="00D24E2B"/>
    <w:rsid w:val="00D26524"/>
    <w:rsid w:val="00D303CB"/>
    <w:rsid w:val="00D30FD4"/>
    <w:rsid w:val="00D3370F"/>
    <w:rsid w:val="00D33E7E"/>
    <w:rsid w:val="00D351B1"/>
    <w:rsid w:val="00D363C3"/>
    <w:rsid w:val="00D36592"/>
    <w:rsid w:val="00D36B24"/>
    <w:rsid w:val="00D37D0E"/>
    <w:rsid w:val="00D4003C"/>
    <w:rsid w:val="00D40CD6"/>
    <w:rsid w:val="00D417E6"/>
    <w:rsid w:val="00D42BD2"/>
    <w:rsid w:val="00D4356A"/>
    <w:rsid w:val="00D43725"/>
    <w:rsid w:val="00D43CB8"/>
    <w:rsid w:val="00D445A8"/>
    <w:rsid w:val="00D44A78"/>
    <w:rsid w:val="00D4558D"/>
    <w:rsid w:val="00D4673B"/>
    <w:rsid w:val="00D47390"/>
    <w:rsid w:val="00D50820"/>
    <w:rsid w:val="00D50C84"/>
    <w:rsid w:val="00D51740"/>
    <w:rsid w:val="00D51B49"/>
    <w:rsid w:val="00D51C3A"/>
    <w:rsid w:val="00D51F9C"/>
    <w:rsid w:val="00D51FAC"/>
    <w:rsid w:val="00D52480"/>
    <w:rsid w:val="00D526DF"/>
    <w:rsid w:val="00D55A7A"/>
    <w:rsid w:val="00D577E8"/>
    <w:rsid w:val="00D5797E"/>
    <w:rsid w:val="00D579AE"/>
    <w:rsid w:val="00D602A1"/>
    <w:rsid w:val="00D606C0"/>
    <w:rsid w:val="00D614F6"/>
    <w:rsid w:val="00D61FD3"/>
    <w:rsid w:val="00D62608"/>
    <w:rsid w:val="00D63941"/>
    <w:rsid w:val="00D63C6A"/>
    <w:rsid w:val="00D64E5A"/>
    <w:rsid w:val="00D652C8"/>
    <w:rsid w:val="00D6706B"/>
    <w:rsid w:val="00D6760B"/>
    <w:rsid w:val="00D70DF1"/>
    <w:rsid w:val="00D71664"/>
    <w:rsid w:val="00D722FA"/>
    <w:rsid w:val="00D72612"/>
    <w:rsid w:val="00D7285A"/>
    <w:rsid w:val="00D7303D"/>
    <w:rsid w:val="00D7433F"/>
    <w:rsid w:val="00D74452"/>
    <w:rsid w:val="00D74AB2"/>
    <w:rsid w:val="00D7504B"/>
    <w:rsid w:val="00D75C13"/>
    <w:rsid w:val="00D76083"/>
    <w:rsid w:val="00D766A2"/>
    <w:rsid w:val="00D76AA6"/>
    <w:rsid w:val="00D8202A"/>
    <w:rsid w:val="00D82860"/>
    <w:rsid w:val="00D84E0C"/>
    <w:rsid w:val="00D85EF3"/>
    <w:rsid w:val="00D86577"/>
    <w:rsid w:val="00D86609"/>
    <w:rsid w:val="00D86B65"/>
    <w:rsid w:val="00D878C6"/>
    <w:rsid w:val="00D9015A"/>
    <w:rsid w:val="00D90412"/>
    <w:rsid w:val="00D91A04"/>
    <w:rsid w:val="00D9323E"/>
    <w:rsid w:val="00D94536"/>
    <w:rsid w:val="00D9520A"/>
    <w:rsid w:val="00D95622"/>
    <w:rsid w:val="00D966F3"/>
    <w:rsid w:val="00D979D4"/>
    <w:rsid w:val="00D97A27"/>
    <w:rsid w:val="00D97CAC"/>
    <w:rsid w:val="00D97DBD"/>
    <w:rsid w:val="00D97E06"/>
    <w:rsid w:val="00DA06D0"/>
    <w:rsid w:val="00DA0A34"/>
    <w:rsid w:val="00DA3363"/>
    <w:rsid w:val="00DA451C"/>
    <w:rsid w:val="00DA4C93"/>
    <w:rsid w:val="00DA55D1"/>
    <w:rsid w:val="00DA6E90"/>
    <w:rsid w:val="00DA769E"/>
    <w:rsid w:val="00DA7C05"/>
    <w:rsid w:val="00DB0583"/>
    <w:rsid w:val="00DB1979"/>
    <w:rsid w:val="00DB1D8E"/>
    <w:rsid w:val="00DB3990"/>
    <w:rsid w:val="00DB3E79"/>
    <w:rsid w:val="00DB3EEF"/>
    <w:rsid w:val="00DB4A6D"/>
    <w:rsid w:val="00DB4C24"/>
    <w:rsid w:val="00DB66F7"/>
    <w:rsid w:val="00DB6DB4"/>
    <w:rsid w:val="00DB6E71"/>
    <w:rsid w:val="00DB7B8F"/>
    <w:rsid w:val="00DB7FCA"/>
    <w:rsid w:val="00DC0418"/>
    <w:rsid w:val="00DC1C92"/>
    <w:rsid w:val="00DC4250"/>
    <w:rsid w:val="00DC5070"/>
    <w:rsid w:val="00DC56E4"/>
    <w:rsid w:val="00DC5A95"/>
    <w:rsid w:val="00DC6CBE"/>
    <w:rsid w:val="00DC70E6"/>
    <w:rsid w:val="00DC76ED"/>
    <w:rsid w:val="00DD1991"/>
    <w:rsid w:val="00DD4BA0"/>
    <w:rsid w:val="00DD4C33"/>
    <w:rsid w:val="00DD5A93"/>
    <w:rsid w:val="00DE0429"/>
    <w:rsid w:val="00DE14AA"/>
    <w:rsid w:val="00DE1800"/>
    <w:rsid w:val="00DE1909"/>
    <w:rsid w:val="00DE2AAC"/>
    <w:rsid w:val="00DE2F60"/>
    <w:rsid w:val="00DE3099"/>
    <w:rsid w:val="00DE35A8"/>
    <w:rsid w:val="00DE3CEB"/>
    <w:rsid w:val="00DE4AFF"/>
    <w:rsid w:val="00DE5DC5"/>
    <w:rsid w:val="00DE6010"/>
    <w:rsid w:val="00DE61CA"/>
    <w:rsid w:val="00DE7019"/>
    <w:rsid w:val="00DE7F35"/>
    <w:rsid w:val="00DF0353"/>
    <w:rsid w:val="00DF309E"/>
    <w:rsid w:val="00DF34CE"/>
    <w:rsid w:val="00DF434D"/>
    <w:rsid w:val="00DF4411"/>
    <w:rsid w:val="00DF4511"/>
    <w:rsid w:val="00DF47AD"/>
    <w:rsid w:val="00DF61B1"/>
    <w:rsid w:val="00DF68C1"/>
    <w:rsid w:val="00DF6A5D"/>
    <w:rsid w:val="00E00BE5"/>
    <w:rsid w:val="00E0136F"/>
    <w:rsid w:val="00E0169D"/>
    <w:rsid w:val="00E01961"/>
    <w:rsid w:val="00E029E3"/>
    <w:rsid w:val="00E0339C"/>
    <w:rsid w:val="00E04F28"/>
    <w:rsid w:val="00E0544D"/>
    <w:rsid w:val="00E05668"/>
    <w:rsid w:val="00E06291"/>
    <w:rsid w:val="00E062A0"/>
    <w:rsid w:val="00E0728F"/>
    <w:rsid w:val="00E072AB"/>
    <w:rsid w:val="00E07404"/>
    <w:rsid w:val="00E0749B"/>
    <w:rsid w:val="00E07C85"/>
    <w:rsid w:val="00E07E0B"/>
    <w:rsid w:val="00E11353"/>
    <w:rsid w:val="00E1138E"/>
    <w:rsid w:val="00E1199C"/>
    <w:rsid w:val="00E119E6"/>
    <w:rsid w:val="00E1266D"/>
    <w:rsid w:val="00E13CA5"/>
    <w:rsid w:val="00E14E39"/>
    <w:rsid w:val="00E15373"/>
    <w:rsid w:val="00E20066"/>
    <w:rsid w:val="00E20603"/>
    <w:rsid w:val="00E20EB1"/>
    <w:rsid w:val="00E229EF"/>
    <w:rsid w:val="00E22FA3"/>
    <w:rsid w:val="00E24486"/>
    <w:rsid w:val="00E25233"/>
    <w:rsid w:val="00E26675"/>
    <w:rsid w:val="00E267F9"/>
    <w:rsid w:val="00E268D5"/>
    <w:rsid w:val="00E26D0E"/>
    <w:rsid w:val="00E2705A"/>
    <w:rsid w:val="00E30B84"/>
    <w:rsid w:val="00E315E9"/>
    <w:rsid w:val="00E323E5"/>
    <w:rsid w:val="00E3288B"/>
    <w:rsid w:val="00E331ED"/>
    <w:rsid w:val="00E332C7"/>
    <w:rsid w:val="00E33EAF"/>
    <w:rsid w:val="00E33F4F"/>
    <w:rsid w:val="00E35966"/>
    <w:rsid w:val="00E35D40"/>
    <w:rsid w:val="00E36045"/>
    <w:rsid w:val="00E36335"/>
    <w:rsid w:val="00E3643B"/>
    <w:rsid w:val="00E365B6"/>
    <w:rsid w:val="00E37941"/>
    <w:rsid w:val="00E41312"/>
    <w:rsid w:val="00E422C0"/>
    <w:rsid w:val="00E42BC9"/>
    <w:rsid w:val="00E42F5D"/>
    <w:rsid w:val="00E4352A"/>
    <w:rsid w:val="00E461E9"/>
    <w:rsid w:val="00E46D69"/>
    <w:rsid w:val="00E474EC"/>
    <w:rsid w:val="00E50C0B"/>
    <w:rsid w:val="00E51C94"/>
    <w:rsid w:val="00E52137"/>
    <w:rsid w:val="00E522AE"/>
    <w:rsid w:val="00E52548"/>
    <w:rsid w:val="00E52683"/>
    <w:rsid w:val="00E536B9"/>
    <w:rsid w:val="00E53D95"/>
    <w:rsid w:val="00E5465D"/>
    <w:rsid w:val="00E556C1"/>
    <w:rsid w:val="00E55F61"/>
    <w:rsid w:val="00E56025"/>
    <w:rsid w:val="00E563B4"/>
    <w:rsid w:val="00E56577"/>
    <w:rsid w:val="00E56E76"/>
    <w:rsid w:val="00E57136"/>
    <w:rsid w:val="00E5775D"/>
    <w:rsid w:val="00E57E7D"/>
    <w:rsid w:val="00E60156"/>
    <w:rsid w:val="00E6085F"/>
    <w:rsid w:val="00E615C7"/>
    <w:rsid w:val="00E61C8C"/>
    <w:rsid w:val="00E61F4A"/>
    <w:rsid w:val="00E62517"/>
    <w:rsid w:val="00E634CA"/>
    <w:rsid w:val="00E63F0E"/>
    <w:rsid w:val="00E6418F"/>
    <w:rsid w:val="00E642CA"/>
    <w:rsid w:val="00E6569D"/>
    <w:rsid w:val="00E6585E"/>
    <w:rsid w:val="00E6620E"/>
    <w:rsid w:val="00E6648A"/>
    <w:rsid w:val="00E66872"/>
    <w:rsid w:val="00E67930"/>
    <w:rsid w:val="00E67AFB"/>
    <w:rsid w:val="00E71A1F"/>
    <w:rsid w:val="00E7429B"/>
    <w:rsid w:val="00E75017"/>
    <w:rsid w:val="00E75910"/>
    <w:rsid w:val="00E75F53"/>
    <w:rsid w:val="00E7616B"/>
    <w:rsid w:val="00E7715B"/>
    <w:rsid w:val="00E81254"/>
    <w:rsid w:val="00E816D1"/>
    <w:rsid w:val="00E835ED"/>
    <w:rsid w:val="00E83808"/>
    <w:rsid w:val="00E8407D"/>
    <w:rsid w:val="00E8549A"/>
    <w:rsid w:val="00E86288"/>
    <w:rsid w:val="00E86FE0"/>
    <w:rsid w:val="00E875B7"/>
    <w:rsid w:val="00E8760A"/>
    <w:rsid w:val="00E87F31"/>
    <w:rsid w:val="00E90333"/>
    <w:rsid w:val="00E91D2A"/>
    <w:rsid w:val="00E926D4"/>
    <w:rsid w:val="00E92F0C"/>
    <w:rsid w:val="00E9305B"/>
    <w:rsid w:val="00E93CA1"/>
    <w:rsid w:val="00E93FE0"/>
    <w:rsid w:val="00E94017"/>
    <w:rsid w:val="00E9497F"/>
    <w:rsid w:val="00E94A08"/>
    <w:rsid w:val="00E94AB6"/>
    <w:rsid w:val="00E9610B"/>
    <w:rsid w:val="00E97DC2"/>
    <w:rsid w:val="00E97E8B"/>
    <w:rsid w:val="00EA1FCA"/>
    <w:rsid w:val="00EA20CC"/>
    <w:rsid w:val="00EA289A"/>
    <w:rsid w:val="00EA3F7D"/>
    <w:rsid w:val="00EA3FB2"/>
    <w:rsid w:val="00EA53CE"/>
    <w:rsid w:val="00EA5435"/>
    <w:rsid w:val="00EA6083"/>
    <w:rsid w:val="00EA62BA"/>
    <w:rsid w:val="00EA65DA"/>
    <w:rsid w:val="00EA692C"/>
    <w:rsid w:val="00EA6D12"/>
    <w:rsid w:val="00EA75B1"/>
    <w:rsid w:val="00EA77D2"/>
    <w:rsid w:val="00EB0840"/>
    <w:rsid w:val="00EB0A72"/>
    <w:rsid w:val="00EB0AC9"/>
    <w:rsid w:val="00EB0CDB"/>
    <w:rsid w:val="00EB19B4"/>
    <w:rsid w:val="00EB20A3"/>
    <w:rsid w:val="00EB2156"/>
    <w:rsid w:val="00EB24F7"/>
    <w:rsid w:val="00EB2AC4"/>
    <w:rsid w:val="00EB2F6F"/>
    <w:rsid w:val="00EB54A3"/>
    <w:rsid w:val="00EB55C0"/>
    <w:rsid w:val="00EB6551"/>
    <w:rsid w:val="00EB6E07"/>
    <w:rsid w:val="00EC01E4"/>
    <w:rsid w:val="00EC0F42"/>
    <w:rsid w:val="00EC209D"/>
    <w:rsid w:val="00EC2193"/>
    <w:rsid w:val="00EC2785"/>
    <w:rsid w:val="00EC33E2"/>
    <w:rsid w:val="00EC35F7"/>
    <w:rsid w:val="00EC4254"/>
    <w:rsid w:val="00EC42E3"/>
    <w:rsid w:val="00EC5319"/>
    <w:rsid w:val="00EC5486"/>
    <w:rsid w:val="00EC5AE7"/>
    <w:rsid w:val="00EC764C"/>
    <w:rsid w:val="00EC7B7F"/>
    <w:rsid w:val="00EC7C32"/>
    <w:rsid w:val="00ED0792"/>
    <w:rsid w:val="00ED0DEB"/>
    <w:rsid w:val="00ED1320"/>
    <w:rsid w:val="00ED495A"/>
    <w:rsid w:val="00ED4A17"/>
    <w:rsid w:val="00ED4D4F"/>
    <w:rsid w:val="00ED6141"/>
    <w:rsid w:val="00ED67EC"/>
    <w:rsid w:val="00ED75D3"/>
    <w:rsid w:val="00ED7DF9"/>
    <w:rsid w:val="00ED7EF4"/>
    <w:rsid w:val="00EE074F"/>
    <w:rsid w:val="00EE0886"/>
    <w:rsid w:val="00EE0D44"/>
    <w:rsid w:val="00EE16BF"/>
    <w:rsid w:val="00EE1B2F"/>
    <w:rsid w:val="00EE3C04"/>
    <w:rsid w:val="00EE3FAD"/>
    <w:rsid w:val="00EE4195"/>
    <w:rsid w:val="00EE4860"/>
    <w:rsid w:val="00EE5810"/>
    <w:rsid w:val="00EE64A2"/>
    <w:rsid w:val="00EE765B"/>
    <w:rsid w:val="00EE77F5"/>
    <w:rsid w:val="00EF02AE"/>
    <w:rsid w:val="00EF1453"/>
    <w:rsid w:val="00EF336F"/>
    <w:rsid w:val="00EF427A"/>
    <w:rsid w:val="00EF6D7B"/>
    <w:rsid w:val="00EF743C"/>
    <w:rsid w:val="00EF7B6C"/>
    <w:rsid w:val="00EF7DBE"/>
    <w:rsid w:val="00F004E9"/>
    <w:rsid w:val="00F008DF"/>
    <w:rsid w:val="00F017F9"/>
    <w:rsid w:val="00F02D09"/>
    <w:rsid w:val="00F0309D"/>
    <w:rsid w:val="00F0316D"/>
    <w:rsid w:val="00F045E4"/>
    <w:rsid w:val="00F05E0A"/>
    <w:rsid w:val="00F05E5E"/>
    <w:rsid w:val="00F07A67"/>
    <w:rsid w:val="00F102EE"/>
    <w:rsid w:val="00F112F9"/>
    <w:rsid w:val="00F137FA"/>
    <w:rsid w:val="00F13DBE"/>
    <w:rsid w:val="00F13FFF"/>
    <w:rsid w:val="00F145DC"/>
    <w:rsid w:val="00F14C56"/>
    <w:rsid w:val="00F2065B"/>
    <w:rsid w:val="00F20B55"/>
    <w:rsid w:val="00F20F9A"/>
    <w:rsid w:val="00F23A85"/>
    <w:rsid w:val="00F23C64"/>
    <w:rsid w:val="00F24867"/>
    <w:rsid w:val="00F24A1F"/>
    <w:rsid w:val="00F25930"/>
    <w:rsid w:val="00F25D34"/>
    <w:rsid w:val="00F2629B"/>
    <w:rsid w:val="00F26AF2"/>
    <w:rsid w:val="00F27B4D"/>
    <w:rsid w:val="00F305F6"/>
    <w:rsid w:val="00F31EFC"/>
    <w:rsid w:val="00F32682"/>
    <w:rsid w:val="00F32BF3"/>
    <w:rsid w:val="00F34058"/>
    <w:rsid w:val="00F34436"/>
    <w:rsid w:val="00F3476D"/>
    <w:rsid w:val="00F35AED"/>
    <w:rsid w:val="00F35AFB"/>
    <w:rsid w:val="00F406D8"/>
    <w:rsid w:val="00F4097B"/>
    <w:rsid w:val="00F42998"/>
    <w:rsid w:val="00F43661"/>
    <w:rsid w:val="00F43D54"/>
    <w:rsid w:val="00F453CF"/>
    <w:rsid w:val="00F501F0"/>
    <w:rsid w:val="00F50BC3"/>
    <w:rsid w:val="00F51C60"/>
    <w:rsid w:val="00F51DBA"/>
    <w:rsid w:val="00F52110"/>
    <w:rsid w:val="00F522E9"/>
    <w:rsid w:val="00F52AB0"/>
    <w:rsid w:val="00F53034"/>
    <w:rsid w:val="00F533F7"/>
    <w:rsid w:val="00F538A4"/>
    <w:rsid w:val="00F54A33"/>
    <w:rsid w:val="00F55142"/>
    <w:rsid w:val="00F61CBB"/>
    <w:rsid w:val="00F627DC"/>
    <w:rsid w:val="00F62CEF"/>
    <w:rsid w:val="00F63D26"/>
    <w:rsid w:val="00F6477E"/>
    <w:rsid w:val="00F64936"/>
    <w:rsid w:val="00F665C2"/>
    <w:rsid w:val="00F66779"/>
    <w:rsid w:val="00F66CE8"/>
    <w:rsid w:val="00F66D84"/>
    <w:rsid w:val="00F6780F"/>
    <w:rsid w:val="00F70DD2"/>
    <w:rsid w:val="00F7153D"/>
    <w:rsid w:val="00F71B8E"/>
    <w:rsid w:val="00F72915"/>
    <w:rsid w:val="00F72A20"/>
    <w:rsid w:val="00F73108"/>
    <w:rsid w:val="00F73EB5"/>
    <w:rsid w:val="00F749EC"/>
    <w:rsid w:val="00F766D8"/>
    <w:rsid w:val="00F771F2"/>
    <w:rsid w:val="00F77340"/>
    <w:rsid w:val="00F77401"/>
    <w:rsid w:val="00F7768E"/>
    <w:rsid w:val="00F77985"/>
    <w:rsid w:val="00F80E74"/>
    <w:rsid w:val="00F81A88"/>
    <w:rsid w:val="00F827C1"/>
    <w:rsid w:val="00F84948"/>
    <w:rsid w:val="00F854D0"/>
    <w:rsid w:val="00F864E3"/>
    <w:rsid w:val="00F86EF8"/>
    <w:rsid w:val="00F8741B"/>
    <w:rsid w:val="00F87833"/>
    <w:rsid w:val="00F878FD"/>
    <w:rsid w:val="00F909EF"/>
    <w:rsid w:val="00F91962"/>
    <w:rsid w:val="00F92470"/>
    <w:rsid w:val="00F93108"/>
    <w:rsid w:val="00F93CBC"/>
    <w:rsid w:val="00F94C51"/>
    <w:rsid w:val="00FA042F"/>
    <w:rsid w:val="00FA0A2B"/>
    <w:rsid w:val="00FA1194"/>
    <w:rsid w:val="00FA153E"/>
    <w:rsid w:val="00FA1F5B"/>
    <w:rsid w:val="00FA2916"/>
    <w:rsid w:val="00FA3B70"/>
    <w:rsid w:val="00FA63F8"/>
    <w:rsid w:val="00FA689C"/>
    <w:rsid w:val="00FB1ACE"/>
    <w:rsid w:val="00FB1FC9"/>
    <w:rsid w:val="00FB30BF"/>
    <w:rsid w:val="00FB3932"/>
    <w:rsid w:val="00FB479A"/>
    <w:rsid w:val="00FB5404"/>
    <w:rsid w:val="00FB679B"/>
    <w:rsid w:val="00FB6879"/>
    <w:rsid w:val="00FB6BB5"/>
    <w:rsid w:val="00FB70FA"/>
    <w:rsid w:val="00FB74BE"/>
    <w:rsid w:val="00FB7905"/>
    <w:rsid w:val="00FC0881"/>
    <w:rsid w:val="00FC0F0B"/>
    <w:rsid w:val="00FC1457"/>
    <w:rsid w:val="00FC29D3"/>
    <w:rsid w:val="00FC3DD8"/>
    <w:rsid w:val="00FC43D4"/>
    <w:rsid w:val="00FC5334"/>
    <w:rsid w:val="00FC5BB2"/>
    <w:rsid w:val="00FC5F29"/>
    <w:rsid w:val="00FC5F87"/>
    <w:rsid w:val="00FC661D"/>
    <w:rsid w:val="00FC6B50"/>
    <w:rsid w:val="00FC706C"/>
    <w:rsid w:val="00FD037E"/>
    <w:rsid w:val="00FD1EC2"/>
    <w:rsid w:val="00FD2A71"/>
    <w:rsid w:val="00FD2AB6"/>
    <w:rsid w:val="00FD2B41"/>
    <w:rsid w:val="00FD498B"/>
    <w:rsid w:val="00FD4C0E"/>
    <w:rsid w:val="00FD51E7"/>
    <w:rsid w:val="00FD5509"/>
    <w:rsid w:val="00FD56CA"/>
    <w:rsid w:val="00FD6118"/>
    <w:rsid w:val="00FD65BC"/>
    <w:rsid w:val="00FD6B3B"/>
    <w:rsid w:val="00FD6E27"/>
    <w:rsid w:val="00FD708A"/>
    <w:rsid w:val="00FD7876"/>
    <w:rsid w:val="00FD7AA4"/>
    <w:rsid w:val="00FD7EF0"/>
    <w:rsid w:val="00FE0338"/>
    <w:rsid w:val="00FE0A24"/>
    <w:rsid w:val="00FE1361"/>
    <w:rsid w:val="00FE1749"/>
    <w:rsid w:val="00FE1B74"/>
    <w:rsid w:val="00FE1FAD"/>
    <w:rsid w:val="00FE2464"/>
    <w:rsid w:val="00FE3180"/>
    <w:rsid w:val="00FE4AF1"/>
    <w:rsid w:val="00FE63CC"/>
    <w:rsid w:val="00FE70DD"/>
    <w:rsid w:val="00FF09CF"/>
    <w:rsid w:val="00FF138E"/>
    <w:rsid w:val="00FF1B9B"/>
    <w:rsid w:val="00FF314A"/>
    <w:rsid w:val="00FF5660"/>
    <w:rsid w:val="00FF6619"/>
    <w:rsid w:val="00FF6853"/>
    <w:rsid w:val="016121C2"/>
    <w:rsid w:val="01E22517"/>
    <w:rsid w:val="03D99B5C"/>
    <w:rsid w:val="03EEDA16"/>
    <w:rsid w:val="03F43EE4"/>
    <w:rsid w:val="04734C02"/>
    <w:rsid w:val="059B945B"/>
    <w:rsid w:val="06C6DDF4"/>
    <w:rsid w:val="0ADEF35D"/>
    <w:rsid w:val="0B11AEDE"/>
    <w:rsid w:val="0B1B7285"/>
    <w:rsid w:val="0C2A8DB6"/>
    <w:rsid w:val="0E0ACF91"/>
    <w:rsid w:val="10771587"/>
    <w:rsid w:val="10EBC4BF"/>
    <w:rsid w:val="120F7E50"/>
    <w:rsid w:val="125A970A"/>
    <w:rsid w:val="12871319"/>
    <w:rsid w:val="13283740"/>
    <w:rsid w:val="137A8D39"/>
    <w:rsid w:val="14045E9D"/>
    <w:rsid w:val="147D4CFB"/>
    <w:rsid w:val="14DFA7CC"/>
    <w:rsid w:val="154DD75D"/>
    <w:rsid w:val="15894E2A"/>
    <w:rsid w:val="166B70A4"/>
    <w:rsid w:val="16A08D82"/>
    <w:rsid w:val="16A22315"/>
    <w:rsid w:val="17669E74"/>
    <w:rsid w:val="1987DD68"/>
    <w:rsid w:val="19E80855"/>
    <w:rsid w:val="1C80E9F5"/>
    <w:rsid w:val="1CFD0D5E"/>
    <w:rsid w:val="1DB41336"/>
    <w:rsid w:val="1F44CF35"/>
    <w:rsid w:val="1FE0CA7C"/>
    <w:rsid w:val="2004ED0E"/>
    <w:rsid w:val="202C0383"/>
    <w:rsid w:val="2189A166"/>
    <w:rsid w:val="21E1AC92"/>
    <w:rsid w:val="22AA059A"/>
    <w:rsid w:val="2379F739"/>
    <w:rsid w:val="23EBD4F0"/>
    <w:rsid w:val="243859CA"/>
    <w:rsid w:val="248F2308"/>
    <w:rsid w:val="25A9E46C"/>
    <w:rsid w:val="26842424"/>
    <w:rsid w:val="26D31AB2"/>
    <w:rsid w:val="27F65AB0"/>
    <w:rsid w:val="28F53246"/>
    <w:rsid w:val="2A393D4A"/>
    <w:rsid w:val="2A4226EF"/>
    <w:rsid w:val="2C039EC4"/>
    <w:rsid w:val="2C501D97"/>
    <w:rsid w:val="2DD11C4D"/>
    <w:rsid w:val="2E18222C"/>
    <w:rsid w:val="2FA6DB03"/>
    <w:rsid w:val="3125BA7F"/>
    <w:rsid w:val="31493729"/>
    <w:rsid w:val="3216012C"/>
    <w:rsid w:val="357E7FA7"/>
    <w:rsid w:val="36451247"/>
    <w:rsid w:val="36B5414B"/>
    <w:rsid w:val="37119A2F"/>
    <w:rsid w:val="38CAD12B"/>
    <w:rsid w:val="39205B20"/>
    <w:rsid w:val="3B339253"/>
    <w:rsid w:val="3B6AF785"/>
    <w:rsid w:val="3CA81122"/>
    <w:rsid w:val="3D46389C"/>
    <w:rsid w:val="3F53405C"/>
    <w:rsid w:val="40A918A7"/>
    <w:rsid w:val="41413B63"/>
    <w:rsid w:val="4165B3E7"/>
    <w:rsid w:val="41755C22"/>
    <w:rsid w:val="424376A6"/>
    <w:rsid w:val="443B1377"/>
    <w:rsid w:val="456A7E54"/>
    <w:rsid w:val="469BA50C"/>
    <w:rsid w:val="46E789DE"/>
    <w:rsid w:val="48308501"/>
    <w:rsid w:val="487BA213"/>
    <w:rsid w:val="499705B3"/>
    <w:rsid w:val="49F823F4"/>
    <w:rsid w:val="4A168E34"/>
    <w:rsid w:val="4A3952D2"/>
    <w:rsid w:val="4A8FF2AA"/>
    <w:rsid w:val="4C3FC069"/>
    <w:rsid w:val="4D76C34A"/>
    <w:rsid w:val="4E8F4366"/>
    <w:rsid w:val="4F205566"/>
    <w:rsid w:val="4FFC6173"/>
    <w:rsid w:val="51FAE3AC"/>
    <w:rsid w:val="52FBDDB8"/>
    <w:rsid w:val="5321B1C7"/>
    <w:rsid w:val="532D11C9"/>
    <w:rsid w:val="54663052"/>
    <w:rsid w:val="54A95159"/>
    <w:rsid w:val="551464DE"/>
    <w:rsid w:val="561B2E3D"/>
    <w:rsid w:val="5635EEA1"/>
    <w:rsid w:val="56C4EFB4"/>
    <w:rsid w:val="57424279"/>
    <w:rsid w:val="574B2C48"/>
    <w:rsid w:val="58679694"/>
    <w:rsid w:val="593F2330"/>
    <w:rsid w:val="596EA2F6"/>
    <w:rsid w:val="5B078182"/>
    <w:rsid w:val="5BBD0B53"/>
    <w:rsid w:val="5C4DA295"/>
    <w:rsid w:val="5D430142"/>
    <w:rsid w:val="5E28CAAB"/>
    <w:rsid w:val="5F5F4155"/>
    <w:rsid w:val="5F7F86A7"/>
    <w:rsid w:val="5FFF57D0"/>
    <w:rsid w:val="62C6E0D3"/>
    <w:rsid w:val="63FDE554"/>
    <w:rsid w:val="66A2DBA9"/>
    <w:rsid w:val="66E7094A"/>
    <w:rsid w:val="679B7461"/>
    <w:rsid w:val="68B790E7"/>
    <w:rsid w:val="693845EA"/>
    <w:rsid w:val="6990A735"/>
    <w:rsid w:val="69A1096F"/>
    <w:rsid w:val="6ACCDE98"/>
    <w:rsid w:val="6ADCDB04"/>
    <w:rsid w:val="6B2EF8F8"/>
    <w:rsid w:val="6BDE943F"/>
    <w:rsid w:val="6CF36EE5"/>
    <w:rsid w:val="6D329BB2"/>
    <w:rsid w:val="6D85E119"/>
    <w:rsid w:val="6E095A31"/>
    <w:rsid w:val="70370DE1"/>
    <w:rsid w:val="7073E956"/>
    <w:rsid w:val="71C97196"/>
    <w:rsid w:val="71F43971"/>
    <w:rsid w:val="729A5156"/>
    <w:rsid w:val="72FE9410"/>
    <w:rsid w:val="74B9E5C2"/>
    <w:rsid w:val="74D70A2E"/>
    <w:rsid w:val="76A2C1A2"/>
    <w:rsid w:val="7708A6C8"/>
    <w:rsid w:val="786ED1F8"/>
    <w:rsid w:val="7B266D39"/>
    <w:rsid w:val="7B9F543C"/>
    <w:rsid w:val="7BC89756"/>
    <w:rsid w:val="7D7BAA79"/>
    <w:rsid w:val="7DFFDA40"/>
    <w:rsid w:val="7E08E6B0"/>
    <w:rsid w:val="7E54528E"/>
    <w:rsid w:val="7E8342E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A50FD"/>
  <w15:docId w15:val="{63DDF7E2-5F65-4F0E-8EE5-0A24A44C4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3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7205C0"/>
    <w:rPr>
      <w:lang w:val="en-GB"/>
    </w:rPr>
  </w:style>
  <w:style w:type="paragraph" w:styleId="Heading1">
    <w:name w:val="heading 1"/>
    <w:basedOn w:val="Normal"/>
    <w:next w:val="BodyText"/>
    <w:uiPriority w:val="9"/>
    <w:qFormat/>
    <w:rsid w:val="001378F7"/>
    <w:pPr>
      <w:pageBreakBefore/>
      <w:spacing w:after="560"/>
      <w:ind w:left="720" w:hanging="720"/>
      <w:outlineLvl w:val="0"/>
    </w:pPr>
    <w:rPr>
      <w:rFonts w:ascii="Kaleko105Round-Book" w:eastAsia="Kaleko105Round-Book" w:hAnsi="Kaleko105Round-Book" w:cs="Kaleko105Round-Book"/>
      <w:color w:val="0B1F2C" w:themeColor="text1"/>
      <w:sz w:val="56"/>
      <w:szCs w:val="56"/>
    </w:rPr>
  </w:style>
  <w:style w:type="paragraph" w:styleId="Heading2">
    <w:name w:val="heading 2"/>
    <w:basedOn w:val="Normal"/>
    <w:next w:val="BodyText"/>
    <w:uiPriority w:val="9"/>
    <w:qFormat/>
    <w:rsid w:val="007A4E63"/>
    <w:pPr>
      <w:spacing w:before="400" w:after="120"/>
      <w:ind w:left="720" w:hanging="720"/>
      <w:outlineLvl w:val="1"/>
    </w:pPr>
    <w:rPr>
      <w:rFonts w:ascii="Kaleko 105 Round" w:eastAsia="Kaleko105Round-Book" w:hAnsi="Kaleko 105 Round" w:cs="Kaleko105Round-Book"/>
      <w:color w:val="009FE3" w:themeColor="accent1"/>
      <w:sz w:val="32"/>
      <w:szCs w:val="50"/>
    </w:rPr>
  </w:style>
  <w:style w:type="paragraph" w:styleId="Heading3">
    <w:name w:val="heading 3"/>
    <w:aliases w:val="Subheading"/>
    <w:basedOn w:val="Normal"/>
    <w:uiPriority w:val="9"/>
    <w:semiHidden/>
    <w:qFormat/>
    <w:rsid w:val="004713A7"/>
    <w:pPr>
      <w:spacing w:before="166"/>
      <w:outlineLvl w:val="2"/>
    </w:pPr>
    <w:rPr>
      <w:rFonts w:ascii="Kaleko105Round-Book" w:eastAsia="Kaleko105Round-Book" w:hAnsi="Kaleko105Round-Book" w:cs="Kaleko105Round-Book"/>
      <w:color w:val="009FE3"/>
      <w:szCs w:val="32"/>
    </w:rPr>
  </w:style>
  <w:style w:type="paragraph" w:styleId="Heading4">
    <w:name w:val="heading 4"/>
    <w:aliases w:val="Sub-subheading"/>
    <w:basedOn w:val="Normal"/>
    <w:next w:val="BodyText"/>
    <w:link w:val="Heading4Char"/>
    <w:uiPriority w:val="9"/>
    <w:qFormat/>
    <w:rsid w:val="00AA73EE"/>
    <w:pPr>
      <w:keepNext/>
      <w:keepLines/>
      <w:spacing w:before="180"/>
      <w:outlineLvl w:val="3"/>
    </w:pPr>
    <w:rPr>
      <w:rFonts w:asciiTheme="majorHAnsi" w:eastAsiaTheme="majorEastAsia" w:hAnsiTheme="majorHAnsi" w:cstheme="majorBidi"/>
      <w:iCs/>
      <w:color w:val="C5446E" w:themeColor="accent4"/>
    </w:rPr>
  </w:style>
  <w:style w:type="paragraph" w:styleId="Heading5">
    <w:name w:val="heading 5"/>
    <w:basedOn w:val="Normal"/>
    <w:next w:val="Normal"/>
    <w:link w:val="Heading5Char"/>
    <w:uiPriority w:val="10"/>
    <w:semiHidden/>
    <w:qFormat/>
    <w:rsid w:val="00B44E4E"/>
    <w:pPr>
      <w:keepNext/>
      <w:keepLines/>
      <w:pageBreakBefore/>
      <w:widowControl/>
      <w:tabs>
        <w:tab w:val="num" w:pos="2211"/>
      </w:tabs>
      <w:spacing w:after="120" w:line="240" w:lineRule="auto"/>
      <w:ind w:left="2211" w:hanging="2211"/>
      <w:outlineLvl w:val="4"/>
    </w:pPr>
    <w:rPr>
      <w:rFonts w:asciiTheme="majorHAnsi" w:eastAsiaTheme="majorEastAsia" w:hAnsiTheme="majorHAnsi" w:cstheme="majorBidi"/>
      <w:color w:val="009FE3"/>
      <w:sz w:val="32"/>
    </w:rPr>
  </w:style>
  <w:style w:type="paragraph" w:styleId="Heading6">
    <w:name w:val="heading 6"/>
    <w:basedOn w:val="Normal"/>
    <w:next w:val="Normal"/>
    <w:link w:val="Heading6Char"/>
    <w:uiPriority w:val="9"/>
    <w:semiHidden/>
    <w:unhideWhenUsed/>
    <w:qFormat/>
    <w:rsid w:val="0090719C"/>
    <w:pPr>
      <w:keepNext/>
      <w:keepLines/>
      <w:spacing w:before="40"/>
      <w:outlineLvl w:val="5"/>
    </w:pPr>
    <w:rPr>
      <w:rFonts w:asciiTheme="majorHAnsi" w:eastAsiaTheme="majorEastAsia" w:hAnsiTheme="majorHAnsi" w:cstheme="majorBidi"/>
      <w:color w:val="004E71" w:themeColor="accent1" w:themeShade="7F"/>
    </w:rPr>
  </w:style>
  <w:style w:type="paragraph" w:styleId="Heading7">
    <w:name w:val="heading 7"/>
    <w:basedOn w:val="Normal"/>
    <w:next w:val="Normal"/>
    <w:link w:val="Heading7Char"/>
    <w:uiPriority w:val="9"/>
    <w:semiHidden/>
    <w:unhideWhenUsed/>
    <w:qFormat/>
    <w:rsid w:val="0090719C"/>
    <w:pPr>
      <w:keepNext/>
      <w:keepLines/>
      <w:spacing w:before="40"/>
      <w:outlineLvl w:val="6"/>
    </w:pPr>
    <w:rPr>
      <w:rFonts w:asciiTheme="majorHAnsi" w:eastAsiaTheme="majorEastAsia" w:hAnsiTheme="majorHAnsi" w:cstheme="majorBidi"/>
      <w:i/>
      <w:iCs/>
      <w:color w:val="004E71" w:themeColor="accent1" w:themeShade="7F"/>
    </w:rPr>
  </w:style>
  <w:style w:type="paragraph" w:styleId="Heading8">
    <w:name w:val="heading 8"/>
    <w:basedOn w:val="Normal"/>
    <w:next w:val="Normal"/>
    <w:link w:val="Heading8Char"/>
    <w:uiPriority w:val="9"/>
    <w:semiHidden/>
    <w:unhideWhenUsed/>
    <w:qFormat/>
    <w:rsid w:val="0090719C"/>
    <w:pPr>
      <w:keepNext/>
      <w:keepLines/>
      <w:spacing w:before="40"/>
      <w:outlineLvl w:val="7"/>
    </w:pPr>
    <w:rPr>
      <w:rFonts w:asciiTheme="majorHAnsi" w:eastAsiaTheme="majorEastAsia" w:hAnsiTheme="majorHAnsi" w:cstheme="majorBidi"/>
      <w:color w:val="194563" w:themeColor="text1" w:themeTint="D8"/>
      <w:sz w:val="21"/>
      <w:szCs w:val="21"/>
    </w:rPr>
  </w:style>
  <w:style w:type="paragraph" w:styleId="Heading9">
    <w:name w:val="heading 9"/>
    <w:basedOn w:val="Normal"/>
    <w:next w:val="Normal"/>
    <w:link w:val="Heading9Char"/>
    <w:uiPriority w:val="9"/>
    <w:semiHidden/>
    <w:qFormat/>
    <w:rsid w:val="0090719C"/>
    <w:pPr>
      <w:keepNext/>
      <w:keepLines/>
      <w:spacing w:before="40"/>
      <w:outlineLvl w:val="8"/>
    </w:pPr>
    <w:rPr>
      <w:rFonts w:asciiTheme="majorHAnsi" w:eastAsiaTheme="majorEastAsia" w:hAnsiTheme="majorHAnsi" w:cstheme="majorBidi"/>
      <w:i/>
      <w:iCs/>
      <w:color w:val="194563"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8064F8"/>
    <w:pPr>
      <w:spacing w:before="576"/>
      <w:ind w:left="720" w:hanging="720"/>
    </w:pPr>
    <w:rPr>
      <w:sz w:val="28"/>
      <w:szCs w:val="28"/>
    </w:rPr>
  </w:style>
  <w:style w:type="paragraph" w:styleId="TOC2">
    <w:name w:val="toc 2"/>
    <w:basedOn w:val="Normal"/>
    <w:uiPriority w:val="39"/>
    <w:semiHidden/>
    <w:qFormat/>
    <w:pPr>
      <w:spacing w:before="14"/>
      <w:ind w:left="1020"/>
    </w:pPr>
    <w:rPr>
      <w:sz w:val="28"/>
      <w:szCs w:val="28"/>
    </w:rPr>
  </w:style>
  <w:style w:type="paragraph" w:styleId="BodyText">
    <w:name w:val="Body Text"/>
    <w:basedOn w:val="Normal"/>
    <w:link w:val="BodyTextChar"/>
    <w:uiPriority w:val="1"/>
    <w:qFormat/>
    <w:rsid w:val="00420FC1"/>
  </w:style>
  <w:style w:type="paragraph" w:styleId="ListParagraph">
    <w:name w:val="List Paragraph"/>
    <w:basedOn w:val="Normal"/>
    <w:uiPriority w:val="34"/>
    <w:qFormat/>
    <w:pPr>
      <w:spacing w:before="576"/>
      <w:ind w:left="963" w:hanging="339"/>
    </w:pPr>
  </w:style>
  <w:style w:type="paragraph" w:customStyle="1" w:styleId="TableParagraph">
    <w:name w:val="Table Paragraph"/>
    <w:basedOn w:val="Normal"/>
    <w:uiPriority w:val="1"/>
    <w:semiHidden/>
    <w:qFormat/>
    <w:pPr>
      <w:spacing w:before="108"/>
    </w:pPr>
  </w:style>
  <w:style w:type="paragraph" w:styleId="Header">
    <w:name w:val="header"/>
    <w:basedOn w:val="Normal"/>
    <w:link w:val="HeaderChar"/>
    <w:uiPriority w:val="99"/>
    <w:semiHidden/>
    <w:rsid w:val="00686EE2"/>
    <w:pPr>
      <w:tabs>
        <w:tab w:val="center" w:pos="4513"/>
        <w:tab w:val="right" w:pos="9026"/>
      </w:tabs>
      <w:spacing w:after="0" w:line="240" w:lineRule="auto"/>
    </w:pPr>
    <w:rPr>
      <w:caps/>
      <w:color w:val="0B1F2C"/>
      <w:spacing w:val="40"/>
      <w:sz w:val="16"/>
    </w:rPr>
  </w:style>
  <w:style w:type="character" w:customStyle="1" w:styleId="HeaderChar">
    <w:name w:val="Header Char"/>
    <w:basedOn w:val="DefaultParagraphFont"/>
    <w:link w:val="Header"/>
    <w:uiPriority w:val="99"/>
    <w:semiHidden/>
    <w:rsid w:val="00686EE2"/>
    <w:rPr>
      <w:caps/>
      <w:color w:val="0B1F2C"/>
      <w:spacing w:val="40"/>
      <w:sz w:val="16"/>
    </w:rPr>
  </w:style>
  <w:style w:type="paragraph" w:styleId="Footer">
    <w:name w:val="footer"/>
    <w:basedOn w:val="Normal"/>
    <w:link w:val="FooterChar"/>
    <w:uiPriority w:val="99"/>
    <w:rsid w:val="00C65A9A"/>
    <w:pPr>
      <w:tabs>
        <w:tab w:val="right" w:pos="10541"/>
      </w:tabs>
      <w:spacing w:after="0" w:line="240" w:lineRule="auto"/>
    </w:pPr>
    <w:rPr>
      <w:color w:val="0B1F2C"/>
      <w:sz w:val="16"/>
    </w:rPr>
  </w:style>
  <w:style w:type="character" w:customStyle="1" w:styleId="FooterChar">
    <w:name w:val="Footer Char"/>
    <w:basedOn w:val="DefaultParagraphFont"/>
    <w:link w:val="Footer"/>
    <w:uiPriority w:val="99"/>
    <w:rsid w:val="00EB0CDB"/>
    <w:rPr>
      <w:color w:val="0B1F2C"/>
      <w:sz w:val="16"/>
    </w:rPr>
  </w:style>
  <w:style w:type="paragraph" w:styleId="Title">
    <w:name w:val="Title"/>
    <w:aliases w:val="Report Title"/>
    <w:next w:val="Normal"/>
    <w:link w:val="TitleChar"/>
    <w:uiPriority w:val="10"/>
    <w:qFormat/>
    <w:rsid w:val="009C1D0D"/>
    <w:pPr>
      <w:spacing w:line="250" w:lineRule="auto"/>
      <w:ind w:right="851"/>
    </w:pPr>
    <w:rPr>
      <w:rFonts w:ascii="Kaleko 105 Round" w:eastAsia="Kaleko105Round-Book" w:hAnsi="Kaleko 105 Round" w:cs="Kaleko105Round-Book"/>
      <w:color w:val="FFFFFF"/>
      <w:sz w:val="50"/>
      <w:szCs w:val="50"/>
      <w:lang w:val="en-GB"/>
    </w:rPr>
  </w:style>
  <w:style w:type="character" w:customStyle="1" w:styleId="TitleChar">
    <w:name w:val="Title Char"/>
    <w:aliases w:val="Report Title Char"/>
    <w:basedOn w:val="DefaultParagraphFont"/>
    <w:link w:val="Title"/>
    <w:uiPriority w:val="10"/>
    <w:rsid w:val="009C1D0D"/>
    <w:rPr>
      <w:rFonts w:ascii="Kaleko 105 Round" w:eastAsia="Kaleko105Round-Book" w:hAnsi="Kaleko 105 Round" w:cs="Kaleko105Round-Book"/>
      <w:color w:val="FFFFFF"/>
      <w:sz w:val="50"/>
      <w:szCs w:val="50"/>
      <w:lang w:val="en-GB"/>
    </w:rPr>
  </w:style>
  <w:style w:type="paragraph" w:styleId="Subtitle">
    <w:name w:val="Subtitle"/>
    <w:basedOn w:val="Normal"/>
    <w:next w:val="Normal"/>
    <w:link w:val="SubtitleChar"/>
    <w:uiPriority w:val="11"/>
    <w:qFormat/>
    <w:rsid w:val="00FF314A"/>
    <w:rPr>
      <w:rFonts w:ascii="Kaleko 105 Round" w:hAnsi="Kaleko 105 Round"/>
      <w:b/>
      <w:bCs/>
      <w:color w:val="FFFFFF"/>
    </w:rPr>
  </w:style>
  <w:style w:type="character" w:customStyle="1" w:styleId="SubtitleChar">
    <w:name w:val="Subtitle Char"/>
    <w:basedOn w:val="DefaultParagraphFont"/>
    <w:link w:val="Subtitle"/>
    <w:uiPriority w:val="11"/>
    <w:rsid w:val="00FF314A"/>
    <w:rPr>
      <w:rFonts w:ascii="Kaleko 105 Round" w:hAnsi="Kaleko 105 Round"/>
      <w:b/>
      <w:bCs/>
      <w:color w:val="FFFFFF"/>
    </w:rPr>
  </w:style>
  <w:style w:type="numbering" w:customStyle="1" w:styleId="CENumberedHeadings">
    <w:name w:val="CE Numbered Headings"/>
    <w:uiPriority w:val="99"/>
    <w:rsid w:val="004713A7"/>
    <w:pPr>
      <w:numPr>
        <w:numId w:val="4"/>
      </w:numPr>
    </w:pPr>
  </w:style>
  <w:style w:type="paragraph" w:customStyle="1" w:styleId="StandardHeadingBlack">
    <w:name w:val="Standard Heading (Black)"/>
    <w:basedOn w:val="Normal"/>
    <w:uiPriority w:val="21"/>
    <w:qFormat/>
    <w:rsid w:val="0056414D"/>
    <w:pPr>
      <w:spacing w:before="120"/>
    </w:pPr>
    <w:rPr>
      <w:rFonts w:ascii="Kaleko 105 Round" w:hAnsi="Kaleko 105 Round"/>
      <w:color w:val="0B1F2C" w:themeColor="text1"/>
      <w:sz w:val="56"/>
    </w:rPr>
  </w:style>
  <w:style w:type="paragraph" w:customStyle="1" w:styleId="StandardHeadingWhite">
    <w:name w:val="Standard Heading (White)"/>
    <w:basedOn w:val="Heading2"/>
    <w:uiPriority w:val="21"/>
    <w:qFormat/>
    <w:rsid w:val="00473362"/>
    <w:pPr>
      <w:spacing w:before="0" w:after="0" w:line="240" w:lineRule="auto"/>
      <w:ind w:left="0" w:firstLine="0"/>
    </w:pPr>
    <w:rPr>
      <w:color w:val="FFFFFF"/>
      <w:sz w:val="50"/>
    </w:rPr>
  </w:style>
  <w:style w:type="paragraph" w:styleId="Caption">
    <w:name w:val="caption"/>
    <w:basedOn w:val="BodyText"/>
    <w:next w:val="Normal"/>
    <w:uiPriority w:val="35"/>
    <w:qFormat/>
    <w:rsid w:val="001378F7"/>
    <w:pPr>
      <w:spacing w:before="1" w:after="260"/>
    </w:pPr>
    <w:rPr>
      <w:rFonts w:ascii="Kaleko 105 Round" w:hAnsi="Kaleko 105 Round"/>
      <w:color w:val="009FE3" w:themeColor="accent1"/>
      <w:spacing w:val="-4"/>
    </w:rPr>
  </w:style>
  <w:style w:type="paragraph" w:styleId="TableofFigures">
    <w:name w:val="table of figures"/>
    <w:basedOn w:val="Normal"/>
    <w:next w:val="Normal"/>
    <w:uiPriority w:val="99"/>
    <w:rsid w:val="006A2199"/>
    <w:pPr>
      <w:tabs>
        <w:tab w:val="right" w:pos="11199"/>
      </w:tabs>
      <w:spacing w:after="60"/>
    </w:pPr>
    <w:rPr>
      <w:noProof/>
      <w:sz w:val="18"/>
    </w:rPr>
  </w:style>
  <w:style w:type="character" w:styleId="Hyperlink">
    <w:name w:val="Hyperlink"/>
    <w:basedOn w:val="DefaultParagraphFont"/>
    <w:uiPriority w:val="99"/>
    <w:rsid w:val="008E1619"/>
    <w:rPr>
      <w:color w:val="0000FF" w:themeColor="hyperlink"/>
      <w:u w:val="single"/>
      <w:lang w:val="en-GB"/>
    </w:rPr>
  </w:style>
  <w:style w:type="paragraph" w:styleId="BalloonText">
    <w:name w:val="Balloon Text"/>
    <w:basedOn w:val="Normal"/>
    <w:link w:val="BalloonTextChar"/>
    <w:uiPriority w:val="99"/>
    <w:semiHidden/>
    <w:unhideWhenUsed/>
    <w:rsid w:val="009071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19C"/>
    <w:rPr>
      <w:rFonts w:ascii="Segoe UI" w:eastAsia="Arial" w:hAnsi="Segoe UI" w:cs="Segoe UI"/>
      <w:sz w:val="18"/>
      <w:szCs w:val="18"/>
      <w:lang w:val="en-GB"/>
    </w:rPr>
  </w:style>
  <w:style w:type="paragraph" w:styleId="Bibliography">
    <w:name w:val="Bibliography"/>
    <w:basedOn w:val="Normal"/>
    <w:next w:val="Normal"/>
    <w:uiPriority w:val="37"/>
    <w:semiHidden/>
    <w:unhideWhenUsed/>
    <w:rsid w:val="0090719C"/>
  </w:style>
  <w:style w:type="paragraph" w:styleId="BlockText">
    <w:name w:val="Block Text"/>
    <w:basedOn w:val="Normal"/>
    <w:uiPriority w:val="99"/>
    <w:semiHidden/>
    <w:unhideWhenUsed/>
    <w:rsid w:val="0090719C"/>
    <w:pPr>
      <w:pBdr>
        <w:top w:val="single" w:sz="2" w:space="10" w:color="009FE3" w:themeColor="accent1"/>
        <w:left w:val="single" w:sz="2" w:space="10" w:color="009FE3" w:themeColor="accent1"/>
        <w:bottom w:val="single" w:sz="2" w:space="10" w:color="009FE3" w:themeColor="accent1"/>
        <w:right w:val="single" w:sz="2" w:space="10" w:color="009FE3" w:themeColor="accent1"/>
      </w:pBdr>
      <w:ind w:left="1152" w:right="1152"/>
    </w:pPr>
    <w:rPr>
      <w:rFonts w:eastAsiaTheme="minorEastAsia"/>
      <w:i/>
      <w:iCs/>
      <w:color w:val="009FE3" w:themeColor="accent1"/>
    </w:rPr>
  </w:style>
  <w:style w:type="paragraph" w:styleId="BodyText2">
    <w:name w:val="Body Text 2"/>
    <w:basedOn w:val="Normal"/>
    <w:link w:val="BodyText2Char"/>
    <w:uiPriority w:val="99"/>
    <w:semiHidden/>
    <w:unhideWhenUsed/>
    <w:rsid w:val="0090719C"/>
    <w:pPr>
      <w:spacing w:after="120" w:line="480" w:lineRule="auto"/>
    </w:pPr>
  </w:style>
  <w:style w:type="character" w:customStyle="1" w:styleId="BodyText2Char">
    <w:name w:val="Body Text 2 Char"/>
    <w:basedOn w:val="DefaultParagraphFont"/>
    <w:link w:val="BodyText2"/>
    <w:uiPriority w:val="99"/>
    <w:semiHidden/>
    <w:rsid w:val="0090719C"/>
    <w:rPr>
      <w:rFonts w:ascii="Arial" w:eastAsia="Arial" w:hAnsi="Arial" w:cs="Arial"/>
      <w:lang w:val="en-GB"/>
    </w:rPr>
  </w:style>
  <w:style w:type="paragraph" w:styleId="BodyText3">
    <w:name w:val="Body Text 3"/>
    <w:basedOn w:val="Normal"/>
    <w:link w:val="BodyText3Char"/>
    <w:uiPriority w:val="99"/>
    <w:semiHidden/>
    <w:unhideWhenUsed/>
    <w:rsid w:val="0090719C"/>
    <w:pPr>
      <w:spacing w:after="120"/>
    </w:pPr>
    <w:rPr>
      <w:sz w:val="16"/>
      <w:szCs w:val="16"/>
    </w:rPr>
  </w:style>
  <w:style w:type="character" w:customStyle="1" w:styleId="BodyText3Char">
    <w:name w:val="Body Text 3 Char"/>
    <w:basedOn w:val="DefaultParagraphFont"/>
    <w:link w:val="BodyText3"/>
    <w:uiPriority w:val="99"/>
    <w:semiHidden/>
    <w:rsid w:val="0090719C"/>
    <w:rPr>
      <w:rFonts w:ascii="Arial" w:eastAsia="Arial" w:hAnsi="Arial" w:cs="Arial"/>
      <w:sz w:val="16"/>
      <w:szCs w:val="16"/>
      <w:lang w:val="en-GB"/>
    </w:rPr>
  </w:style>
  <w:style w:type="paragraph" w:styleId="BodyTextFirstIndent">
    <w:name w:val="Body Text First Indent"/>
    <w:basedOn w:val="BodyText"/>
    <w:link w:val="BodyTextFirstIndentChar"/>
    <w:uiPriority w:val="99"/>
    <w:semiHidden/>
    <w:unhideWhenUsed/>
    <w:rsid w:val="0090719C"/>
    <w:pPr>
      <w:ind w:firstLine="360"/>
    </w:pPr>
  </w:style>
  <w:style w:type="character" w:customStyle="1" w:styleId="BodyTextChar">
    <w:name w:val="Body Text Char"/>
    <w:basedOn w:val="DefaultParagraphFont"/>
    <w:link w:val="BodyText"/>
    <w:uiPriority w:val="1"/>
    <w:rsid w:val="00420FC1"/>
    <w:rPr>
      <w:lang w:val="en-GB"/>
    </w:rPr>
  </w:style>
  <w:style w:type="character" w:customStyle="1" w:styleId="BodyTextFirstIndentChar">
    <w:name w:val="Body Text First Indent Char"/>
    <w:basedOn w:val="BodyTextChar"/>
    <w:link w:val="BodyTextFirstIndent"/>
    <w:uiPriority w:val="99"/>
    <w:semiHidden/>
    <w:rsid w:val="0090719C"/>
    <w:rPr>
      <w:rFonts w:ascii="Arial" w:eastAsia="Arial" w:hAnsi="Arial" w:cs="Arial"/>
      <w:sz w:val="20"/>
      <w:szCs w:val="20"/>
      <w:lang w:val="en-GB"/>
    </w:rPr>
  </w:style>
  <w:style w:type="paragraph" w:styleId="BodyTextIndent">
    <w:name w:val="Body Text Indent"/>
    <w:basedOn w:val="BodyText"/>
    <w:link w:val="BodyTextIndentChar"/>
    <w:uiPriority w:val="1"/>
    <w:rsid w:val="00E2705A"/>
    <w:pPr>
      <w:spacing w:after="180"/>
      <w:ind w:left="454"/>
    </w:pPr>
  </w:style>
  <w:style w:type="character" w:customStyle="1" w:styleId="BodyTextIndentChar">
    <w:name w:val="Body Text Indent Char"/>
    <w:basedOn w:val="DefaultParagraphFont"/>
    <w:link w:val="BodyTextIndent"/>
    <w:uiPriority w:val="1"/>
    <w:rsid w:val="00E2705A"/>
  </w:style>
  <w:style w:type="paragraph" w:styleId="BodyTextFirstIndent2">
    <w:name w:val="Body Text First Indent 2"/>
    <w:basedOn w:val="BodyTextIndent"/>
    <w:link w:val="BodyTextFirstIndent2Char"/>
    <w:uiPriority w:val="99"/>
    <w:semiHidden/>
    <w:unhideWhenUsed/>
    <w:rsid w:val="0090719C"/>
    <w:pPr>
      <w:spacing w:after="0"/>
      <w:ind w:left="360" w:firstLine="360"/>
    </w:pPr>
  </w:style>
  <w:style w:type="character" w:customStyle="1" w:styleId="BodyTextFirstIndent2Char">
    <w:name w:val="Body Text First Indent 2 Char"/>
    <w:basedOn w:val="BodyTextIndentChar"/>
    <w:link w:val="BodyTextFirstIndent2"/>
    <w:uiPriority w:val="99"/>
    <w:semiHidden/>
    <w:rsid w:val="0090719C"/>
    <w:rPr>
      <w:rFonts w:ascii="Arial" w:eastAsia="Arial" w:hAnsi="Arial" w:cs="Arial"/>
      <w:lang w:val="en-GB"/>
    </w:rPr>
  </w:style>
  <w:style w:type="paragraph" w:styleId="BodyTextIndent2">
    <w:name w:val="Body Text Indent 2"/>
    <w:basedOn w:val="Normal"/>
    <w:link w:val="BodyTextIndent2Char"/>
    <w:uiPriority w:val="99"/>
    <w:semiHidden/>
    <w:unhideWhenUsed/>
    <w:rsid w:val="0090719C"/>
    <w:pPr>
      <w:spacing w:after="120" w:line="480" w:lineRule="auto"/>
      <w:ind w:left="283"/>
    </w:pPr>
  </w:style>
  <w:style w:type="character" w:customStyle="1" w:styleId="BodyTextIndent2Char">
    <w:name w:val="Body Text Indent 2 Char"/>
    <w:basedOn w:val="DefaultParagraphFont"/>
    <w:link w:val="BodyTextIndent2"/>
    <w:uiPriority w:val="99"/>
    <w:semiHidden/>
    <w:rsid w:val="0090719C"/>
    <w:rPr>
      <w:rFonts w:ascii="Arial" w:eastAsia="Arial" w:hAnsi="Arial" w:cs="Arial"/>
      <w:lang w:val="en-GB"/>
    </w:rPr>
  </w:style>
  <w:style w:type="paragraph" w:styleId="BodyTextIndent3">
    <w:name w:val="Body Text Indent 3"/>
    <w:basedOn w:val="Normal"/>
    <w:link w:val="BodyTextIndent3Char"/>
    <w:uiPriority w:val="99"/>
    <w:semiHidden/>
    <w:unhideWhenUsed/>
    <w:rsid w:val="0090719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0719C"/>
    <w:rPr>
      <w:rFonts w:ascii="Arial" w:eastAsia="Arial" w:hAnsi="Arial" w:cs="Arial"/>
      <w:sz w:val="16"/>
      <w:szCs w:val="16"/>
      <w:lang w:val="en-GB"/>
    </w:rPr>
  </w:style>
  <w:style w:type="character" w:styleId="BookTitle">
    <w:name w:val="Book Title"/>
    <w:basedOn w:val="DefaultParagraphFont"/>
    <w:uiPriority w:val="33"/>
    <w:semiHidden/>
    <w:qFormat/>
    <w:rsid w:val="0090719C"/>
    <w:rPr>
      <w:b/>
      <w:bCs/>
      <w:i/>
      <w:iCs/>
      <w:spacing w:val="5"/>
      <w:lang w:val="en-GB"/>
    </w:rPr>
  </w:style>
  <w:style w:type="paragraph" w:styleId="Closing">
    <w:name w:val="Closing"/>
    <w:basedOn w:val="Normal"/>
    <w:link w:val="ClosingChar"/>
    <w:uiPriority w:val="99"/>
    <w:semiHidden/>
    <w:unhideWhenUsed/>
    <w:rsid w:val="0090719C"/>
    <w:pPr>
      <w:ind w:left="4252"/>
    </w:pPr>
  </w:style>
  <w:style w:type="character" w:customStyle="1" w:styleId="ClosingChar">
    <w:name w:val="Closing Char"/>
    <w:basedOn w:val="DefaultParagraphFont"/>
    <w:link w:val="Closing"/>
    <w:uiPriority w:val="99"/>
    <w:semiHidden/>
    <w:rsid w:val="0090719C"/>
    <w:rPr>
      <w:rFonts w:ascii="Arial" w:eastAsia="Arial" w:hAnsi="Arial" w:cs="Arial"/>
      <w:lang w:val="en-GB"/>
    </w:rPr>
  </w:style>
  <w:style w:type="table" w:styleId="ColourfulGrid">
    <w:name w:val="Colorful Grid"/>
    <w:basedOn w:val="TableNormal"/>
    <w:uiPriority w:val="73"/>
    <w:semiHidden/>
    <w:unhideWhenUsed/>
    <w:rsid w:val="0090719C"/>
    <w:rPr>
      <w:color w:val="0B1F2C" w:themeColor="text1"/>
    </w:rPr>
    <w:tblPr>
      <w:tblStyleRowBandSize w:val="1"/>
      <w:tblStyleColBandSize w:val="1"/>
      <w:tblBorders>
        <w:insideH w:val="single" w:sz="4" w:space="0" w:color="FFFFFF" w:themeColor="background1"/>
      </w:tblBorders>
    </w:tblPr>
    <w:tcPr>
      <w:shd w:val="clear" w:color="auto" w:fill="B6D7EC" w:themeFill="text1" w:themeFillTint="33"/>
    </w:tcPr>
    <w:tblStylePr w:type="firstRow">
      <w:rPr>
        <w:b/>
        <w:bCs/>
      </w:rPr>
      <w:tblPr/>
      <w:tcPr>
        <w:shd w:val="clear" w:color="auto" w:fill="6DAFDA" w:themeFill="text1" w:themeFillTint="66"/>
      </w:tcPr>
    </w:tblStylePr>
    <w:tblStylePr w:type="lastRow">
      <w:rPr>
        <w:b/>
        <w:bCs/>
        <w:color w:val="0B1F2C" w:themeColor="text1"/>
      </w:rPr>
      <w:tblPr/>
      <w:tcPr>
        <w:shd w:val="clear" w:color="auto" w:fill="6DAFDA" w:themeFill="text1" w:themeFillTint="66"/>
      </w:tcPr>
    </w:tblStylePr>
    <w:tblStylePr w:type="firstCol">
      <w:rPr>
        <w:color w:val="FFFFFF" w:themeColor="background1"/>
      </w:rPr>
      <w:tblPr/>
      <w:tcPr>
        <w:shd w:val="clear" w:color="auto" w:fill="081720" w:themeFill="text1" w:themeFillShade="BF"/>
      </w:tcPr>
    </w:tblStylePr>
    <w:tblStylePr w:type="lastCol">
      <w:rPr>
        <w:color w:val="FFFFFF" w:themeColor="background1"/>
      </w:rPr>
      <w:tblPr/>
      <w:tcPr>
        <w:shd w:val="clear" w:color="auto" w:fill="081720" w:themeFill="text1" w:themeFillShade="BF"/>
      </w:tcPr>
    </w:tblStylePr>
    <w:tblStylePr w:type="band1Vert">
      <w:tblPr/>
      <w:tcPr>
        <w:shd w:val="clear" w:color="auto" w:fill="499BD1" w:themeFill="text1" w:themeFillTint="7F"/>
      </w:tcPr>
    </w:tblStylePr>
    <w:tblStylePr w:type="band1Horz">
      <w:tblPr/>
      <w:tcPr>
        <w:shd w:val="clear" w:color="auto" w:fill="499BD1" w:themeFill="text1" w:themeFillTint="7F"/>
      </w:tcPr>
    </w:tblStylePr>
  </w:style>
  <w:style w:type="table" w:styleId="ColourfulGridAccent1">
    <w:name w:val="Colorful Grid Accent 1"/>
    <w:basedOn w:val="TableNormal"/>
    <w:uiPriority w:val="73"/>
    <w:semiHidden/>
    <w:unhideWhenUsed/>
    <w:rsid w:val="0090719C"/>
    <w:rPr>
      <w:color w:val="0B1F2C" w:themeColor="text1"/>
    </w:rPr>
    <w:tblPr>
      <w:tblStyleRowBandSize w:val="1"/>
      <w:tblStyleColBandSize w:val="1"/>
      <w:tblBorders>
        <w:insideH w:val="single" w:sz="4" w:space="0" w:color="FFFFFF" w:themeColor="background1"/>
      </w:tblBorders>
    </w:tblPr>
    <w:tcPr>
      <w:shd w:val="clear" w:color="auto" w:fill="C6EDFF" w:themeFill="accent1" w:themeFillTint="33"/>
    </w:tcPr>
    <w:tblStylePr w:type="firstRow">
      <w:rPr>
        <w:b/>
        <w:bCs/>
      </w:rPr>
      <w:tblPr/>
      <w:tcPr>
        <w:shd w:val="clear" w:color="auto" w:fill="8DDCFF" w:themeFill="accent1" w:themeFillTint="66"/>
      </w:tcPr>
    </w:tblStylePr>
    <w:tblStylePr w:type="lastRow">
      <w:rPr>
        <w:b/>
        <w:bCs/>
        <w:color w:val="0B1F2C" w:themeColor="text1"/>
      </w:rPr>
      <w:tblPr/>
      <w:tcPr>
        <w:shd w:val="clear" w:color="auto" w:fill="8DDCFF" w:themeFill="accent1" w:themeFillTint="66"/>
      </w:tcPr>
    </w:tblStylePr>
    <w:tblStylePr w:type="firstCol">
      <w:rPr>
        <w:color w:val="FFFFFF" w:themeColor="background1"/>
      </w:rPr>
      <w:tblPr/>
      <w:tcPr>
        <w:shd w:val="clear" w:color="auto" w:fill="0076AA" w:themeFill="accent1" w:themeFillShade="BF"/>
      </w:tcPr>
    </w:tblStylePr>
    <w:tblStylePr w:type="lastCol">
      <w:rPr>
        <w:color w:val="FFFFFF" w:themeColor="background1"/>
      </w:rPr>
      <w:tblPr/>
      <w:tcPr>
        <w:shd w:val="clear" w:color="auto" w:fill="0076AA" w:themeFill="accent1" w:themeFillShade="BF"/>
      </w:tcPr>
    </w:tblStylePr>
    <w:tblStylePr w:type="band1Vert">
      <w:tblPr/>
      <w:tcPr>
        <w:shd w:val="clear" w:color="auto" w:fill="72D4FF" w:themeFill="accent1" w:themeFillTint="7F"/>
      </w:tcPr>
    </w:tblStylePr>
    <w:tblStylePr w:type="band1Horz">
      <w:tblPr/>
      <w:tcPr>
        <w:shd w:val="clear" w:color="auto" w:fill="72D4FF" w:themeFill="accent1" w:themeFillTint="7F"/>
      </w:tcPr>
    </w:tblStylePr>
  </w:style>
  <w:style w:type="table" w:styleId="ColourfulGridAccent2">
    <w:name w:val="Colorful Grid Accent 2"/>
    <w:basedOn w:val="TableNormal"/>
    <w:uiPriority w:val="73"/>
    <w:semiHidden/>
    <w:unhideWhenUsed/>
    <w:rsid w:val="0090719C"/>
    <w:rPr>
      <w:color w:val="0B1F2C" w:themeColor="text1"/>
    </w:rPr>
    <w:tblPr>
      <w:tblStyleRowBandSize w:val="1"/>
      <w:tblStyleColBandSize w:val="1"/>
      <w:tblBorders>
        <w:insideH w:val="single" w:sz="4" w:space="0" w:color="FFFFFF" w:themeColor="background1"/>
      </w:tblBorders>
    </w:tblPr>
    <w:tcPr>
      <w:shd w:val="clear" w:color="auto" w:fill="FFB2FF" w:themeFill="accent2" w:themeFillTint="33"/>
    </w:tcPr>
    <w:tblStylePr w:type="firstRow">
      <w:rPr>
        <w:b/>
        <w:bCs/>
      </w:rPr>
      <w:tblPr/>
      <w:tcPr>
        <w:shd w:val="clear" w:color="auto" w:fill="FF66FF" w:themeFill="accent2" w:themeFillTint="66"/>
      </w:tcPr>
    </w:tblStylePr>
    <w:tblStylePr w:type="lastRow">
      <w:rPr>
        <w:b/>
        <w:bCs/>
        <w:color w:val="0B1F2C" w:themeColor="text1"/>
      </w:rPr>
      <w:tblPr/>
      <w:tcPr>
        <w:shd w:val="clear" w:color="auto" w:fill="FF66FF" w:themeFill="accent2" w:themeFillTint="66"/>
      </w:tcPr>
    </w:tblStylePr>
    <w:tblStylePr w:type="firstCol">
      <w:rPr>
        <w:color w:val="FFFFFF" w:themeColor="background1"/>
      </w:rPr>
      <w:tblPr/>
      <w:tcPr>
        <w:shd w:val="clear" w:color="auto" w:fill="5F005F" w:themeFill="accent2" w:themeFillShade="BF"/>
      </w:tcPr>
    </w:tblStylePr>
    <w:tblStylePr w:type="lastCol">
      <w:rPr>
        <w:color w:val="FFFFFF" w:themeColor="background1"/>
      </w:rPr>
      <w:tblPr/>
      <w:tcPr>
        <w:shd w:val="clear" w:color="auto" w:fill="5F005F" w:themeFill="accent2" w:themeFillShade="BF"/>
      </w:tcPr>
    </w:tblStylePr>
    <w:tblStylePr w:type="band1Vert">
      <w:tblPr/>
      <w:tcPr>
        <w:shd w:val="clear" w:color="auto" w:fill="FF40FF" w:themeFill="accent2" w:themeFillTint="7F"/>
      </w:tcPr>
    </w:tblStylePr>
    <w:tblStylePr w:type="band1Horz">
      <w:tblPr/>
      <w:tcPr>
        <w:shd w:val="clear" w:color="auto" w:fill="FF40FF" w:themeFill="accent2" w:themeFillTint="7F"/>
      </w:tcPr>
    </w:tblStylePr>
  </w:style>
  <w:style w:type="table" w:styleId="ColourfulGridAccent3">
    <w:name w:val="Colorful Grid Accent 3"/>
    <w:basedOn w:val="TableNormal"/>
    <w:uiPriority w:val="73"/>
    <w:semiHidden/>
    <w:unhideWhenUsed/>
    <w:rsid w:val="0090719C"/>
    <w:rPr>
      <w:color w:val="0B1F2C" w:themeColor="text1"/>
    </w:rPr>
    <w:tblPr>
      <w:tblStyleRowBandSize w:val="1"/>
      <w:tblStyleColBandSize w:val="1"/>
      <w:tblBorders>
        <w:insideH w:val="single" w:sz="4" w:space="0" w:color="FFFFFF" w:themeColor="background1"/>
      </w:tblBorders>
    </w:tblPr>
    <w:tcPr>
      <w:shd w:val="clear" w:color="auto" w:fill="D0F5F4" w:themeFill="accent3" w:themeFillTint="33"/>
    </w:tcPr>
    <w:tblStylePr w:type="firstRow">
      <w:rPr>
        <w:b/>
        <w:bCs/>
      </w:rPr>
      <w:tblPr/>
      <w:tcPr>
        <w:shd w:val="clear" w:color="auto" w:fill="A1ECEA" w:themeFill="accent3" w:themeFillTint="66"/>
      </w:tcPr>
    </w:tblStylePr>
    <w:tblStylePr w:type="lastRow">
      <w:rPr>
        <w:b/>
        <w:bCs/>
        <w:color w:val="0B1F2C" w:themeColor="text1"/>
      </w:rPr>
      <w:tblPr/>
      <w:tcPr>
        <w:shd w:val="clear" w:color="auto" w:fill="A1ECEA" w:themeFill="accent3" w:themeFillTint="66"/>
      </w:tcPr>
    </w:tblStylePr>
    <w:tblStylePr w:type="firstCol">
      <w:rPr>
        <w:color w:val="FFFFFF" w:themeColor="background1"/>
      </w:rPr>
      <w:tblPr/>
      <w:tcPr>
        <w:shd w:val="clear" w:color="auto" w:fill="1C8F8C" w:themeFill="accent3" w:themeFillShade="BF"/>
      </w:tcPr>
    </w:tblStylePr>
    <w:tblStylePr w:type="lastCol">
      <w:rPr>
        <w:color w:val="FFFFFF" w:themeColor="background1"/>
      </w:rPr>
      <w:tblPr/>
      <w:tcPr>
        <w:shd w:val="clear" w:color="auto" w:fill="1C8F8C" w:themeFill="accent3" w:themeFillShade="BF"/>
      </w:tcPr>
    </w:tblStylePr>
    <w:tblStylePr w:type="band1Vert">
      <w:tblPr/>
      <w:tcPr>
        <w:shd w:val="clear" w:color="auto" w:fill="8AE8E5" w:themeFill="accent3" w:themeFillTint="7F"/>
      </w:tcPr>
    </w:tblStylePr>
    <w:tblStylePr w:type="band1Horz">
      <w:tblPr/>
      <w:tcPr>
        <w:shd w:val="clear" w:color="auto" w:fill="8AE8E5" w:themeFill="accent3" w:themeFillTint="7F"/>
      </w:tcPr>
    </w:tblStylePr>
  </w:style>
  <w:style w:type="table" w:styleId="ColourfulGridAccent4">
    <w:name w:val="Colorful Grid Accent 4"/>
    <w:basedOn w:val="TableNormal"/>
    <w:uiPriority w:val="73"/>
    <w:semiHidden/>
    <w:unhideWhenUsed/>
    <w:rsid w:val="0090719C"/>
    <w:rPr>
      <w:color w:val="0B1F2C" w:themeColor="text1"/>
    </w:rPr>
    <w:tblPr>
      <w:tblStyleRowBandSize w:val="1"/>
      <w:tblStyleColBandSize w:val="1"/>
      <w:tblBorders>
        <w:insideH w:val="single" w:sz="4" w:space="0" w:color="FFFFFF" w:themeColor="background1"/>
      </w:tblBorders>
    </w:tblPr>
    <w:tcPr>
      <w:shd w:val="clear" w:color="auto" w:fill="F3D9E1" w:themeFill="accent4" w:themeFillTint="33"/>
    </w:tcPr>
    <w:tblStylePr w:type="firstRow">
      <w:rPr>
        <w:b/>
        <w:bCs/>
      </w:rPr>
      <w:tblPr/>
      <w:tcPr>
        <w:shd w:val="clear" w:color="auto" w:fill="E7B4C4" w:themeFill="accent4" w:themeFillTint="66"/>
      </w:tcPr>
    </w:tblStylePr>
    <w:tblStylePr w:type="lastRow">
      <w:rPr>
        <w:b/>
        <w:bCs/>
        <w:color w:val="0B1F2C" w:themeColor="text1"/>
      </w:rPr>
      <w:tblPr/>
      <w:tcPr>
        <w:shd w:val="clear" w:color="auto" w:fill="E7B4C4" w:themeFill="accent4" w:themeFillTint="66"/>
      </w:tcPr>
    </w:tblStylePr>
    <w:tblStylePr w:type="firstCol">
      <w:rPr>
        <w:color w:val="FFFFFF" w:themeColor="background1"/>
      </w:rPr>
      <w:tblPr/>
      <w:tcPr>
        <w:shd w:val="clear" w:color="auto" w:fill="972F50" w:themeFill="accent4" w:themeFillShade="BF"/>
      </w:tcPr>
    </w:tblStylePr>
    <w:tblStylePr w:type="lastCol">
      <w:rPr>
        <w:color w:val="FFFFFF" w:themeColor="background1"/>
      </w:rPr>
      <w:tblPr/>
      <w:tcPr>
        <w:shd w:val="clear" w:color="auto" w:fill="972F50" w:themeFill="accent4" w:themeFillShade="BF"/>
      </w:tcPr>
    </w:tblStylePr>
    <w:tblStylePr w:type="band1Vert">
      <w:tblPr/>
      <w:tcPr>
        <w:shd w:val="clear" w:color="auto" w:fill="E2A1B6" w:themeFill="accent4" w:themeFillTint="7F"/>
      </w:tcPr>
    </w:tblStylePr>
    <w:tblStylePr w:type="band1Horz">
      <w:tblPr/>
      <w:tcPr>
        <w:shd w:val="clear" w:color="auto" w:fill="E2A1B6" w:themeFill="accent4" w:themeFillTint="7F"/>
      </w:tcPr>
    </w:tblStylePr>
  </w:style>
  <w:style w:type="table" w:styleId="ColourfulGridAccent5">
    <w:name w:val="Colorful Grid Accent 5"/>
    <w:basedOn w:val="TableNormal"/>
    <w:uiPriority w:val="73"/>
    <w:semiHidden/>
    <w:unhideWhenUsed/>
    <w:rsid w:val="0090719C"/>
    <w:rPr>
      <w:color w:val="0B1F2C" w:themeColor="text1"/>
    </w:rPr>
    <w:tblPr>
      <w:tblStyleRowBandSize w:val="1"/>
      <w:tblStyleColBandSize w:val="1"/>
      <w:tblBorders>
        <w:insideH w:val="single" w:sz="4" w:space="0" w:color="FFFFFF" w:themeColor="background1"/>
      </w:tblBorders>
    </w:tblPr>
    <w:tcPr>
      <w:shd w:val="clear" w:color="auto" w:fill="B6D7EC" w:themeFill="accent5" w:themeFillTint="33"/>
    </w:tcPr>
    <w:tblStylePr w:type="firstRow">
      <w:rPr>
        <w:b/>
        <w:bCs/>
      </w:rPr>
      <w:tblPr/>
      <w:tcPr>
        <w:shd w:val="clear" w:color="auto" w:fill="6DAFDA" w:themeFill="accent5" w:themeFillTint="66"/>
      </w:tcPr>
    </w:tblStylePr>
    <w:tblStylePr w:type="lastRow">
      <w:rPr>
        <w:b/>
        <w:bCs/>
        <w:color w:val="0B1F2C" w:themeColor="text1"/>
      </w:rPr>
      <w:tblPr/>
      <w:tcPr>
        <w:shd w:val="clear" w:color="auto" w:fill="6DAFDA" w:themeFill="accent5" w:themeFillTint="66"/>
      </w:tcPr>
    </w:tblStylePr>
    <w:tblStylePr w:type="firstCol">
      <w:rPr>
        <w:color w:val="FFFFFF" w:themeColor="background1"/>
      </w:rPr>
      <w:tblPr/>
      <w:tcPr>
        <w:shd w:val="clear" w:color="auto" w:fill="081720" w:themeFill="accent5" w:themeFillShade="BF"/>
      </w:tcPr>
    </w:tblStylePr>
    <w:tblStylePr w:type="lastCol">
      <w:rPr>
        <w:color w:val="FFFFFF" w:themeColor="background1"/>
      </w:rPr>
      <w:tblPr/>
      <w:tcPr>
        <w:shd w:val="clear" w:color="auto" w:fill="081720" w:themeFill="accent5" w:themeFillShade="BF"/>
      </w:tcPr>
    </w:tblStylePr>
    <w:tblStylePr w:type="band1Vert">
      <w:tblPr/>
      <w:tcPr>
        <w:shd w:val="clear" w:color="auto" w:fill="499BD1" w:themeFill="accent5" w:themeFillTint="7F"/>
      </w:tcPr>
    </w:tblStylePr>
    <w:tblStylePr w:type="band1Horz">
      <w:tblPr/>
      <w:tcPr>
        <w:shd w:val="clear" w:color="auto" w:fill="499BD1" w:themeFill="accent5" w:themeFillTint="7F"/>
      </w:tcPr>
    </w:tblStylePr>
  </w:style>
  <w:style w:type="table" w:styleId="ColourfulGridAccent6">
    <w:name w:val="Colorful Grid Accent 6"/>
    <w:basedOn w:val="TableNormal"/>
    <w:uiPriority w:val="73"/>
    <w:semiHidden/>
    <w:unhideWhenUsed/>
    <w:rsid w:val="0090719C"/>
    <w:rPr>
      <w:color w:val="0B1F2C" w:themeColor="text1"/>
    </w:rPr>
    <w:tblPr>
      <w:tblStyleRowBandSize w:val="1"/>
      <w:tblStyleColBandSize w:val="1"/>
      <w:tblBorders>
        <w:insideH w:val="single" w:sz="4" w:space="0" w:color="FFFFFF" w:themeColor="background1"/>
      </w:tblBorders>
    </w:tblPr>
    <w:tcPr>
      <w:shd w:val="clear" w:color="auto" w:fill="E8E8E8" w:themeFill="accent6" w:themeFillTint="33"/>
    </w:tcPr>
    <w:tblStylePr w:type="firstRow">
      <w:rPr>
        <w:b/>
        <w:bCs/>
      </w:rPr>
      <w:tblPr/>
      <w:tcPr>
        <w:shd w:val="clear" w:color="auto" w:fill="D2D2D2" w:themeFill="accent6" w:themeFillTint="66"/>
      </w:tcPr>
    </w:tblStylePr>
    <w:tblStylePr w:type="lastRow">
      <w:rPr>
        <w:b/>
        <w:bCs/>
        <w:color w:val="0B1F2C" w:themeColor="text1"/>
      </w:rPr>
      <w:tblPr/>
      <w:tcPr>
        <w:shd w:val="clear" w:color="auto" w:fill="D2D2D2" w:themeFill="accent6" w:themeFillTint="66"/>
      </w:tcPr>
    </w:tblStylePr>
    <w:tblStylePr w:type="firstCol">
      <w:rPr>
        <w:color w:val="FFFFFF" w:themeColor="background1"/>
      </w:rPr>
      <w:tblPr/>
      <w:tcPr>
        <w:shd w:val="clear" w:color="auto" w:fill="6B6B6B" w:themeFill="accent6" w:themeFillShade="BF"/>
      </w:tcPr>
    </w:tblStylePr>
    <w:tblStylePr w:type="lastCol">
      <w:rPr>
        <w:color w:val="FFFFFF" w:themeColor="background1"/>
      </w:rPr>
      <w:tblPr/>
      <w:tcPr>
        <w:shd w:val="clear" w:color="auto" w:fill="6B6B6B" w:themeFill="accent6" w:themeFillShade="BF"/>
      </w:tcPr>
    </w:tblStylePr>
    <w:tblStylePr w:type="band1Vert">
      <w:tblPr/>
      <w:tcPr>
        <w:shd w:val="clear" w:color="auto" w:fill="C7C7C7" w:themeFill="accent6" w:themeFillTint="7F"/>
      </w:tcPr>
    </w:tblStylePr>
    <w:tblStylePr w:type="band1Horz">
      <w:tblPr/>
      <w:tcPr>
        <w:shd w:val="clear" w:color="auto" w:fill="C7C7C7" w:themeFill="accent6" w:themeFillTint="7F"/>
      </w:tcPr>
    </w:tblStylePr>
  </w:style>
  <w:style w:type="table" w:styleId="ColourfulList">
    <w:name w:val="Colorful List"/>
    <w:basedOn w:val="TableNormal"/>
    <w:uiPriority w:val="72"/>
    <w:semiHidden/>
    <w:unhideWhenUsed/>
    <w:rsid w:val="0090719C"/>
    <w:rPr>
      <w:color w:val="0B1F2C" w:themeColor="text1"/>
    </w:rPr>
    <w:tblPr>
      <w:tblStyleRowBandSize w:val="1"/>
      <w:tblStyleColBandSize w:val="1"/>
    </w:tblPr>
    <w:tcPr>
      <w:shd w:val="clear" w:color="auto" w:fill="DBEBF6" w:themeFill="text1" w:themeFillTint="19"/>
    </w:tcPr>
    <w:tblStylePr w:type="firstRow">
      <w:rPr>
        <w:b/>
        <w:bCs/>
        <w:color w:val="FFFFFF" w:themeColor="background1"/>
      </w:rPr>
      <w:tblPr/>
      <w:tcPr>
        <w:tcBorders>
          <w:bottom w:val="single" w:sz="12" w:space="0" w:color="FFFFFF" w:themeColor="background1"/>
        </w:tcBorders>
        <w:shd w:val="clear" w:color="auto" w:fill="660066" w:themeFill="accent2" w:themeFillShade="CC"/>
      </w:tcPr>
    </w:tblStylePr>
    <w:tblStylePr w:type="lastRow">
      <w:rPr>
        <w:b/>
        <w:bCs/>
        <w:color w:val="660066" w:themeColor="accent2" w:themeShade="CC"/>
      </w:rPr>
      <w:tblPr/>
      <w:tcPr>
        <w:tcBorders>
          <w:top w:val="single" w:sz="12" w:space="0" w:color="0B1F2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CDE8" w:themeFill="text1" w:themeFillTint="3F"/>
      </w:tcPr>
    </w:tblStylePr>
    <w:tblStylePr w:type="band1Horz">
      <w:tblPr/>
      <w:tcPr>
        <w:shd w:val="clear" w:color="auto" w:fill="B6D7EC" w:themeFill="text1" w:themeFillTint="33"/>
      </w:tcPr>
    </w:tblStylePr>
  </w:style>
  <w:style w:type="table" w:styleId="ColourfulListAccent1">
    <w:name w:val="Colorful List Accent 1"/>
    <w:basedOn w:val="TableNormal"/>
    <w:uiPriority w:val="72"/>
    <w:semiHidden/>
    <w:unhideWhenUsed/>
    <w:rsid w:val="0090719C"/>
    <w:rPr>
      <w:color w:val="0B1F2C" w:themeColor="text1"/>
    </w:rPr>
    <w:tblPr>
      <w:tblStyleRowBandSize w:val="1"/>
      <w:tblStyleColBandSize w:val="1"/>
    </w:tblPr>
    <w:tcPr>
      <w:shd w:val="clear" w:color="auto" w:fill="E3F6FF" w:themeFill="accent1" w:themeFillTint="19"/>
    </w:tcPr>
    <w:tblStylePr w:type="firstRow">
      <w:rPr>
        <w:b/>
        <w:bCs/>
        <w:color w:val="FFFFFF" w:themeColor="background1"/>
      </w:rPr>
      <w:tblPr/>
      <w:tcPr>
        <w:tcBorders>
          <w:bottom w:val="single" w:sz="12" w:space="0" w:color="FFFFFF" w:themeColor="background1"/>
        </w:tcBorders>
        <w:shd w:val="clear" w:color="auto" w:fill="660066" w:themeFill="accent2" w:themeFillShade="CC"/>
      </w:tcPr>
    </w:tblStylePr>
    <w:tblStylePr w:type="lastRow">
      <w:rPr>
        <w:b/>
        <w:bCs/>
        <w:color w:val="660066" w:themeColor="accent2" w:themeShade="CC"/>
      </w:rPr>
      <w:tblPr/>
      <w:tcPr>
        <w:tcBorders>
          <w:top w:val="single" w:sz="12" w:space="0" w:color="0B1F2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9FF" w:themeFill="accent1" w:themeFillTint="3F"/>
      </w:tcPr>
    </w:tblStylePr>
    <w:tblStylePr w:type="band1Horz">
      <w:tblPr/>
      <w:tcPr>
        <w:shd w:val="clear" w:color="auto" w:fill="C6EDFF" w:themeFill="accent1" w:themeFillTint="33"/>
      </w:tcPr>
    </w:tblStylePr>
  </w:style>
  <w:style w:type="table" w:styleId="ColourfulListAccent2">
    <w:name w:val="Colorful List Accent 2"/>
    <w:basedOn w:val="TableNormal"/>
    <w:uiPriority w:val="72"/>
    <w:semiHidden/>
    <w:unhideWhenUsed/>
    <w:rsid w:val="0090719C"/>
    <w:rPr>
      <w:color w:val="0B1F2C" w:themeColor="text1"/>
    </w:rPr>
    <w:tblPr>
      <w:tblStyleRowBandSize w:val="1"/>
      <w:tblStyleColBandSize w:val="1"/>
    </w:tblPr>
    <w:tcPr>
      <w:shd w:val="clear" w:color="auto" w:fill="FFD9FF" w:themeFill="accent2" w:themeFillTint="19"/>
    </w:tcPr>
    <w:tblStylePr w:type="firstRow">
      <w:rPr>
        <w:b/>
        <w:bCs/>
        <w:color w:val="FFFFFF" w:themeColor="background1"/>
      </w:rPr>
      <w:tblPr/>
      <w:tcPr>
        <w:tcBorders>
          <w:bottom w:val="single" w:sz="12" w:space="0" w:color="FFFFFF" w:themeColor="background1"/>
        </w:tcBorders>
        <w:shd w:val="clear" w:color="auto" w:fill="660066" w:themeFill="accent2" w:themeFillShade="CC"/>
      </w:tcPr>
    </w:tblStylePr>
    <w:tblStylePr w:type="lastRow">
      <w:rPr>
        <w:b/>
        <w:bCs/>
        <w:color w:val="660066" w:themeColor="accent2" w:themeShade="CC"/>
      </w:rPr>
      <w:tblPr/>
      <w:tcPr>
        <w:tcBorders>
          <w:top w:val="single" w:sz="12" w:space="0" w:color="0B1F2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0FF" w:themeFill="accent2" w:themeFillTint="3F"/>
      </w:tcPr>
    </w:tblStylePr>
    <w:tblStylePr w:type="band1Horz">
      <w:tblPr/>
      <w:tcPr>
        <w:shd w:val="clear" w:color="auto" w:fill="FFB2FF" w:themeFill="accent2" w:themeFillTint="33"/>
      </w:tcPr>
    </w:tblStylePr>
  </w:style>
  <w:style w:type="table" w:styleId="ColourfulListAccent3">
    <w:name w:val="Colorful List Accent 3"/>
    <w:basedOn w:val="TableNormal"/>
    <w:uiPriority w:val="72"/>
    <w:semiHidden/>
    <w:unhideWhenUsed/>
    <w:rsid w:val="0090719C"/>
    <w:rPr>
      <w:color w:val="0B1F2C" w:themeColor="text1"/>
    </w:rPr>
    <w:tblPr>
      <w:tblStyleRowBandSize w:val="1"/>
      <w:tblStyleColBandSize w:val="1"/>
    </w:tblPr>
    <w:tcPr>
      <w:shd w:val="clear" w:color="auto" w:fill="E7FAF9" w:themeFill="accent3" w:themeFillTint="19"/>
    </w:tcPr>
    <w:tblStylePr w:type="firstRow">
      <w:rPr>
        <w:b/>
        <w:bCs/>
        <w:color w:val="FFFFFF" w:themeColor="background1"/>
      </w:rPr>
      <w:tblPr/>
      <w:tcPr>
        <w:tcBorders>
          <w:bottom w:val="single" w:sz="12" w:space="0" w:color="FFFFFF" w:themeColor="background1"/>
        </w:tcBorders>
        <w:shd w:val="clear" w:color="auto" w:fill="A13256" w:themeFill="accent4" w:themeFillShade="CC"/>
      </w:tcPr>
    </w:tblStylePr>
    <w:tblStylePr w:type="lastRow">
      <w:rPr>
        <w:b/>
        <w:bCs/>
        <w:color w:val="A13256" w:themeColor="accent4" w:themeShade="CC"/>
      </w:rPr>
      <w:tblPr/>
      <w:tcPr>
        <w:tcBorders>
          <w:top w:val="single" w:sz="12" w:space="0" w:color="0B1F2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3F2" w:themeFill="accent3" w:themeFillTint="3F"/>
      </w:tcPr>
    </w:tblStylePr>
    <w:tblStylePr w:type="band1Horz">
      <w:tblPr/>
      <w:tcPr>
        <w:shd w:val="clear" w:color="auto" w:fill="D0F5F4" w:themeFill="accent3" w:themeFillTint="33"/>
      </w:tcPr>
    </w:tblStylePr>
  </w:style>
  <w:style w:type="table" w:styleId="ColourfulListAccent4">
    <w:name w:val="Colorful List Accent 4"/>
    <w:basedOn w:val="TableNormal"/>
    <w:uiPriority w:val="72"/>
    <w:semiHidden/>
    <w:unhideWhenUsed/>
    <w:rsid w:val="0090719C"/>
    <w:rPr>
      <w:color w:val="0B1F2C" w:themeColor="text1"/>
    </w:rPr>
    <w:tblPr>
      <w:tblStyleRowBandSize w:val="1"/>
      <w:tblStyleColBandSize w:val="1"/>
    </w:tblPr>
    <w:tcPr>
      <w:shd w:val="clear" w:color="auto" w:fill="F9ECF0" w:themeFill="accent4" w:themeFillTint="19"/>
    </w:tcPr>
    <w:tblStylePr w:type="firstRow">
      <w:rPr>
        <w:b/>
        <w:bCs/>
        <w:color w:val="FFFFFF" w:themeColor="background1"/>
      </w:rPr>
      <w:tblPr/>
      <w:tcPr>
        <w:tcBorders>
          <w:bottom w:val="single" w:sz="12" w:space="0" w:color="FFFFFF" w:themeColor="background1"/>
        </w:tcBorders>
        <w:shd w:val="clear" w:color="auto" w:fill="1E9996" w:themeFill="accent3" w:themeFillShade="CC"/>
      </w:tcPr>
    </w:tblStylePr>
    <w:tblStylePr w:type="lastRow">
      <w:rPr>
        <w:b/>
        <w:bCs/>
        <w:color w:val="1E9996" w:themeColor="accent3" w:themeShade="CC"/>
      </w:rPr>
      <w:tblPr/>
      <w:tcPr>
        <w:tcBorders>
          <w:top w:val="single" w:sz="12" w:space="0" w:color="0B1F2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D0DB" w:themeFill="accent4" w:themeFillTint="3F"/>
      </w:tcPr>
    </w:tblStylePr>
    <w:tblStylePr w:type="band1Horz">
      <w:tblPr/>
      <w:tcPr>
        <w:shd w:val="clear" w:color="auto" w:fill="F3D9E1" w:themeFill="accent4" w:themeFillTint="33"/>
      </w:tcPr>
    </w:tblStylePr>
  </w:style>
  <w:style w:type="table" w:styleId="ColourfulListAccent5">
    <w:name w:val="Colorful List Accent 5"/>
    <w:basedOn w:val="TableNormal"/>
    <w:uiPriority w:val="72"/>
    <w:semiHidden/>
    <w:unhideWhenUsed/>
    <w:rsid w:val="0090719C"/>
    <w:rPr>
      <w:color w:val="0B1F2C" w:themeColor="text1"/>
    </w:rPr>
    <w:tblPr>
      <w:tblStyleRowBandSize w:val="1"/>
      <w:tblStyleColBandSize w:val="1"/>
    </w:tblPr>
    <w:tcPr>
      <w:shd w:val="clear" w:color="auto" w:fill="DBEBF6" w:themeFill="accent5" w:themeFillTint="19"/>
    </w:tcPr>
    <w:tblStylePr w:type="firstRow">
      <w:rPr>
        <w:b/>
        <w:bCs/>
        <w:color w:val="FFFFFF" w:themeColor="background1"/>
      </w:rPr>
      <w:tblPr/>
      <w:tcPr>
        <w:tcBorders>
          <w:bottom w:val="single" w:sz="12" w:space="0" w:color="FFFFFF" w:themeColor="background1"/>
        </w:tcBorders>
        <w:shd w:val="clear" w:color="auto" w:fill="737373" w:themeFill="accent6" w:themeFillShade="CC"/>
      </w:tcPr>
    </w:tblStylePr>
    <w:tblStylePr w:type="lastRow">
      <w:rPr>
        <w:b/>
        <w:bCs/>
        <w:color w:val="737373" w:themeColor="accent6" w:themeShade="CC"/>
      </w:rPr>
      <w:tblPr/>
      <w:tcPr>
        <w:tcBorders>
          <w:top w:val="single" w:sz="12" w:space="0" w:color="0B1F2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CDE8" w:themeFill="accent5" w:themeFillTint="3F"/>
      </w:tcPr>
    </w:tblStylePr>
    <w:tblStylePr w:type="band1Horz">
      <w:tblPr/>
      <w:tcPr>
        <w:shd w:val="clear" w:color="auto" w:fill="B6D7EC" w:themeFill="accent5" w:themeFillTint="33"/>
      </w:tcPr>
    </w:tblStylePr>
  </w:style>
  <w:style w:type="table" w:styleId="ColourfulListAccent6">
    <w:name w:val="Colorful List Accent 6"/>
    <w:basedOn w:val="TableNormal"/>
    <w:uiPriority w:val="72"/>
    <w:semiHidden/>
    <w:unhideWhenUsed/>
    <w:rsid w:val="0090719C"/>
    <w:rPr>
      <w:color w:val="0B1F2C" w:themeColor="text1"/>
    </w:rPr>
    <w:tblPr>
      <w:tblStyleRowBandSize w:val="1"/>
      <w:tblStyleColBandSize w:val="1"/>
    </w:tblPr>
    <w:tcPr>
      <w:shd w:val="clear" w:color="auto" w:fill="F4F4F4" w:themeFill="accent6" w:themeFillTint="19"/>
    </w:tcPr>
    <w:tblStylePr w:type="firstRow">
      <w:rPr>
        <w:b/>
        <w:bCs/>
        <w:color w:val="FFFFFF" w:themeColor="background1"/>
      </w:rPr>
      <w:tblPr/>
      <w:tcPr>
        <w:tcBorders>
          <w:bottom w:val="single" w:sz="12" w:space="0" w:color="FFFFFF" w:themeColor="background1"/>
        </w:tcBorders>
        <w:shd w:val="clear" w:color="auto" w:fill="081823" w:themeFill="accent5" w:themeFillShade="CC"/>
      </w:tcPr>
    </w:tblStylePr>
    <w:tblStylePr w:type="lastRow">
      <w:rPr>
        <w:b/>
        <w:bCs/>
        <w:color w:val="081823" w:themeColor="accent5" w:themeShade="CC"/>
      </w:rPr>
      <w:tblPr/>
      <w:tcPr>
        <w:tcBorders>
          <w:top w:val="single" w:sz="12" w:space="0" w:color="0B1F2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3E3" w:themeFill="accent6" w:themeFillTint="3F"/>
      </w:tcPr>
    </w:tblStylePr>
    <w:tblStylePr w:type="band1Horz">
      <w:tblPr/>
      <w:tcPr>
        <w:shd w:val="clear" w:color="auto" w:fill="E8E8E8" w:themeFill="accent6" w:themeFillTint="33"/>
      </w:tcPr>
    </w:tblStylePr>
  </w:style>
  <w:style w:type="table" w:styleId="ColourfulShading">
    <w:name w:val="Colorful Shading"/>
    <w:basedOn w:val="TableNormal"/>
    <w:uiPriority w:val="71"/>
    <w:semiHidden/>
    <w:unhideWhenUsed/>
    <w:rsid w:val="0090719C"/>
    <w:rPr>
      <w:color w:val="0B1F2C" w:themeColor="text1"/>
    </w:rPr>
    <w:tblPr>
      <w:tblStyleRowBandSize w:val="1"/>
      <w:tblStyleColBandSize w:val="1"/>
      <w:tblBorders>
        <w:top w:val="single" w:sz="24" w:space="0" w:color="800080" w:themeColor="accent2"/>
        <w:left w:val="single" w:sz="4" w:space="0" w:color="0B1F2C" w:themeColor="text1"/>
        <w:bottom w:val="single" w:sz="4" w:space="0" w:color="0B1F2C" w:themeColor="text1"/>
        <w:right w:val="single" w:sz="4" w:space="0" w:color="0B1F2C" w:themeColor="text1"/>
        <w:insideH w:val="single" w:sz="4" w:space="0" w:color="FFFFFF" w:themeColor="background1"/>
        <w:insideV w:val="single" w:sz="4" w:space="0" w:color="FFFFFF" w:themeColor="background1"/>
      </w:tblBorders>
    </w:tblPr>
    <w:tcPr>
      <w:shd w:val="clear" w:color="auto" w:fill="DBEBF6" w:themeFill="text1" w:themeFillTint="19"/>
    </w:tcPr>
    <w:tblStylePr w:type="firstRow">
      <w:rPr>
        <w:b/>
        <w:bCs/>
      </w:rPr>
      <w:tblPr/>
      <w:tcPr>
        <w:tcBorders>
          <w:top w:val="nil"/>
          <w:left w:val="nil"/>
          <w:bottom w:val="single" w:sz="24" w:space="0" w:color="80008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121A" w:themeFill="text1" w:themeFillShade="99"/>
      </w:tcPr>
    </w:tblStylePr>
    <w:tblStylePr w:type="firstCol">
      <w:rPr>
        <w:color w:val="FFFFFF" w:themeColor="background1"/>
      </w:rPr>
      <w:tblPr/>
      <w:tcPr>
        <w:tcBorders>
          <w:top w:val="nil"/>
          <w:left w:val="nil"/>
          <w:bottom w:val="nil"/>
          <w:right w:val="nil"/>
          <w:insideH w:val="single" w:sz="4" w:space="0" w:color="06121A" w:themeColor="text1" w:themeShade="99"/>
          <w:insideV w:val="nil"/>
        </w:tcBorders>
        <w:shd w:val="clear" w:color="auto" w:fill="06121A"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81720" w:themeFill="text1" w:themeFillShade="BF"/>
      </w:tcPr>
    </w:tblStylePr>
    <w:tblStylePr w:type="band1Vert">
      <w:tblPr/>
      <w:tcPr>
        <w:shd w:val="clear" w:color="auto" w:fill="6DAFDA" w:themeFill="text1" w:themeFillTint="66"/>
      </w:tcPr>
    </w:tblStylePr>
    <w:tblStylePr w:type="band1Horz">
      <w:tblPr/>
      <w:tcPr>
        <w:shd w:val="clear" w:color="auto" w:fill="499BD1" w:themeFill="text1" w:themeFillTint="7F"/>
      </w:tcPr>
    </w:tblStylePr>
    <w:tblStylePr w:type="neCell">
      <w:rPr>
        <w:color w:val="0B1F2C" w:themeColor="text1"/>
      </w:rPr>
    </w:tblStylePr>
    <w:tblStylePr w:type="nwCell">
      <w:rPr>
        <w:color w:val="0B1F2C" w:themeColor="text1"/>
      </w:rPr>
    </w:tblStylePr>
  </w:style>
  <w:style w:type="table" w:styleId="ColourfulShadingAccent1">
    <w:name w:val="Colorful Shading Accent 1"/>
    <w:basedOn w:val="TableNormal"/>
    <w:uiPriority w:val="71"/>
    <w:semiHidden/>
    <w:unhideWhenUsed/>
    <w:rsid w:val="0090719C"/>
    <w:rPr>
      <w:color w:val="0B1F2C" w:themeColor="text1"/>
    </w:rPr>
    <w:tblPr>
      <w:tblStyleRowBandSize w:val="1"/>
      <w:tblStyleColBandSize w:val="1"/>
      <w:tblBorders>
        <w:top w:val="single" w:sz="24" w:space="0" w:color="800080" w:themeColor="accent2"/>
        <w:left w:val="single" w:sz="4" w:space="0" w:color="009FE3" w:themeColor="accent1"/>
        <w:bottom w:val="single" w:sz="4" w:space="0" w:color="009FE3" w:themeColor="accent1"/>
        <w:right w:val="single" w:sz="4" w:space="0" w:color="009FE3" w:themeColor="accent1"/>
        <w:insideH w:val="single" w:sz="4" w:space="0" w:color="FFFFFF" w:themeColor="background1"/>
        <w:insideV w:val="single" w:sz="4" w:space="0" w:color="FFFFFF" w:themeColor="background1"/>
      </w:tblBorders>
    </w:tblPr>
    <w:tcPr>
      <w:shd w:val="clear" w:color="auto" w:fill="E3F6FF" w:themeFill="accent1" w:themeFillTint="19"/>
    </w:tcPr>
    <w:tblStylePr w:type="firstRow">
      <w:rPr>
        <w:b/>
        <w:bCs/>
      </w:rPr>
      <w:tblPr/>
      <w:tcPr>
        <w:tcBorders>
          <w:top w:val="nil"/>
          <w:left w:val="nil"/>
          <w:bottom w:val="single" w:sz="24" w:space="0" w:color="80008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E88" w:themeFill="accent1" w:themeFillShade="99"/>
      </w:tcPr>
    </w:tblStylePr>
    <w:tblStylePr w:type="firstCol">
      <w:rPr>
        <w:color w:val="FFFFFF" w:themeColor="background1"/>
      </w:rPr>
      <w:tblPr/>
      <w:tcPr>
        <w:tcBorders>
          <w:top w:val="nil"/>
          <w:left w:val="nil"/>
          <w:bottom w:val="nil"/>
          <w:right w:val="nil"/>
          <w:insideH w:val="single" w:sz="4" w:space="0" w:color="005E88" w:themeColor="accent1" w:themeShade="99"/>
          <w:insideV w:val="nil"/>
        </w:tcBorders>
        <w:shd w:val="clear" w:color="auto" w:fill="005E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E88" w:themeFill="accent1" w:themeFillShade="99"/>
      </w:tcPr>
    </w:tblStylePr>
    <w:tblStylePr w:type="band1Vert">
      <w:tblPr/>
      <w:tcPr>
        <w:shd w:val="clear" w:color="auto" w:fill="8DDCFF" w:themeFill="accent1" w:themeFillTint="66"/>
      </w:tcPr>
    </w:tblStylePr>
    <w:tblStylePr w:type="band1Horz">
      <w:tblPr/>
      <w:tcPr>
        <w:shd w:val="clear" w:color="auto" w:fill="72D4FF" w:themeFill="accent1" w:themeFillTint="7F"/>
      </w:tcPr>
    </w:tblStylePr>
    <w:tblStylePr w:type="neCell">
      <w:rPr>
        <w:color w:val="0B1F2C" w:themeColor="text1"/>
      </w:rPr>
    </w:tblStylePr>
    <w:tblStylePr w:type="nwCell">
      <w:rPr>
        <w:color w:val="0B1F2C" w:themeColor="text1"/>
      </w:rPr>
    </w:tblStylePr>
  </w:style>
  <w:style w:type="table" w:styleId="ColourfulShadingAccent2">
    <w:name w:val="Colorful Shading Accent 2"/>
    <w:basedOn w:val="TableNormal"/>
    <w:uiPriority w:val="71"/>
    <w:semiHidden/>
    <w:unhideWhenUsed/>
    <w:rsid w:val="0090719C"/>
    <w:rPr>
      <w:color w:val="0B1F2C" w:themeColor="text1"/>
    </w:rPr>
    <w:tblPr>
      <w:tblStyleRowBandSize w:val="1"/>
      <w:tblStyleColBandSize w:val="1"/>
      <w:tblBorders>
        <w:top w:val="single" w:sz="24" w:space="0" w:color="800080" w:themeColor="accent2"/>
        <w:left w:val="single" w:sz="4" w:space="0" w:color="800080" w:themeColor="accent2"/>
        <w:bottom w:val="single" w:sz="4" w:space="0" w:color="800080" w:themeColor="accent2"/>
        <w:right w:val="single" w:sz="4" w:space="0" w:color="800080" w:themeColor="accent2"/>
        <w:insideH w:val="single" w:sz="4" w:space="0" w:color="FFFFFF" w:themeColor="background1"/>
        <w:insideV w:val="single" w:sz="4" w:space="0" w:color="FFFFFF" w:themeColor="background1"/>
      </w:tblBorders>
    </w:tblPr>
    <w:tcPr>
      <w:shd w:val="clear" w:color="auto" w:fill="FFD9FF" w:themeFill="accent2" w:themeFillTint="19"/>
    </w:tcPr>
    <w:tblStylePr w:type="firstRow">
      <w:rPr>
        <w:b/>
        <w:bCs/>
      </w:rPr>
      <w:tblPr/>
      <w:tcPr>
        <w:tcBorders>
          <w:top w:val="nil"/>
          <w:left w:val="nil"/>
          <w:bottom w:val="single" w:sz="24" w:space="0" w:color="80008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004C" w:themeFill="accent2" w:themeFillShade="99"/>
      </w:tcPr>
    </w:tblStylePr>
    <w:tblStylePr w:type="firstCol">
      <w:rPr>
        <w:color w:val="FFFFFF" w:themeColor="background1"/>
      </w:rPr>
      <w:tblPr/>
      <w:tcPr>
        <w:tcBorders>
          <w:top w:val="nil"/>
          <w:left w:val="nil"/>
          <w:bottom w:val="nil"/>
          <w:right w:val="nil"/>
          <w:insideH w:val="single" w:sz="4" w:space="0" w:color="4C004C" w:themeColor="accent2" w:themeShade="99"/>
          <w:insideV w:val="nil"/>
        </w:tcBorders>
        <w:shd w:val="clear" w:color="auto" w:fill="4C004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C004C" w:themeFill="accent2" w:themeFillShade="99"/>
      </w:tcPr>
    </w:tblStylePr>
    <w:tblStylePr w:type="band1Vert">
      <w:tblPr/>
      <w:tcPr>
        <w:shd w:val="clear" w:color="auto" w:fill="FF66FF" w:themeFill="accent2" w:themeFillTint="66"/>
      </w:tcPr>
    </w:tblStylePr>
    <w:tblStylePr w:type="band1Horz">
      <w:tblPr/>
      <w:tcPr>
        <w:shd w:val="clear" w:color="auto" w:fill="FF40FF" w:themeFill="accent2" w:themeFillTint="7F"/>
      </w:tcPr>
    </w:tblStylePr>
    <w:tblStylePr w:type="neCell">
      <w:rPr>
        <w:color w:val="0B1F2C" w:themeColor="text1"/>
      </w:rPr>
    </w:tblStylePr>
    <w:tblStylePr w:type="nwCell">
      <w:rPr>
        <w:color w:val="0B1F2C" w:themeColor="text1"/>
      </w:rPr>
    </w:tblStylePr>
  </w:style>
  <w:style w:type="table" w:styleId="ColourfulShadingAccent3">
    <w:name w:val="Colorful Shading Accent 3"/>
    <w:basedOn w:val="TableNormal"/>
    <w:uiPriority w:val="71"/>
    <w:semiHidden/>
    <w:unhideWhenUsed/>
    <w:rsid w:val="0090719C"/>
    <w:rPr>
      <w:color w:val="0B1F2C" w:themeColor="text1"/>
    </w:rPr>
    <w:tblPr>
      <w:tblStyleRowBandSize w:val="1"/>
      <w:tblStyleColBandSize w:val="1"/>
      <w:tblBorders>
        <w:top w:val="single" w:sz="24" w:space="0" w:color="C5446E" w:themeColor="accent4"/>
        <w:left w:val="single" w:sz="4" w:space="0" w:color="26C0BC" w:themeColor="accent3"/>
        <w:bottom w:val="single" w:sz="4" w:space="0" w:color="26C0BC" w:themeColor="accent3"/>
        <w:right w:val="single" w:sz="4" w:space="0" w:color="26C0BC" w:themeColor="accent3"/>
        <w:insideH w:val="single" w:sz="4" w:space="0" w:color="FFFFFF" w:themeColor="background1"/>
        <w:insideV w:val="single" w:sz="4" w:space="0" w:color="FFFFFF" w:themeColor="background1"/>
      </w:tblBorders>
    </w:tblPr>
    <w:tcPr>
      <w:shd w:val="clear" w:color="auto" w:fill="E7FAF9" w:themeFill="accent3" w:themeFillTint="19"/>
    </w:tcPr>
    <w:tblStylePr w:type="firstRow">
      <w:rPr>
        <w:b/>
        <w:bCs/>
      </w:rPr>
      <w:tblPr/>
      <w:tcPr>
        <w:tcBorders>
          <w:top w:val="nil"/>
          <w:left w:val="nil"/>
          <w:bottom w:val="single" w:sz="24" w:space="0" w:color="C544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7370" w:themeFill="accent3" w:themeFillShade="99"/>
      </w:tcPr>
    </w:tblStylePr>
    <w:tblStylePr w:type="firstCol">
      <w:rPr>
        <w:color w:val="FFFFFF" w:themeColor="background1"/>
      </w:rPr>
      <w:tblPr/>
      <w:tcPr>
        <w:tcBorders>
          <w:top w:val="nil"/>
          <w:left w:val="nil"/>
          <w:bottom w:val="nil"/>
          <w:right w:val="nil"/>
          <w:insideH w:val="single" w:sz="4" w:space="0" w:color="167370" w:themeColor="accent3" w:themeShade="99"/>
          <w:insideV w:val="nil"/>
        </w:tcBorders>
        <w:shd w:val="clear" w:color="auto" w:fill="16737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67370" w:themeFill="accent3" w:themeFillShade="99"/>
      </w:tcPr>
    </w:tblStylePr>
    <w:tblStylePr w:type="band1Vert">
      <w:tblPr/>
      <w:tcPr>
        <w:shd w:val="clear" w:color="auto" w:fill="A1ECEA" w:themeFill="accent3" w:themeFillTint="66"/>
      </w:tcPr>
    </w:tblStylePr>
    <w:tblStylePr w:type="band1Horz">
      <w:tblPr/>
      <w:tcPr>
        <w:shd w:val="clear" w:color="auto" w:fill="8AE8E5" w:themeFill="accent3" w:themeFillTint="7F"/>
      </w:tcPr>
    </w:tblStylePr>
  </w:style>
  <w:style w:type="table" w:styleId="ColourfulShadingAccent4">
    <w:name w:val="Colorful Shading Accent 4"/>
    <w:basedOn w:val="TableNormal"/>
    <w:uiPriority w:val="71"/>
    <w:semiHidden/>
    <w:unhideWhenUsed/>
    <w:rsid w:val="0090719C"/>
    <w:rPr>
      <w:color w:val="0B1F2C" w:themeColor="text1"/>
    </w:rPr>
    <w:tblPr>
      <w:tblStyleRowBandSize w:val="1"/>
      <w:tblStyleColBandSize w:val="1"/>
      <w:tblBorders>
        <w:top w:val="single" w:sz="24" w:space="0" w:color="26C0BC" w:themeColor="accent3"/>
        <w:left w:val="single" w:sz="4" w:space="0" w:color="C5446E" w:themeColor="accent4"/>
        <w:bottom w:val="single" w:sz="4" w:space="0" w:color="C5446E" w:themeColor="accent4"/>
        <w:right w:val="single" w:sz="4" w:space="0" w:color="C5446E" w:themeColor="accent4"/>
        <w:insideH w:val="single" w:sz="4" w:space="0" w:color="FFFFFF" w:themeColor="background1"/>
        <w:insideV w:val="single" w:sz="4" w:space="0" w:color="FFFFFF" w:themeColor="background1"/>
      </w:tblBorders>
    </w:tblPr>
    <w:tcPr>
      <w:shd w:val="clear" w:color="auto" w:fill="F9ECF0" w:themeFill="accent4" w:themeFillTint="19"/>
    </w:tcPr>
    <w:tblStylePr w:type="firstRow">
      <w:rPr>
        <w:b/>
        <w:bCs/>
      </w:rPr>
      <w:tblPr/>
      <w:tcPr>
        <w:tcBorders>
          <w:top w:val="nil"/>
          <w:left w:val="nil"/>
          <w:bottom w:val="single" w:sz="24" w:space="0" w:color="26C0B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92540" w:themeFill="accent4" w:themeFillShade="99"/>
      </w:tcPr>
    </w:tblStylePr>
    <w:tblStylePr w:type="firstCol">
      <w:rPr>
        <w:color w:val="FFFFFF" w:themeColor="background1"/>
      </w:rPr>
      <w:tblPr/>
      <w:tcPr>
        <w:tcBorders>
          <w:top w:val="nil"/>
          <w:left w:val="nil"/>
          <w:bottom w:val="nil"/>
          <w:right w:val="nil"/>
          <w:insideH w:val="single" w:sz="4" w:space="0" w:color="792540" w:themeColor="accent4" w:themeShade="99"/>
          <w:insideV w:val="nil"/>
        </w:tcBorders>
        <w:shd w:val="clear" w:color="auto" w:fill="79254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92540" w:themeFill="accent4" w:themeFillShade="99"/>
      </w:tcPr>
    </w:tblStylePr>
    <w:tblStylePr w:type="band1Vert">
      <w:tblPr/>
      <w:tcPr>
        <w:shd w:val="clear" w:color="auto" w:fill="E7B4C4" w:themeFill="accent4" w:themeFillTint="66"/>
      </w:tcPr>
    </w:tblStylePr>
    <w:tblStylePr w:type="band1Horz">
      <w:tblPr/>
      <w:tcPr>
        <w:shd w:val="clear" w:color="auto" w:fill="E2A1B6" w:themeFill="accent4" w:themeFillTint="7F"/>
      </w:tcPr>
    </w:tblStylePr>
    <w:tblStylePr w:type="neCell">
      <w:rPr>
        <w:color w:val="0B1F2C" w:themeColor="text1"/>
      </w:rPr>
    </w:tblStylePr>
    <w:tblStylePr w:type="nwCell">
      <w:rPr>
        <w:color w:val="0B1F2C" w:themeColor="text1"/>
      </w:rPr>
    </w:tblStylePr>
  </w:style>
  <w:style w:type="table" w:styleId="ColourfulShadingAccent5">
    <w:name w:val="Colorful Shading Accent 5"/>
    <w:basedOn w:val="TableNormal"/>
    <w:uiPriority w:val="71"/>
    <w:semiHidden/>
    <w:unhideWhenUsed/>
    <w:rsid w:val="0090719C"/>
    <w:rPr>
      <w:color w:val="0B1F2C" w:themeColor="text1"/>
    </w:rPr>
    <w:tblPr>
      <w:tblStyleRowBandSize w:val="1"/>
      <w:tblStyleColBandSize w:val="1"/>
      <w:tblBorders>
        <w:top w:val="single" w:sz="24" w:space="0" w:color="909090" w:themeColor="accent6"/>
        <w:left w:val="single" w:sz="4" w:space="0" w:color="0B1F2C" w:themeColor="accent5"/>
        <w:bottom w:val="single" w:sz="4" w:space="0" w:color="0B1F2C" w:themeColor="accent5"/>
        <w:right w:val="single" w:sz="4" w:space="0" w:color="0B1F2C" w:themeColor="accent5"/>
        <w:insideH w:val="single" w:sz="4" w:space="0" w:color="FFFFFF" w:themeColor="background1"/>
        <w:insideV w:val="single" w:sz="4" w:space="0" w:color="FFFFFF" w:themeColor="background1"/>
      </w:tblBorders>
    </w:tblPr>
    <w:tcPr>
      <w:shd w:val="clear" w:color="auto" w:fill="DBEBF6" w:themeFill="accent5" w:themeFillTint="19"/>
    </w:tcPr>
    <w:tblStylePr w:type="firstRow">
      <w:rPr>
        <w:b/>
        <w:bCs/>
      </w:rPr>
      <w:tblPr/>
      <w:tcPr>
        <w:tcBorders>
          <w:top w:val="nil"/>
          <w:left w:val="nil"/>
          <w:bottom w:val="single" w:sz="24" w:space="0" w:color="90909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121A" w:themeFill="accent5" w:themeFillShade="99"/>
      </w:tcPr>
    </w:tblStylePr>
    <w:tblStylePr w:type="firstCol">
      <w:rPr>
        <w:color w:val="FFFFFF" w:themeColor="background1"/>
      </w:rPr>
      <w:tblPr/>
      <w:tcPr>
        <w:tcBorders>
          <w:top w:val="nil"/>
          <w:left w:val="nil"/>
          <w:bottom w:val="nil"/>
          <w:right w:val="nil"/>
          <w:insideH w:val="single" w:sz="4" w:space="0" w:color="06121A" w:themeColor="accent5" w:themeShade="99"/>
          <w:insideV w:val="nil"/>
        </w:tcBorders>
        <w:shd w:val="clear" w:color="auto" w:fill="06121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6121A" w:themeFill="accent5" w:themeFillShade="99"/>
      </w:tcPr>
    </w:tblStylePr>
    <w:tblStylePr w:type="band1Vert">
      <w:tblPr/>
      <w:tcPr>
        <w:shd w:val="clear" w:color="auto" w:fill="6DAFDA" w:themeFill="accent5" w:themeFillTint="66"/>
      </w:tcPr>
    </w:tblStylePr>
    <w:tblStylePr w:type="band1Horz">
      <w:tblPr/>
      <w:tcPr>
        <w:shd w:val="clear" w:color="auto" w:fill="499BD1" w:themeFill="accent5" w:themeFillTint="7F"/>
      </w:tcPr>
    </w:tblStylePr>
    <w:tblStylePr w:type="neCell">
      <w:rPr>
        <w:color w:val="0B1F2C" w:themeColor="text1"/>
      </w:rPr>
    </w:tblStylePr>
    <w:tblStylePr w:type="nwCell">
      <w:rPr>
        <w:color w:val="0B1F2C" w:themeColor="text1"/>
      </w:rPr>
    </w:tblStylePr>
  </w:style>
  <w:style w:type="table" w:styleId="ColourfulShadingAccent6">
    <w:name w:val="Colorful Shading Accent 6"/>
    <w:basedOn w:val="TableNormal"/>
    <w:uiPriority w:val="71"/>
    <w:semiHidden/>
    <w:unhideWhenUsed/>
    <w:rsid w:val="0090719C"/>
    <w:rPr>
      <w:color w:val="0B1F2C" w:themeColor="text1"/>
    </w:rPr>
    <w:tblPr>
      <w:tblStyleRowBandSize w:val="1"/>
      <w:tblStyleColBandSize w:val="1"/>
      <w:tblBorders>
        <w:top w:val="single" w:sz="24" w:space="0" w:color="0B1F2C" w:themeColor="accent5"/>
        <w:left w:val="single" w:sz="4" w:space="0" w:color="909090" w:themeColor="accent6"/>
        <w:bottom w:val="single" w:sz="4" w:space="0" w:color="909090" w:themeColor="accent6"/>
        <w:right w:val="single" w:sz="4" w:space="0" w:color="909090" w:themeColor="accent6"/>
        <w:insideH w:val="single" w:sz="4" w:space="0" w:color="FFFFFF" w:themeColor="background1"/>
        <w:insideV w:val="single" w:sz="4" w:space="0" w:color="FFFFFF" w:themeColor="background1"/>
      </w:tblBorders>
    </w:tblPr>
    <w:tcPr>
      <w:shd w:val="clear" w:color="auto" w:fill="F4F4F4" w:themeFill="accent6" w:themeFillTint="19"/>
    </w:tcPr>
    <w:tblStylePr w:type="firstRow">
      <w:rPr>
        <w:b/>
        <w:bCs/>
      </w:rPr>
      <w:tblPr/>
      <w:tcPr>
        <w:tcBorders>
          <w:top w:val="nil"/>
          <w:left w:val="nil"/>
          <w:bottom w:val="single" w:sz="24" w:space="0" w:color="0B1F2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5656" w:themeFill="accent6" w:themeFillShade="99"/>
      </w:tcPr>
    </w:tblStylePr>
    <w:tblStylePr w:type="firstCol">
      <w:rPr>
        <w:color w:val="FFFFFF" w:themeColor="background1"/>
      </w:rPr>
      <w:tblPr/>
      <w:tcPr>
        <w:tcBorders>
          <w:top w:val="nil"/>
          <w:left w:val="nil"/>
          <w:bottom w:val="nil"/>
          <w:right w:val="nil"/>
          <w:insideH w:val="single" w:sz="4" w:space="0" w:color="565656" w:themeColor="accent6" w:themeShade="99"/>
          <w:insideV w:val="nil"/>
        </w:tcBorders>
        <w:shd w:val="clear" w:color="auto" w:fill="56565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65656" w:themeFill="accent6" w:themeFillShade="99"/>
      </w:tcPr>
    </w:tblStylePr>
    <w:tblStylePr w:type="band1Vert">
      <w:tblPr/>
      <w:tcPr>
        <w:shd w:val="clear" w:color="auto" w:fill="D2D2D2" w:themeFill="accent6" w:themeFillTint="66"/>
      </w:tcPr>
    </w:tblStylePr>
    <w:tblStylePr w:type="band1Horz">
      <w:tblPr/>
      <w:tcPr>
        <w:shd w:val="clear" w:color="auto" w:fill="C7C7C7" w:themeFill="accent6" w:themeFillTint="7F"/>
      </w:tcPr>
    </w:tblStylePr>
    <w:tblStylePr w:type="neCell">
      <w:rPr>
        <w:color w:val="0B1F2C" w:themeColor="text1"/>
      </w:rPr>
    </w:tblStylePr>
    <w:tblStylePr w:type="nwCell">
      <w:rPr>
        <w:color w:val="0B1F2C" w:themeColor="text1"/>
      </w:rPr>
    </w:tblStylePr>
  </w:style>
  <w:style w:type="character" w:styleId="CommentReference">
    <w:name w:val="annotation reference"/>
    <w:basedOn w:val="DefaultParagraphFont"/>
    <w:uiPriority w:val="99"/>
    <w:semiHidden/>
    <w:unhideWhenUsed/>
    <w:rsid w:val="0090719C"/>
    <w:rPr>
      <w:sz w:val="16"/>
      <w:szCs w:val="16"/>
      <w:lang w:val="en-GB"/>
    </w:rPr>
  </w:style>
  <w:style w:type="paragraph" w:styleId="CommentText">
    <w:name w:val="annotation text"/>
    <w:basedOn w:val="Normal"/>
    <w:link w:val="CommentTextChar"/>
    <w:uiPriority w:val="99"/>
    <w:semiHidden/>
    <w:rsid w:val="0090719C"/>
  </w:style>
  <w:style w:type="character" w:customStyle="1" w:styleId="CommentTextChar">
    <w:name w:val="Comment Text Char"/>
    <w:basedOn w:val="DefaultParagraphFont"/>
    <w:link w:val="CommentText"/>
    <w:uiPriority w:val="99"/>
    <w:semiHidden/>
    <w:rsid w:val="006B71F3"/>
    <w:rPr>
      <w:rFonts w:ascii="Arial" w:eastAsia="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90719C"/>
    <w:rPr>
      <w:b/>
      <w:bCs/>
    </w:rPr>
  </w:style>
  <w:style w:type="character" w:customStyle="1" w:styleId="CommentSubjectChar">
    <w:name w:val="Comment Subject Char"/>
    <w:basedOn w:val="CommentTextChar"/>
    <w:link w:val="CommentSubject"/>
    <w:uiPriority w:val="99"/>
    <w:semiHidden/>
    <w:rsid w:val="0090719C"/>
    <w:rPr>
      <w:rFonts w:ascii="Arial" w:eastAsia="Arial" w:hAnsi="Arial" w:cs="Arial"/>
      <w:b/>
      <w:bCs/>
      <w:sz w:val="20"/>
      <w:szCs w:val="20"/>
      <w:lang w:val="en-GB"/>
    </w:rPr>
  </w:style>
  <w:style w:type="table" w:styleId="DarkList">
    <w:name w:val="Dark List"/>
    <w:basedOn w:val="TableNormal"/>
    <w:uiPriority w:val="70"/>
    <w:semiHidden/>
    <w:unhideWhenUsed/>
    <w:rsid w:val="0090719C"/>
    <w:rPr>
      <w:color w:val="FFFFFF" w:themeColor="background1"/>
    </w:rPr>
    <w:tblPr>
      <w:tblStyleRowBandSize w:val="1"/>
      <w:tblStyleColBandSize w:val="1"/>
    </w:tblPr>
    <w:tcPr>
      <w:shd w:val="clear" w:color="auto" w:fill="0B1F2C" w:themeFill="text1"/>
    </w:tcPr>
    <w:tblStylePr w:type="firstRow">
      <w:rPr>
        <w:b/>
        <w:bCs/>
      </w:rPr>
      <w:tblPr/>
      <w:tcPr>
        <w:tcBorders>
          <w:top w:val="nil"/>
          <w:left w:val="nil"/>
          <w:bottom w:val="single" w:sz="18" w:space="0" w:color="FFFFFF" w:themeColor="background1"/>
          <w:right w:val="nil"/>
          <w:insideH w:val="nil"/>
          <w:insideV w:val="nil"/>
        </w:tcBorders>
        <w:shd w:val="clear" w:color="auto" w:fill="0B1F2C" w:themeFill="text1"/>
      </w:tcPr>
    </w:tblStylePr>
    <w:tblStylePr w:type="lastRow">
      <w:tblPr/>
      <w:tcPr>
        <w:tcBorders>
          <w:top w:val="single" w:sz="18" w:space="0" w:color="FFFFFF" w:themeColor="background1"/>
          <w:left w:val="nil"/>
          <w:bottom w:val="nil"/>
          <w:right w:val="nil"/>
          <w:insideH w:val="nil"/>
          <w:insideV w:val="nil"/>
        </w:tcBorders>
        <w:shd w:val="clear" w:color="auto" w:fill="050F15"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8172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81720" w:themeFill="text1" w:themeFillShade="BF"/>
      </w:tcPr>
    </w:tblStylePr>
    <w:tblStylePr w:type="band1Vert">
      <w:tblPr/>
      <w:tcPr>
        <w:tcBorders>
          <w:top w:val="nil"/>
          <w:left w:val="nil"/>
          <w:bottom w:val="nil"/>
          <w:right w:val="nil"/>
          <w:insideH w:val="nil"/>
          <w:insideV w:val="nil"/>
        </w:tcBorders>
        <w:shd w:val="clear" w:color="auto" w:fill="081720" w:themeFill="text1" w:themeFillShade="BF"/>
      </w:tcPr>
    </w:tblStylePr>
    <w:tblStylePr w:type="band1Horz">
      <w:tblPr/>
      <w:tcPr>
        <w:tcBorders>
          <w:top w:val="nil"/>
          <w:left w:val="nil"/>
          <w:bottom w:val="nil"/>
          <w:right w:val="nil"/>
          <w:insideH w:val="nil"/>
          <w:insideV w:val="nil"/>
        </w:tcBorders>
        <w:shd w:val="clear" w:color="auto" w:fill="081720" w:themeFill="text1" w:themeFillShade="BF"/>
      </w:tcPr>
    </w:tblStylePr>
  </w:style>
  <w:style w:type="table" w:styleId="DarkList-Accent1">
    <w:name w:val="Dark List Accent 1"/>
    <w:basedOn w:val="TableNormal"/>
    <w:uiPriority w:val="70"/>
    <w:semiHidden/>
    <w:unhideWhenUsed/>
    <w:rsid w:val="0090719C"/>
    <w:rPr>
      <w:color w:val="FFFFFF" w:themeColor="background1"/>
    </w:rPr>
    <w:tblPr>
      <w:tblStyleRowBandSize w:val="1"/>
      <w:tblStyleColBandSize w:val="1"/>
    </w:tblPr>
    <w:tcPr>
      <w:shd w:val="clear" w:color="auto" w:fill="009FE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B1F2C" w:themeFill="text1"/>
      </w:tcPr>
    </w:tblStylePr>
    <w:tblStylePr w:type="lastRow">
      <w:tblPr/>
      <w:tcPr>
        <w:tcBorders>
          <w:top w:val="single" w:sz="18" w:space="0" w:color="FFFFFF" w:themeColor="background1"/>
          <w:left w:val="nil"/>
          <w:bottom w:val="nil"/>
          <w:right w:val="nil"/>
          <w:insideH w:val="nil"/>
          <w:insideV w:val="nil"/>
        </w:tcBorders>
        <w:shd w:val="clear" w:color="auto" w:fill="004E7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6A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6AA" w:themeFill="accent1" w:themeFillShade="BF"/>
      </w:tcPr>
    </w:tblStylePr>
    <w:tblStylePr w:type="band1Vert">
      <w:tblPr/>
      <w:tcPr>
        <w:tcBorders>
          <w:top w:val="nil"/>
          <w:left w:val="nil"/>
          <w:bottom w:val="nil"/>
          <w:right w:val="nil"/>
          <w:insideH w:val="nil"/>
          <w:insideV w:val="nil"/>
        </w:tcBorders>
        <w:shd w:val="clear" w:color="auto" w:fill="0076AA" w:themeFill="accent1" w:themeFillShade="BF"/>
      </w:tcPr>
    </w:tblStylePr>
    <w:tblStylePr w:type="band1Horz">
      <w:tblPr/>
      <w:tcPr>
        <w:tcBorders>
          <w:top w:val="nil"/>
          <w:left w:val="nil"/>
          <w:bottom w:val="nil"/>
          <w:right w:val="nil"/>
          <w:insideH w:val="nil"/>
          <w:insideV w:val="nil"/>
        </w:tcBorders>
        <w:shd w:val="clear" w:color="auto" w:fill="0076AA" w:themeFill="accent1" w:themeFillShade="BF"/>
      </w:tcPr>
    </w:tblStylePr>
  </w:style>
  <w:style w:type="table" w:styleId="DarkList-Accent2">
    <w:name w:val="Dark List Accent 2"/>
    <w:basedOn w:val="TableNormal"/>
    <w:uiPriority w:val="70"/>
    <w:semiHidden/>
    <w:unhideWhenUsed/>
    <w:rsid w:val="0090719C"/>
    <w:rPr>
      <w:color w:val="FFFFFF" w:themeColor="background1"/>
    </w:rPr>
    <w:tblPr>
      <w:tblStyleRowBandSize w:val="1"/>
      <w:tblStyleColBandSize w:val="1"/>
    </w:tblPr>
    <w:tcPr>
      <w:shd w:val="clear" w:color="auto" w:fill="80008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B1F2C" w:themeFill="text1"/>
      </w:tcPr>
    </w:tblStylePr>
    <w:tblStylePr w:type="lastRow">
      <w:tblPr/>
      <w:tcPr>
        <w:tcBorders>
          <w:top w:val="single" w:sz="18" w:space="0" w:color="FFFFFF" w:themeColor="background1"/>
          <w:left w:val="nil"/>
          <w:bottom w:val="nil"/>
          <w:right w:val="nil"/>
          <w:insideH w:val="nil"/>
          <w:insideV w:val="nil"/>
        </w:tcBorders>
        <w:shd w:val="clear" w:color="auto" w:fill="3F003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F005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F005F" w:themeFill="accent2" w:themeFillShade="BF"/>
      </w:tcPr>
    </w:tblStylePr>
    <w:tblStylePr w:type="band1Vert">
      <w:tblPr/>
      <w:tcPr>
        <w:tcBorders>
          <w:top w:val="nil"/>
          <w:left w:val="nil"/>
          <w:bottom w:val="nil"/>
          <w:right w:val="nil"/>
          <w:insideH w:val="nil"/>
          <w:insideV w:val="nil"/>
        </w:tcBorders>
        <w:shd w:val="clear" w:color="auto" w:fill="5F005F" w:themeFill="accent2" w:themeFillShade="BF"/>
      </w:tcPr>
    </w:tblStylePr>
    <w:tblStylePr w:type="band1Horz">
      <w:tblPr/>
      <w:tcPr>
        <w:tcBorders>
          <w:top w:val="nil"/>
          <w:left w:val="nil"/>
          <w:bottom w:val="nil"/>
          <w:right w:val="nil"/>
          <w:insideH w:val="nil"/>
          <w:insideV w:val="nil"/>
        </w:tcBorders>
        <w:shd w:val="clear" w:color="auto" w:fill="5F005F" w:themeFill="accent2" w:themeFillShade="BF"/>
      </w:tcPr>
    </w:tblStylePr>
  </w:style>
  <w:style w:type="table" w:styleId="DarkList-Accent3">
    <w:name w:val="Dark List Accent 3"/>
    <w:basedOn w:val="TableNormal"/>
    <w:uiPriority w:val="70"/>
    <w:semiHidden/>
    <w:unhideWhenUsed/>
    <w:rsid w:val="0090719C"/>
    <w:rPr>
      <w:color w:val="FFFFFF" w:themeColor="background1"/>
    </w:rPr>
    <w:tblPr>
      <w:tblStyleRowBandSize w:val="1"/>
      <w:tblStyleColBandSize w:val="1"/>
    </w:tblPr>
    <w:tcPr>
      <w:shd w:val="clear" w:color="auto" w:fill="26C0B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B1F2C" w:themeFill="text1"/>
      </w:tcPr>
    </w:tblStylePr>
    <w:tblStylePr w:type="lastRow">
      <w:tblPr/>
      <w:tcPr>
        <w:tcBorders>
          <w:top w:val="single" w:sz="18" w:space="0" w:color="FFFFFF" w:themeColor="background1"/>
          <w:left w:val="nil"/>
          <w:bottom w:val="nil"/>
          <w:right w:val="nil"/>
          <w:insideH w:val="nil"/>
          <w:insideV w:val="nil"/>
        </w:tcBorders>
        <w:shd w:val="clear" w:color="auto" w:fill="135F5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C8F8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C8F8C" w:themeFill="accent3" w:themeFillShade="BF"/>
      </w:tcPr>
    </w:tblStylePr>
    <w:tblStylePr w:type="band1Vert">
      <w:tblPr/>
      <w:tcPr>
        <w:tcBorders>
          <w:top w:val="nil"/>
          <w:left w:val="nil"/>
          <w:bottom w:val="nil"/>
          <w:right w:val="nil"/>
          <w:insideH w:val="nil"/>
          <w:insideV w:val="nil"/>
        </w:tcBorders>
        <w:shd w:val="clear" w:color="auto" w:fill="1C8F8C" w:themeFill="accent3" w:themeFillShade="BF"/>
      </w:tcPr>
    </w:tblStylePr>
    <w:tblStylePr w:type="band1Horz">
      <w:tblPr/>
      <w:tcPr>
        <w:tcBorders>
          <w:top w:val="nil"/>
          <w:left w:val="nil"/>
          <w:bottom w:val="nil"/>
          <w:right w:val="nil"/>
          <w:insideH w:val="nil"/>
          <w:insideV w:val="nil"/>
        </w:tcBorders>
        <w:shd w:val="clear" w:color="auto" w:fill="1C8F8C" w:themeFill="accent3" w:themeFillShade="BF"/>
      </w:tcPr>
    </w:tblStylePr>
  </w:style>
  <w:style w:type="table" w:styleId="DarkList-Accent4">
    <w:name w:val="Dark List Accent 4"/>
    <w:basedOn w:val="TableNormal"/>
    <w:uiPriority w:val="70"/>
    <w:semiHidden/>
    <w:unhideWhenUsed/>
    <w:rsid w:val="0090719C"/>
    <w:rPr>
      <w:color w:val="FFFFFF" w:themeColor="background1"/>
    </w:rPr>
    <w:tblPr>
      <w:tblStyleRowBandSize w:val="1"/>
      <w:tblStyleColBandSize w:val="1"/>
    </w:tblPr>
    <w:tcPr>
      <w:shd w:val="clear" w:color="auto" w:fill="C544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B1F2C" w:themeFill="text1"/>
      </w:tcPr>
    </w:tblStylePr>
    <w:tblStylePr w:type="lastRow">
      <w:tblPr/>
      <w:tcPr>
        <w:tcBorders>
          <w:top w:val="single" w:sz="18" w:space="0" w:color="FFFFFF" w:themeColor="background1"/>
          <w:left w:val="nil"/>
          <w:bottom w:val="nil"/>
          <w:right w:val="nil"/>
          <w:insideH w:val="nil"/>
          <w:insideV w:val="nil"/>
        </w:tcBorders>
        <w:shd w:val="clear" w:color="auto" w:fill="641F3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72F5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72F50" w:themeFill="accent4" w:themeFillShade="BF"/>
      </w:tcPr>
    </w:tblStylePr>
    <w:tblStylePr w:type="band1Vert">
      <w:tblPr/>
      <w:tcPr>
        <w:tcBorders>
          <w:top w:val="nil"/>
          <w:left w:val="nil"/>
          <w:bottom w:val="nil"/>
          <w:right w:val="nil"/>
          <w:insideH w:val="nil"/>
          <w:insideV w:val="nil"/>
        </w:tcBorders>
        <w:shd w:val="clear" w:color="auto" w:fill="972F50" w:themeFill="accent4" w:themeFillShade="BF"/>
      </w:tcPr>
    </w:tblStylePr>
    <w:tblStylePr w:type="band1Horz">
      <w:tblPr/>
      <w:tcPr>
        <w:tcBorders>
          <w:top w:val="nil"/>
          <w:left w:val="nil"/>
          <w:bottom w:val="nil"/>
          <w:right w:val="nil"/>
          <w:insideH w:val="nil"/>
          <w:insideV w:val="nil"/>
        </w:tcBorders>
        <w:shd w:val="clear" w:color="auto" w:fill="972F50" w:themeFill="accent4" w:themeFillShade="BF"/>
      </w:tcPr>
    </w:tblStylePr>
  </w:style>
  <w:style w:type="table" w:styleId="DarkList-Accent5">
    <w:name w:val="Dark List Accent 5"/>
    <w:basedOn w:val="TableNormal"/>
    <w:uiPriority w:val="70"/>
    <w:semiHidden/>
    <w:unhideWhenUsed/>
    <w:rsid w:val="0090719C"/>
    <w:rPr>
      <w:color w:val="FFFFFF" w:themeColor="background1"/>
    </w:rPr>
    <w:tblPr>
      <w:tblStyleRowBandSize w:val="1"/>
      <w:tblStyleColBandSize w:val="1"/>
    </w:tblPr>
    <w:tcPr>
      <w:shd w:val="clear" w:color="auto" w:fill="0B1F2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B1F2C" w:themeFill="text1"/>
      </w:tcPr>
    </w:tblStylePr>
    <w:tblStylePr w:type="lastRow">
      <w:tblPr/>
      <w:tcPr>
        <w:tcBorders>
          <w:top w:val="single" w:sz="18" w:space="0" w:color="FFFFFF" w:themeColor="background1"/>
          <w:left w:val="nil"/>
          <w:bottom w:val="nil"/>
          <w:right w:val="nil"/>
          <w:insideH w:val="nil"/>
          <w:insideV w:val="nil"/>
        </w:tcBorders>
        <w:shd w:val="clear" w:color="auto" w:fill="050F1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8172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81720" w:themeFill="accent5" w:themeFillShade="BF"/>
      </w:tcPr>
    </w:tblStylePr>
    <w:tblStylePr w:type="band1Vert">
      <w:tblPr/>
      <w:tcPr>
        <w:tcBorders>
          <w:top w:val="nil"/>
          <w:left w:val="nil"/>
          <w:bottom w:val="nil"/>
          <w:right w:val="nil"/>
          <w:insideH w:val="nil"/>
          <w:insideV w:val="nil"/>
        </w:tcBorders>
        <w:shd w:val="clear" w:color="auto" w:fill="081720" w:themeFill="accent5" w:themeFillShade="BF"/>
      </w:tcPr>
    </w:tblStylePr>
    <w:tblStylePr w:type="band1Horz">
      <w:tblPr/>
      <w:tcPr>
        <w:tcBorders>
          <w:top w:val="nil"/>
          <w:left w:val="nil"/>
          <w:bottom w:val="nil"/>
          <w:right w:val="nil"/>
          <w:insideH w:val="nil"/>
          <w:insideV w:val="nil"/>
        </w:tcBorders>
        <w:shd w:val="clear" w:color="auto" w:fill="081720" w:themeFill="accent5" w:themeFillShade="BF"/>
      </w:tcPr>
    </w:tblStylePr>
  </w:style>
  <w:style w:type="table" w:styleId="DarkList-Accent6">
    <w:name w:val="Dark List Accent 6"/>
    <w:basedOn w:val="TableNormal"/>
    <w:uiPriority w:val="70"/>
    <w:semiHidden/>
    <w:unhideWhenUsed/>
    <w:rsid w:val="0090719C"/>
    <w:rPr>
      <w:color w:val="FFFFFF" w:themeColor="background1"/>
    </w:rPr>
    <w:tblPr>
      <w:tblStyleRowBandSize w:val="1"/>
      <w:tblStyleColBandSize w:val="1"/>
    </w:tblPr>
    <w:tcPr>
      <w:shd w:val="clear" w:color="auto" w:fill="90909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B1F2C" w:themeFill="text1"/>
      </w:tcPr>
    </w:tblStylePr>
    <w:tblStylePr w:type="lastRow">
      <w:tblPr/>
      <w:tcPr>
        <w:tcBorders>
          <w:top w:val="single" w:sz="18" w:space="0" w:color="FFFFFF" w:themeColor="background1"/>
          <w:left w:val="nil"/>
          <w:bottom w:val="nil"/>
          <w:right w:val="nil"/>
          <w:insideH w:val="nil"/>
          <w:insideV w:val="nil"/>
        </w:tcBorders>
        <w:shd w:val="clear" w:color="auto" w:fill="47474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B6B6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B6B6B" w:themeFill="accent6" w:themeFillShade="BF"/>
      </w:tcPr>
    </w:tblStylePr>
    <w:tblStylePr w:type="band1Vert">
      <w:tblPr/>
      <w:tcPr>
        <w:tcBorders>
          <w:top w:val="nil"/>
          <w:left w:val="nil"/>
          <w:bottom w:val="nil"/>
          <w:right w:val="nil"/>
          <w:insideH w:val="nil"/>
          <w:insideV w:val="nil"/>
        </w:tcBorders>
        <w:shd w:val="clear" w:color="auto" w:fill="6B6B6B" w:themeFill="accent6" w:themeFillShade="BF"/>
      </w:tcPr>
    </w:tblStylePr>
    <w:tblStylePr w:type="band1Horz">
      <w:tblPr/>
      <w:tcPr>
        <w:tcBorders>
          <w:top w:val="nil"/>
          <w:left w:val="nil"/>
          <w:bottom w:val="nil"/>
          <w:right w:val="nil"/>
          <w:insideH w:val="nil"/>
          <w:insideV w:val="nil"/>
        </w:tcBorders>
        <w:shd w:val="clear" w:color="auto" w:fill="6B6B6B" w:themeFill="accent6" w:themeFillShade="BF"/>
      </w:tcPr>
    </w:tblStylePr>
  </w:style>
  <w:style w:type="paragraph" w:styleId="Date">
    <w:name w:val="Date"/>
    <w:basedOn w:val="Normal"/>
    <w:next w:val="Normal"/>
    <w:link w:val="DateChar"/>
    <w:uiPriority w:val="99"/>
    <w:semiHidden/>
    <w:unhideWhenUsed/>
    <w:rsid w:val="0090719C"/>
  </w:style>
  <w:style w:type="character" w:customStyle="1" w:styleId="DateChar">
    <w:name w:val="Date Char"/>
    <w:basedOn w:val="DefaultParagraphFont"/>
    <w:link w:val="Date"/>
    <w:uiPriority w:val="99"/>
    <w:semiHidden/>
    <w:rsid w:val="0090719C"/>
    <w:rPr>
      <w:rFonts w:ascii="Arial" w:eastAsia="Arial" w:hAnsi="Arial" w:cs="Arial"/>
      <w:lang w:val="en-GB"/>
    </w:rPr>
  </w:style>
  <w:style w:type="paragraph" w:styleId="DocumentMap">
    <w:name w:val="Document Map"/>
    <w:basedOn w:val="Normal"/>
    <w:link w:val="DocumentMapChar"/>
    <w:uiPriority w:val="99"/>
    <w:semiHidden/>
    <w:unhideWhenUsed/>
    <w:rsid w:val="0090719C"/>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0719C"/>
    <w:rPr>
      <w:rFonts w:ascii="Segoe UI" w:eastAsia="Arial" w:hAnsi="Segoe UI" w:cs="Segoe UI"/>
      <w:sz w:val="16"/>
      <w:szCs w:val="16"/>
      <w:lang w:val="en-GB"/>
    </w:rPr>
  </w:style>
  <w:style w:type="paragraph" w:styleId="EmailSignature">
    <w:name w:val="E-mail Signature"/>
    <w:basedOn w:val="Normal"/>
    <w:link w:val="EmailSignatureChar"/>
    <w:uiPriority w:val="99"/>
    <w:semiHidden/>
    <w:unhideWhenUsed/>
    <w:rsid w:val="0090719C"/>
  </w:style>
  <w:style w:type="character" w:customStyle="1" w:styleId="EmailSignatureChar">
    <w:name w:val="Email Signature Char"/>
    <w:basedOn w:val="DefaultParagraphFont"/>
    <w:link w:val="EmailSignature"/>
    <w:uiPriority w:val="99"/>
    <w:semiHidden/>
    <w:rsid w:val="0090719C"/>
    <w:rPr>
      <w:rFonts w:ascii="Arial" w:eastAsia="Arial" w:hAnsi="Arial" w:cs="Arial"/>
      <w:lang w:val="en-GB"/>
    </w:rPr>
  </w:style>
  <w:style w:type="character" w:styleId="Emphasis">
    <w:name w:val="Emphasis"/>
    <w:basedOn w:val="DefaultParagraphFont"/>
    <w:uiPriority w:val="20"/>
    <w:semiHidden/>
    <w:qFormat/>
    <w:rsid w:val="0090719C"/>
    <w:rPr>
      <w:i/>
      <w:iCs/>
      <w:lang w:val="en-GB"/>
    </w:rPr>
  </w:style>
  <w:style w:type="character" w:styleId="EndnoteReference">
    <w:name w:val="endnote reference"/>
    <w:basedOn w:val="DefaultParagraphFont"/>
    <w:uiPriority w:val="99"/>
    <w:semiHidden/>
    <w:unhideWhenUsed/>
    <w:rsid w:val="0090719C"/>
    <w:rPr>
      <w:vertAlign w:val="superscript"/>
      <w:lang w:val="en-GB"/>
    </w:rPr>
  </w:style>
  <w:style w:type="paragraph" w:styleId="EndnoteText">
    <w:name w:val="endnote text"/>
    <w:basedOn w:val="Normal"/>
    <w:link w:val="EndnoteTextChar"/>
    <w:uiPriority w:val="99"/>
    <w:semiHidden/>
    <w:unhideWhenUsed/>
    <w:rsid w:val="0090719C"/>
  </w:style>
  <w:style w:type="character" w:customStyle="1" w:styleId="EndnoteTextChar">
    <w:name w:val="Endnote Text Char"/>
    <w:basedOn w:val="DefaultParagraphFont"/>
    <w:link w:val="EndnoteText"/>
    <w:uiPriority w:val="99"/>
    <w:semiHidden/>
    <w:rsid w:val="0090719C"/>
    <w:rPr>
      <w:rFonts w:ascii="Arial" w:eastAsia="Arial" w:hAnsi="Arial" w:cs="Arial"/>
      <w:sz w:val="20"/>
      <w:szCs w:val="20"/>
      <w:lang w:val="en-GB"/>
    </w:rPr>
  </w:style>
  <w:style w:type="paragraph" w:styleId="EnvelopeAddress">
    <w:name w:val="envelope address"/>
    <w:basedOn w:val="Normal"/>
    <w:uiPriority w:val="99"/>
    <w:semiHidden/>
    <w:unhideWhenUsed/>
    <w:rsid w:val="0090719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0719C"/>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90719C"/>
    <w:rPr>
      <w:color w:val="800080" w:themeColor="followedHyperlink"/>
      <w:u w:val="single"/>
      <w:lang w:val="en-GB"/>
    </w:rPr>
  </w:style>
  <w:style w:type="character" w:styleId="FootnoteReference">
    <w:name w:val="footnote reference"/>
    <w:basedOn w:val="DefaultParagraphFont"/>
    <w:uiPriority w:val="99"/>
    <w:semiHidden/>
    <w:unhideWhenUsed/>
    <w:rsid w:val="0090719C"/>
    <w:rPr>
      <w:vertAlign w:val="superscript"/>
      <w:lang w:val="en-GB"/>
    </w:rPr>
  </w:style>
  <w:style w:type="paragraph" w:styleId="FootnoteText">
    <w:name w:val="footnote text"/>
    <w:basedOn w:val="Normal"/>
    <w:link w:val="FootnoteTextChar"/>
    <w:uiPriority w:val="99"/>
    <w:semiHidden/>
    <w:unhideWhenUsed/>
    <w:rsid w:val="0090719C"/>
  </w:style>
  <w:style w:type="character" w:customStyle="1" w:styleId="FootnoteTextChar">
    <w:name w:val="Footnote Text Char"/>
    <w:basedOn w:val="DefaultParagraphFont"/>
    <w:link w:val="FootnoteText"/>
    <w:uiPriority w:val="99"/>
    <w:semiHidden/>
    <w:rsid w:val="0090719C"/>
    <w:rPr>
      <w:rFonts w:ascii="Arial" w:eastAsia="Arial" w:hAnsi="Arial" w:cs="Arial"/>
      <w:sz w:val="20"/>
      <w:szCs w:val="20"/>
      <w:lang w:val="en-GB"/>
    </w:rPr>
  </w:style>
  <w:style w:type="table" w:styleId="GridTable1Light">
    <w:name w:val="Grid Table 1 Light"/>
    <w:basedOn w:val="TableNormal"/>
    <w:uiPriority w:val="46"/>
    <w:rsid w:val="0090719C"/>
    <w:tblPr>
      <w:tblStyleRowBandSize w:val="1"/>
      <w:tblStyleColBandSize w:val="1"/>
      <w:tblBorders>
        <w:top w:val="single" w:sz="4" w:space="0" w:color="6DAFDA" w:themeColor="text1" w:themeTint="66"/>
        <w:left w:val="single" w:sz="4" w:space="0" w:color="6DAFDA" w:themeColor="text1" w:themeTint="66"/>
        <w:bottom w:val="single" w:sz="4" w:space="0" w:color="6DAFDA" w:themeColor="text1" w:themeTint="66"/>
        <w:right w:val="single" w:sz="4" w:space="0" w:color="6DAFDA" w:themeColor="text1" w:themeTint="66"/>
        <w:insideH w:val="single" w:sz="4" w:space="0" w:color="6DAFDA" w:themeColor="text1" w:themeTint="66"/>
        <w:insideV w:val="single" w:sz="4" w:space="0" w:color="6DAFDA" w:themeColor="text1" w:themeTint="66"/>
      </w:tblBorders>
    </w:tblPr>
    <w:tblStylePr w:type="firstRow">
      <w:rPr>
        <w:b/>
        <w:bCs/>
      </w:rPr>
      <w:tblPr/>
      <w:tcPr>
        <w:tcBorders>
          <w:bottom w:val="single" w:sz="12" w:space="0" w:color="2F85BD" w:themeColor="text1" w:themeTint="99"/>
        </w:tcBorders>
      </w:tcPr>
    </w:tblStylePr>
    <w:tblStylePr w:type="lastRow">
      <w:rPr>
        <w:b/>
        <w:bCs/>
      </w:rPr>
      <w:tblPr/>
      <w:tcPr>
        <w:tcBorders>
          <w:top w:val="double" w:sz="2" w:space="0" w:color="2F85BD"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0719C"/>
    <w:tblPr>
      <w:tblStyleRowBandSize w:val="1"/>
      <w:tblStyleColBandSize w:val="1"/>
      <w:tblBorders>
        <w:top w:val="single" w:sz="4" w:space="0" w:color="8DDCFF" w:themeColor="accent1" w:themeTint="66"/>
        <w:left w:val="single" w:sz="4" w:space="0" w:color="8DDCFF" w:themeColor="accent1" w:themeTint="66"/>
        <w:bottom w:val="single" w:sz="4" w:space="0" w:color="8DDCFF" w:themeColor="accent1" w:themeTint="66"/>
        <w:right w:val="single" w:sz="4" w:space="0" w:color="8DDCFF" w:themeColor="accent1" w:themeTint="66"/>
        <w:insideH w:val="single" w:sz="4" w:space="0" w:color="8DDCFF" w:themeColor="accent1" w:themeTint="66"/>
        <w:insideV w:val="single" w:sz="4" w:space="0" w:color="8DDCFF" w:themeColor="accent1" w:themeTint="66"/>
      </w:tblBorders>
    </w:tblPr>
    <w:tblStylePr w:type="firstRow">
      <w:rPr>
        <w:b/>
        <w:bCs/>
      </w:rPr>
      <w:tblPr/>
      <w:tcPr>
        <w:tcBorders>
          <w:bottom w:val="single" w:sz="12" w:space="0" w:color="55CBFF" w:themeColor="accent1" w:themeTint="99"/>
        </w:tcBorders>
      </w:tcPr>
    </w:tblStylePr>
    <w:tblStylePr w:type="lastRow">
      <w:rPr>
        <w:b/>
        <w:bCs/>
      </w:rPr>
      <w:tblPr/>
      <w:tcPr>
        <w:tcBorders>
          <w:top w:val="double" w:sz="2" w:space="0" w:color="55CB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0719C"/>
    <w:tblPr>
      <w:tblStyleRowBandSize w:val="1"/>
      <w:tblStyleColBandSize w:val="1"/>
      <w:tblBorders>
        <w:top w:val="single" w:sz="4" w:space="0" w:color="FF66FF" w:themeColor="accent2" w:themeTint="66"/>
        <w:left w:val="single" w:sz="4" w:space="0" w:color="FF66FF" w:themeColor="accent2" w:themeTint="66"/>
        <w:bottom w:val="single" w:sz="4" w:space="0" w:color="FF66FF" w:themeColor="accent2" w:themeTint="66"/>
        <w:right w:val="single" w:sz="4" w:space="0" w:color="FF66FF" w:themeColor="accent2" w:themeTint="66"/>
        <w:insideH w:val="single" w:sz="4" w:space="0" w:color="FF66FF" w:themeColor="accent2" w:themeTint="66"/>
        <w:insideV w:val="single" w:sz="4" w:space="0" w:color="FF66FF" w:themeColor="accent2" w:themeTint="66"/>
      </w:tblBorders>
    </w:tblPr>
    <w:tblStylePr w:type="firstRow">
      <w:rPr>
        <w:b/>
        <w:bCs/>
      </w:rPr>
      <w:tblPr/>
      <w:tcPr>
        <w:tcBorders>
          <w:bottom w:val="single" w:sz="12" w:space="0" w:color="FF19FF" w:themeColor="accent2" w:themeTint="99"/>
        </w:tcBorders>
      </w:tcPr>
    </w:tblStylePr>
    <w:tblStylePr w:type="lastRow">
      <w:rPr>
        <w:b/>
        <w:bCs/>
      </w:rPr>
      <w:tblPr/>
      <w:tcPr>
        <w:tcBorders>
          <w:top w:val="double" w:sz="2" w:space="0" w:color="FF19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0719C"/>
    <w:tblPr>
      <w:tblStyleRowBandSize w:val="1"/>
      <w:tblStyleColBandSize w:val="1"/>
      <w:tblBorders>
        <w:top w:val="single" w:sz="4" w:space="0" w:color="A1ECEA" w:themeColor="accent3" w:themeTint="66"/>
        <w:left w:val="single" w:sz="4" w:space="0" w:color="A1ECEA" w:themeColor="accent3" w:themeTint="66"/>
        <w:bottom w:val="single" w:sz="4" w:space="0" w:color="A1ECEA" w:themeColor="accent3" w:themeTint="66"/>
        <w:right w:val="single" w:sz="4" w:space="0" w:color="A1ECEA" w:themeColor="accent3" w:themeTint="66"/>
        <w:insideH w:val="single" w:sz="4" w:space="0" w:color="A1ECEA" w:themeColor="accent3" w:themeTint="66"/>
        <w:insideV w:val="single" w:sz="4" w:space="0" w:color="A1ECEA" w:themeColor="accent3" w:themeTint="66"/>
      </w:tblBorders>
    </w:tblPr>
    <w:tblStylePr w:type="firstRow">
      <w:rPr>
        <w:b/>
        <w:bCs/>
      </w:rPr>
      <w:tblPr/>
      <w:tcPr>
        <w:tcBorders>
          <w:bottom w:val="single" w:sz="12" w:space="0" w:color="72E3E0" w:themeColor="accent3" w:themeTint="99"/>
        </w:tcBorders>
      </w:tcPr>
    </w:tblStylePr>
    <w:tblStylePr w:type="lastRow">
      <w:rPr>
        <w:b/>
        <w:bCs/>
      </w:rPr>
      <w:tblPr/>
      <w:tcPr>
        <w:tcBorders>
          <w:top w:val="double" w:sz="2" w:space="0" w:color="72E3E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0719C"/>
    <w:tblPr>
      <w:tblStyleRowBandSize w:val="1"/>
      <w:tblStyleColBandSize w:val="1"/>
      <w:tblBorders>
        <w:top w:val="single" w:sz="4" w:space="0" w:color="E7B4C4" w:themeColor="accent4" w:themeTint="66"/>
        <w:left w:val="single" w:sz="4" w:space="0" w:color="E7B4C4" w:themeColor="accent4" w:themeTint="66"/>
        <w:bottom w:val="single" w:sz="4" w:space="0" w:color="E7B4C4" w:themeColor="accent4" w:themeTint="66"/>
        <w:right w:val="single" w:sz="4" w:space="0" w:color="E7B4C4" w:themeColor="accent4" w:themeTint="66"/>
        <w:insideH w:val="single" w:sz="4" w:space="0" w:color="E7B4C4" w:themeColor="accent4" w:themeTint="66"/>
        <w:insideV w:val="single" w:sz="4" w:space="0" w:color="E7B4C4" w:themeColor="accent4" w:themeTint="66"/>
      </w:tblBorders>
    </w:tblPr>
    <w:tblStylePr w:type="firstRow">
      <w:rPr>
        <w:b/>
        <w:bCs/>
      </w:rPr>
      <w:tblPr/>
      <w:tcPr>
        <w:tcBorders>
          <w:bottom w:val="single" w:sz="12" w:space="0" w:color="DC8EA7" w:themeColor="accent4" w:themeTint="99"/>
        </w:tcBorders>
      </w:tcPr>
    </w:tblStylePr>
    <w:tblStylePr w:type="lastRow">
      <w:rPr>
        <w:b/>
        <w:bCs/>
      </w:rPr>
      <w:tblPr/>
      <w:tcPr>
        <w:tcBorders>
          <w:top w:val="double" w:sz="2" w:space="0" w:color="DC8EA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0719C"/>
    <w:tblPr>
      <w:tblStyleRowBandSize w:val="1"/>
      <w:tblStyleColBandSize w:val="1"/>
      <w:tblBorders>
        <w:top w:val="single" w:sz="4" w:space="0" w:color="6DAFDA" w:themeColor="accent5" w:themeTint="66"/>
        <w:left w:val="single" w:sz="4" w:space="0" w:color="6DAFDA" w:themeColor="accent5" w:themeTint="66"/>
        <w:bottom w:val="single" w:sz="4" w:space="0" w:color="6DAFDA" w:themeColor="accent5" w:themeTint="66"/>
        <w:right w:val="single" w:sz="4" w:space="0" w:color="6DAFDA" w:themeColor="accent5" w:themeTint="66"/>
        <w:insideH w:val="single" w:sz="4" w:space="0" w:color="6DAFDA" w:themeColor="accent5" w:themeTint="66"/>
        <w:insideV w:val="single" w:sz="4" w:space="0" w:color="6DAFDA" w:themeColor="accent5" w:themeTint="66"/>
      </w:tblBorders>
    </w:tblPr>
    <w:tblStylePr w:type="firstRow">
      <w:rPr>
        <w:b/>
        <w:bCs/>
      </w:rPr>
      <w:tblPr/>
      <w:tcPr>
        <w:tcBorders>
          <w:bottom w:val="single" w:sz="12" w:space="0" w:color="2F85BD" w:themeColor="accent5" w:themeTint="99"/>
        </w:tcBorders>
      </w:tcPr>
    </w:tblStylePr>
    <w:tblStylePr w:type="lastRow">
      <w:rPr>
        <w:b/>
        <w:bCs/>
      </w:rPr>
      <w:tblPr/>
      <w:tcPr>
        <w:tcBorders>
          <w:top w:val="double" w:sz="2" w:space="0" w:color="2F85B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0719C"/>
    <w:tblPr>
      <w:tblStyleRowBandSize w:val="1"/>
      <w:tblStyleColBandSize w:val="1"/>
      <w:tblBorders>
        <w:top w:val="single" w:sz="4" w:space="0" w:color="D2D2D2" w:themeColor="accent6" w:themeTint="66"/>
        <w:left w:val="single" w:sz="4" w:space="0" w:color="D2D2D2" w:themeColor="accent6" w:themeTint="66"/>
        <w:bottom w:val="single" w:sz="4" w:space="0" w:color="D2D2D2" w:themeColor="accent6" w:themeTint="66"/>
        <w:right w:val="single" w:sz="4" w:space="0" w:color="D2D2D2" w:themeColor="accent6" w:themeTint="66"/>
        <w:insideH w:val="single" w:sz="4" w:space="0" w:color="D2D2D2" w:themeColor="accent6" w:themeTint="66"/>
        <w:insideV w:val="single" w:sz="4" w:space="0" w:color="D2D2D2" w:themeColor="accent6" w:themeTint="66"/>
      </w:tblBorders>
    </w:tblPr>
    <w:tblStylePr w:type="firstRow">
      <w:rPr>
        <w:b/>
        <w:bCs/>
      </w:rPr>
      <w:tblPr/>
      <w:tcPr>
        <w:tcBorders>
          <w:bottom w:val="single" w:sz="12" w:space="0" w:color="BCBCBC" w:themeColor="accent6" w:themeTint="99"/>
        </w:tcBorders>
      </w:tcPr>
    </w:tblStylePr>
    <w:tblStylePr w:type="lastRow">
      <w:rPr>
        <w:b/>
        <w:bCs/>
      </w:rPr>
      <w:tblPr/>
      <w:tcPr>
        <w:tcBorders>
          <w:top w:val="double" w:sz="2" w:space="0" w:color="BCBCB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0719C"/>
    <w:tblPr>
      <w:tblStyleRowBandSize w:val="1"/>
      <w:tblStyleColBandSize w:val="1"/>
      <w:tblBorders>
        <w:top w:val="single" w:sz="2" w:space="0" w:color="2F85BD" w:themeColor="text1" w:themeTint="99"/>
        <w:bottom w:val="single" w:sz="2" w:space="0" w:color="2F85BD" w:themeColor="text1" w:themeTint="99"/>
        <w:insideH w:val="single" w:sz="2" w:space="0" w:color="2F85BD" w:themeColor="text1" w:themeTint="99"/>
        <w:insideV w:val="single" w:sz="2" w:space="0" w:color="2F85BD" w:themeColor="text1" w:themeTint="99"/>
      </w:tblBorders>
    </w:tblPr>
    <w:tblStylePr w:type="firstRow">
      <w:rPr>
        <w:b/>
        <w:bCs/>
      </w:rPr>
      <w:tblPr/>
      <w:tcPr>
        <w:tcBorders>
          <w:top w:val="nil"/>
          <w:bottom w:val="single" w:sz="12" w:space="0" w:color="2F85BD" w:themeColor="text1" w:themeTint="99"/>
          <w:insideH w:val="nil"/>
          <w:insideV w:val="nil"/>
        </w:tcBorders>
        <w:shd w:val="clear" w:color="auto" w:fill="FFFFFF" w:themeFill="background1"/>
      </w:tcPr>
    </w:tblStylePr>
    <w:tblStylePr w:type="lastRow">
      <w:rPr>
        <w:b/>
        <w:bCs/>
      </w:rPr>
      <w:tblPr/>
      <w:tcPr>
        <w:tcBorders>
          <w:top w:val="double" w:sz="2" w:space="0" w:color="2F85BD"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6D7EC" w:themeFill="text1" w:themeFillTint="33"/>
      </w:tcPr>
    </w:tblStylePr>
    <w:tblStylePr w:type="band1Horz">
      <w:tblPr/>
      <w:tcPr>
        <w:shd w:val="clear" w:color="auto" w:fill="B6D7EC" w:themeFill="text1" w:themeFillTint="33"/>
      </w:tcPr>
    </w:tblStylePr>
  </w:style>
  <w:style w:type="table" w:styleId="GridTable2-Accent1">
    <w:name w:val="Grid Table 2 Accent 1"/>
    <w:basedOn w:val="TableNormal"/>
    <w:uiPriority w:val="47"/>
    <w:rsid w:val="0090719C"/>
    <w:tblPr>
      <w:tblStyleRowBandSize w:val="1"/>
      <w:tblStyleColBandSize w:val="1"/>
      <w:tblBorders>
        <w:top w:val="single" w:sz="2" w:space="0" w:color="55CBFF" w:themeColor="accent1" w:themeTint="99"/>
        <w:bottom w:val="single" w:sz="2" w:space="0" w:color="55CBFF" w:themeColor="accent1" w:themeTint="99"/>
        <w:insideH w:val="single" w:sz="2" w:space="0" w:color="55CBFF" w:themeColor="accent1" w:themeTint="99"/>
        <w:insideV w:val="single" w:sz="2" w:space="0" w:color="55CBFF" w:themeColor="accent1" w:themeTint="99"/>
      </w:tblBorders>
    </w:tblPr>
    <w:tblStylePr w:type="firstRow">
      <w:rPr>
        <w:b/>
        <w:bCs/>
      </w:rPr>
      <w:tblPr/>
      <w:tcPr>
        <w:tcBorders>
          <w:top w:val="nil"/>
          <w:bottom w:val="single" w:sz="12" w:space="0" w:color="55CBFF" w:themeColor="accent1" w:themeTint="99"/>
          <w:insideH w:val="nil"/>
          <w:insideV w:val="nil"/>
        </w:tcBorders>
        <w:shd w:val="clear" w:color="auto" w:fill="FFFFFF" w:themeFill="background1"/>
      </w:tcPr>
    </w:tblStylePr>
    <w:tblStylePr w:type="lastRow">
      <w:rPr>
        <w:b/>
        <w:bCs/>
      </w:rPr>
      <w:tblPr/>
      <w:tcPr>
        <w:tcBorders>
          <w:top w:val="double" w:sz="2" w:space="0" w:color="55CB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DFF" w:themeFill="accent1" w:themeFillTint="33"/>
      </w:tcPr>
    </w:tblStylePr>
    <w:tblStylePr w:type="band1Horz">
      <w:tblPr/>
      <w:tcPr>
        <w:shd w:val="clear" w:color="auto" w:fill="C6EDFF" w:themeFill="accent1" w:themeFillTint="33"/>
      </w:tcPr>
    </w:tblStylePr>
  </w:style>
  <w:style w:type="table" w:styleId="GridTable2-Accent2">
    <w:name w:val="Grid Table 2 Accent 2"/>
    <w:basedOn w:val="TableNormal"/>
    <w:uiPriority w:val="47"/>
    <w:rsid w:val="0090719C"/>
    <w:tblPr>
      <w:tblStyleRowBandSize w:val="1"/>
      <w:tblStyleColBandSize w:val="1"/>
      <w:tblBorders>
        <w:top w:val="single" w:sz="2" w:space="0" w:color="FF19FF" w:themeColor="accent2" w:themeTint="99"/>
        <w:bottom w:val="single" w:sz="2" w:space="0" w:color="FF19FF" w:themeColor="accent2" w:themeTint="99"/>
        <w:insideH w:val="single" w:sz="2" w:space="0" w:color="FF19FF" w:themeColor="accent2" w:themeTint="99"/>
        <w:insideV w:val="single" w:sz="2" w:space="0" w:color="FF19FF" w:themeColor="accent2" w:themeTint="99"/>
      </w:tblBorders>
    </w:tblPr>
    <w:tblStylePr w:type="firstRow">
      <w:rPr>
        <w:b/>
        <w:bCs/>
      </w:rPr>
      <w:tblPr/>
      <w:tcPr>
        <w:tcBorders>
          <w:top w:val="nil"/>
          <w:bottom w:val="single" w:sz="12" w:space="0" w:color="FF19FF" w:themeColor="accent2" w:themeTint="99"/>
          <w:insideH w:val="nil"/>
          <w:insideV w:val="nil"/>
        </w:tcBorders>
        <w:shd w:val="clear" w:color="auto" w:fill="FFFFFF" w:themeFill="background1"/>
      </w:tcPr>
    </w:tblStylePr>
    <w:tblStylePr w:type="lastRow">
      <w:rPr>
        <w:b/>
        <w:bCs/>
      </w:rPr>
      <w:tblPr/>
      <w:tcPr>
        <w:tcBorders>
          <w:top w:val="double" w:sz="2" w:space="0" w:color="FF19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2FF" w:themeFill="accent2" w:themeFillTint="33"/>
      </w:tcPr>
    </w:tblStylePr>
    <w:tblStylePr w:type="band1Horz">
      <w:tblPr/>
      <w:tcPr>
        <w:shd w:val="clear" w:color="auto" w:fill="FFB2FF" w:themeFill="accent2" w:themeFillTint="33"/>
      </w:tcPr>
    </w:tblStylePr>
  </w:style>
  <w:style w:type="table" w:styleId="GridTable2-Accent3">
    <w:name w:val="Grid Table 2 Accent 3"/>
    <w:basedOn w:val="TableNormal"/>
    <w:uiPriority w:val="47"/>
    <w:rsid w:val="0090719C"/>
    <w:tblPr>
      <w:tblStyleRowBandSize w:val="1"/>
      <w:tblStyleColBandSize w:val="1"/>
      <w:tblBorders>
        <w:top w:val="single" w:sz="2" w:space="0" w:color="72E3E0" w:themeColor="accent3" w:themeTint="99"/>
        <w:bottom w:val="single" w:sz="2" w:space="0" w:color="72E3E0" w:themeColor="accent3" w:themeTint="99"/>
        <w:insideH w:val="single" w:sz="2" w:space="0" w:color="72E3E0" w:themeColor="accent3" w:themeTint="99"/>
        <w:insideV w:val="single" w:sz="2" w:space="0" w:color="72E3E0" w:themeColor="accent3" w:themeTint="99"/>
      </w:tblBorders>
    </w:tblPr>
    <w:tblStylePr w:type="firstRow">
      <w:rPr>
        <w:b/>
        <w:bCs/>
      </w:rPr>
      <w:tblPr/>
      <w:tcPr>
        <w:tcBorders>
          <w:top w:val="nil"/>
          <w:bottom w:val="single" w:sz="12" w:space="0" w:color="72E3E0" w:themeColor="accent3" w:themeTint="99"/>
          <w:insideH w:val="nil"/>
          <w:insideV w:val="nil"/>
        </w:tcBorders>
        <w:shd w:val="clear" w:color="auto" w:fill="FFFFFF" w:themeFill="background1"/>
      </w:tcPr>
    </w:tblStylePr>
    <w:tblStylePr w:type="lastRow">
      <w:rPr>
        <w:b/>
        <w:bCs/>
      </w:rPr>
      <w:tblPr/>
      <w:tcPr>
        <w:tcBorders>
          <w:top w:val="double" w:sz="2" w:space="0" w:color="72E3E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5F4" w:themeFill="accent3" w:themeFillTint="33"/>
      </w:tcPr>
    </w:tblStylePr>
    <w:tblStylePr w:type="band1Horz">
      <w:tblPr/>
      <w:tcPr>
        <w:shd w:val="clear" w:color="auto" w:fill="D0F5F4" w:themeFill="accent3" w:themeFillTint="33"/>
      </w:tcPr>
    </w:tblStylePr>
  </w:style>
  <w:style w:type="table" w:styleId="GridTable2-Accent4">
    <w:name w:val="Grid Table 2 Accent 4"/>
    <w:basedOn w:val="TableNormal"/>
    <w:uiPriority w:val="47"/>
    <w:rsid w:val="0090719C"/>
    <w:tblPr>
      <w:tblStyleRowBandSize w:val="1"/>
      <w:tblStyleColBandSize w:val="1"/>
      <w:tblBorders>
        <w:top w:val="single" w:sz="2" w:space="0" w:color="DC8EA7" w:themeColor="accent4" w:themeTint="99"/>
        <w:bottom w:val="single" w:sz="2" w:space="0" w:color="DC8EA7" w:themeColor="accent4" w:themeTint="99"/>
        <w:insideH w:val="single" w:sz="2" w:space="0" w:color="DC8EA7" w:themeColor="accent4" w:themeTint="99"/>
        <w:insideV w:val="single" w:sz="2" w:space="0" w:color="DC8EA7" w:themeColor="accent4" w:themeTint="99"/>
      </w:tblBorders>
    </w:tblPr>
    <w:tblStylePr w:type="firstRow">
      <w:rPr>
        <w:b/>
        <w:bCs/>
      </w:rPr>
      <w:tblPr/>
      <w:tcPr>
        <w:tcBorders>
          <w:top w:val="nil"/>
          <w:bottom w:val="single" w:sz="12" w:space="0" w:color="DC8EA7" w:themeColor="accent4" w:themeTint="99"/>
          <w:insideH w:val="nil"/>
          <w:insideV w:val="nil"/>
        </w:tcBorders>
        <w:shd w:val="clear" w:color="auto" w:fill="FFFFFF" w:themeFill="background1"/>
      </w:tcPr>
    </w:tblStylePr>
    <w:tblStylePr w:type="lastRow">
      <w:rPr>
        <w:b/>
        <w:bCs/>
      </w:rPr>
      <w:tblPr/>
      <w:tcPr>
        <w:tcBorders>
          <w:top w:val="double" w:sz="2" w:space="0" w:color="DC8E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9E1" w:themeFill="accent4" w:themeFillTint="33"/>
      </w:tcPr>
    </w:tblStylePr>
    <w:tblStylePr w:type="band1Horz">
      <w:tblPr/>
      <w:tcPr>
        <w:shd w:val="clear" w:color="auto" w:fill="F3D9E1" w:themeFill="accent4" w:themeFillTint="33"/>
      </w:tcPr>
    </w:tblStylePr>
  </w:style>
  <w:style w:type="table" w:styleId="GridTable2-Accent5">
    <w:name w:val="Grid Table 2 Accent 5"/>
    <w:basedOn w:val="TableNormal"/>
    <w:uiPriority w:val="47"/>
    <w:rsid w:val="0090719C"/>
    <w:tblPr>
      <w:tblStyleRowBandSize w:val="1"/>
      <w:tblStyleColBandSize w:val="1"/>
      <w:tblBorders>
        <w:top w:val="single" w:sz="2" w:space="0" w:color="2F85BD" w:themeColor="accent5" w:themeTint="99"/>
        <w:bottom w:val="single" w:sz="2" w:space="0" w:color="2F85BD" w:themeColor="accent5" w:themeTint="99"/>
        <w:insideH w:val="single" w:sz="2" w:space="0" w:color="2F85BD" w:themeColor="accent5" w:themeTint="99"/>
        <w:insideV w:val="single" w:sz="2" w:space="0" w:color="2F85BD" w:themeColor="accent5" w:themeTint="99"/>
      </w:tblBorders>
    </w:tblPr>
    <w:tblStylePr w:type="firstRow">
      <w:rPr>
        <w:b/>
        <w:bCs/>
      </w:rPr>
      <w:tblPr/>
      <w:tcPr>
        <w:tcBorders>
          <w:top w:val="nil"/>
          <w:bottom w:val="single" w:sz="12" w:space="0" w:color="2F85BD" w:themeColor="accent5" w:themeTint="99"/>
          <w:insideH w:val="nil"/>
          <w:insideV w:val="nil"/>
        </w:tcBorders>
        <w:shd w:val="clear" w:color="auto" w:fill="FFFFFF" w:themeFill="background1"/>
      </w:tcPr>
    </w:tblStylePr>
    <w:tblStylePr w:type="lastRow">
      <w:rPr>
        <w:b/>
        <w:bCs/>
      </w:rPr>
      <w:tblPr/>
      <w:tcPr>
        <w:tcBorders>
          <w:top w:val="double" w:sz="2" w:space="0" w:color="2F85B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6D7EC" w:themeFill="accent5" w:themeFillTint="33"/>
      </w:tcPr>
    </w:tblStylePr>
    <w:tblStylePr w:type="band1Horz">
      <w:tblPr/>
      <w:tcPr>
        <w:shd w:val="clear" w:color="auto" w:fill="B6D7EC" w:themeFill="accent5" w:themeFillTint="33"/>
      </w:tcPr>
    </w:tblStylePr>
  </w:style>
  <w:style w:type="table" w:styleId="GridTable2-Accent6">
    <w:name w:val="Grid Table 2 Accent 6"/>
    <w:basedOn w:val="TableNormal"/>
    <w:uiPriority w:val="47"/>
    <w:rsid w:val="0090719C"/>
    <w:tblPr>
      <w:tblStyleRowBandSize w:val="1"/>
      <w:tblStyleColBandSize w:val="1"/>
      <w:tblBorders>
        <w:top w:val="single" w:sz="2" w:space="0" w:color="BCBCBC" w:themeColor="accent6" w:themeTint="99"/>
        <w:bottom w:val="single" w:sz="2" w:space="0" w:color="BCBCBC" w:themeColor="accent6" w:themeTint="99"/>
        <w:insideH w:val="single" w:sz="2" w:space="0" w:color="BCBCBC" w:themeColor="accent6" w:themeTint="99"/>
        <w:insideV w:val="single" w:sz="2" w:space="0" w:color="BCBCBC" w:themeColor="accent6" w:themeTint="99"/>
      </w:tblBorders>
    </w:tblPr>
    <w:tblStylePr w:type="firstRow">
      <w:rPr>
        <w:b/>
        <w:bCs/>
      </w:rPr>
      <w:tblPr/>
      <w:tcPr>
        <w:tcBorders>
          <w:top w:val="nil"/>
          <w:bottom w:val="single" w:sz="12" w:space="0" w:color="BCBCBC" w:themeColor="accent6" w:themeTint="99"/>
          <w:insideH w:val="nil"/>
          <w:insideV w:val="nil"/>
        </w:tcBorders>
        <w:shd w:val="clear" w:color="auto" w:fill="FFFFFF" w:themeFill="background1"/>
      </w:tcPr>
    </w:tblStylePr>
    <w:tblStylePr w:type="lastRow">
      <w:rPr>
        <w:b/>
        <w:bCs/>
      </w:rPr>
      <w:tblPr/>
      <w:tcPr>
        <w:tcBorders>
          <w:top w:val="double" w:sz="2" w:space="0" w:color="BCBCB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8E8" w:themeFill="accent6" w:themeFillTint="33"/>
      </w:tcPr>
    </w:tblStylePr>
    <w:tblStylePr w:type="band1Horz">
      <w:tblPr/>
      <w:tcPr>
        <w:shd w:val="clear" w:color="auto" w:fill="E8E8E8" w:themeFill="accent6" w:themeFillTint="33"/>
      </w:tcPr>
    </w:tblStylePr>
  </w:style>
  <w:style w:type="table" w:styleId="GridTable3">
    <w:name w:val="Grid Table 3"/>
    <w:basedOn w:val="TableNormal"/>
    <w:uiPriority w:val="48"/>
    <w:rsid w:val="0090719C"/>
    <w:tblPr>
      <w:tblStyleRowBandSize w:val="1"/>
      <w:tblStyleColBandSize w:val="1"/>
      <w:tblBorders>
        <w:top w:val="single" w:sz="4" w:space="0" w:color="2F85BD" w:themeColor="text1" w:themeTint="99"/>
        <w:left w:val="single" w:sz="4" w:space="0" w:color="2F85BD" w:themeColor="text1" w:themeTint="99"/>
        <w:bottom w:val="single" w:sz="4" w:space="0" w:color="2F85BD" w:themeColor="text1" w:themeTint="99"/>
        <w:right w:val="single" w:sz="4" w:space="0" w:color="2F85BD" w:themeColor="text1" w:themeTint="99"/>
        <w:insideH w:val="single" w:sz="4" w:space="0" w:color="2F85BD" w:themeColor="text1" w:themeTint="99"/>
        <w:insideV w:val="single" w:sz="4" w:space="0" w:color="2F85BD"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D7EC" w:themeFill="text1" w:themeFillTint="33"/>
      </w:tcPr>
    </w:tblStylePr>
    <w:tblStylePr w:type="band1Horz">
      <w:tblPr/>
      <w:tcPr>
        <w:shd w:val="clear" w:color="auto" w:fill="B6D7EC" w:themeFill="text1" w:themeFillTint="33"/>
      </w:tcPr>
    </w:tblStylePr>
    <w:tblStylePr w:type="neCell">
      <w:tblPr/>
      <w:tcPr>
        <w:tcBorders>
          <w:bottom w:val="single" w:sz="4" w:space="0" w:color="2F85BD" w:themeColor="text1" w:themeTint="99"/>
        </w:tcBorders>
      </w:tcPr>
    </w:tblStylePr>
    <w:tblStylePr w:type="nwCell">
      <w:tblPr/>
      <w:tcPr>
        <w:tcBorders>
          <w:bottom w:val="single" w:sz="4" w:space="0" w:color="2F85BD" w:themeColor="text1" w:themeTint="99"/>
        </w:tcBorders>
      </w:tcPr>
    </w:tblStylePr>
    <w:tblStylePr w:type="seCell">
      <w:tblPr/>
      <w:tcPr>
        <w:tcBorders>
          <w:top w:val="single" w:sz="4" w:space="0" w:color="2F85BD" w:themeColor="text1" w:themeTint="99"/>
        </w:tcBorders>
      </w:tcPr>
    </w:tblStylePr>
    <w:tblStylePr w:type="swCell">
      <w:tblPr/>
      <w:tcPr>
        <w:tcBorders>
          <w:top w:val="single" w:sz="4" w:space="0" w:color="2F85BD" w:themeColor="text1" w:themeTint="99"/>
        </w:tcBorders>
      </w:tcPr>
    </w:tblStylePr>
  </w:style>
  <w:style w:type="table" w:styleId="GridTable3-Accent1">
    <w:name w:val="Grid Table 3 Accent 1"/>
    <w:basedOn w:val="TableNormal"/>
    <w:uiPriority w:val="48"/>
    <w:rsid w:val="0090719C"/>
    <w:tblPr>
      <w:tblStyleRowBandSize w:val="1"/>
      <w:tblStyleColBandSize w:val="1"/>
      <w:tblBorders>
        <w:top w:val="single" w:sz="4" w:space="0" w:color="55CBFF" w:themeColor="accent1" w:themeTint="99"/>
        <w:left w:val="single" w:sz="4" w:space="0" w:color="55CBFF" w:themeColor="accent1" w:themeTint="99"/>
        <w:bottom w:val="single" w:sz="4" w:space="0" w:color="55CBFF" w:themeColor="accent1" w:themeTint="99"/>
        <w:right w:val="single" w:sz="4" w:space="0" w:color="55CBFF" w:themeColor="accent1" w:themeTint="99"/>
        <w:insideH w:val="single" w:sz="4" w:space="0" w:color="55CBFF" w:themeColor="accent1" w:themeTint="99"/>
        <w:insideV w:val="single" w:sz="4" w:space="0" w:color="55CB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DFF" w:themeFill="accent1" w:themeFillTint="33"/>
      </w:tcPr>
    </w:tblStylePr>
    <w:tblStylePr w:type="band1Horz">
      <w:tblPr/>
      <w:tcPr>
        <w:shd w:val="clear" w:color="auto" w:fill="C6EDFF" w:themeFill="accent1" w:themeFillTint="33"/>
      </w:tcPr>
    </w:tblStylePr>
    <w:tblStylePr w:type="neCell">
      <w:tblPr/>
      <w:tcPr>
        <w:tcBorders>
          <w:bottom w:val="single" w:sz="4" w:space="0" w:color="55CBFF" w:themeColor="accent1" w:themeTint="99"/>
        </w:tcBorders>
      </w:tcPr>
    </w:tblStylePr>
    <w:tblStylePr w:type="nwCell">
      <w:tblPr/>
      <w:tcPr>
        <w:tcBorders>
          <w:bottom w:val="single" w:sz="4" w:space="0" w:color="55CBFF" w:themeColor="accent1" w:themeTint="99"/>
        </w:tcBorders>
      </w:tcPr>
    </w:tblStylePr>
    <w:tblStylePr w:type="seCell">
      <w:tblPr/>
      <w:tcPr>
        <w:tcBorders>
          <w:top w:val="single" w:sz="4" w:space="0" w:color="55CBFF" w:themeColor="accent1" w:themeTint="99"/>
        </w:tcBorders>
      </w:tcPr>
    </w:tblStylePr>
    <w:tblStylePr w:type="swCell">
      <w:tblPr/>
      <w:tcPr>
        <w:tcBorders>
          <w:top w:val="single" w:sz="4" w:space="0" w:color="55CBFF" w:themeColor="accent1" w:themeTint="99"/>
        </w:tcBorders>
      </w:tcPr>
    </w:tblStylePr>
  </w:style>
  <w:style w:type="table" w:styleId="GridTable3-Accent2">
    <w:name w:val="Grid Table 3 Accent 2"/>
    <w:basedOn w:val="TableNormal"/>
    <w:uiPriority w:val="48"/>
    <w:rsid w:val="0090719C"/>
    <w:tblPr>
      <w:tblStyleRowBandSize w:val="1"/>
      <w:tblStyleColBandSize w:val="1"/>
      <w:tblBorders>
        <w:top w:val="single" w:sz="4" w:space="0" w:color="FF19FF" w:themeColor="accent2" w:themeTint="99"/>
        <w:left w:val="single" w:sz="4" w:space="0" w:color="FF19FF" w:themeColor="accent2" w:themeTint="99"/>
        <w:bottom w:val="single" w:sz="4" w:space="0" w:color="FF19FF" w:themeColor="accent2" w:themeTint="99"/>
        <w:right w:val="single" w:sz="4" w:space="0" w:color="FF19FF" w:themeColor="accent2" w:themeTint="99"/>
        <w:insideH w:val="single" w:sz="4" w:space="0" w:color="FF19FF" w:themeColor="accent2" w:themeTint="99"/>
        <w:insideV w:val="single" w:sz="4" w:space="0" w:color="FF19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2FF" w:themeFill="accent2" w:themeFillTint="33"/>
      </w:tcPr>
    </w:tblStylePr>
    <w:tblStylePr w:type="band1Horz">
      <w:tblPr/>
      <w:tcPr>
        <w:shd w:val="clear" w:color="auto" w:fill="FFB2FF" w:themeFill="accent2" w:themeFillTint="33"/>
      </w:tcPr>
    </w:tblStylePr>
    <w:tblStylePr w:type="neCell">
      <w:tblPr/>
      <w:tcPr>
        <w:tcBorders>
          <w:bottom w:val="single" w:sz="4" w:space="0" w:color="FF19FF" w:themeColor="accent2" w:themeTint="99"/>
        </w:tcBorders>
      </w:tcPr>
    </w:tblStylePr>
    <w:tblStylePr w:type="nwCell">
      <w:tblPr/>
      <w:tcPr>
        <w:tcBorders>
          <w:bottom w:val="single" w:sz="4" w:space="0" w:color="FF19FF" w:themeColor="accent2" w:themeTint="99"/>
        </w:tcBorders>
      </w:tcPr>
    </w:tblStylePr>
    <w:tblStylePr w:type="seCell">
      <w:tblPr/>
      <w:tcPr>
        <w:tcBorders>
          <w:top w:val="single" w:sz="4" w:space="0" w:color="FF19FF" w:themeColor="accent2" w:themeTint="99"/>
        </w:tcBorders>
      </w:tcPr>
    </w:tblStylePr>
    <w:tblStylePr w:type="swCell">
      <w:tblPr/>
      <w:tcPr>
        <w:tcBorders>
          <w:top w:val="single" w:sz="4" w:space="0" w:color="FF19FF" w:themeColor="accent2" w:themeTint="99"/>
        </w:tcBorders>
      </w:tcPr>
    </w:tblStylePr>
  </w:style>
  <w:style w:type="table" w:styleId="GridTable3-Accent3">
    <w:name w:val="Grid Table 3 Accent 3"/>
    <w:basedOn w:val="TableNormal"/>
    <w:uiPriority w:val="48"/>
    <w:rsid w:val="0090719C"/>
    <w:tblPr>
      <w:tblStyleRowBandSize w:val="1"/>
      <w:tblStyleColBandSize w:val="1"/>
      <w:tblBorders>
        <w:top w:val="single" w:sz="4" w:space="0" w:color="72E3E0" w:themeColor="accent3" w:themeTint="99"/>
        <w:left w:val="single" w:sz="4" w:space="0" w:color="72E3E0" w:themeColor="accent3" w:themeTint="99"/>
        <w:bottom w:val="single" w:sz="4" w:space="0" w:color="72E3E0" w:themeColor="accent3" w:themeTint="99"/>
        <w:right w:val="single" w:sz="4" w:space="0" w:color="72E3E0" w:themeColor="accent3" w:themeTint="99"/>
        <w:insideH w:val="single" w:sz="4" w:space="0" w:color="72E3E0" w:themeColor="accent3" w:themeTint="99"/>
        <w:insideV w:val="single" w:sz="4" w:space="0" w:color="72E3E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5F4" w:themeFill="accent3" w:themeFillTint="33"/>
      </w:tcPr>
    </w:tblStylePr>
    <w:tblStylePr w:type="band1Horz">
      <w:tblPr/>
      <w:tcPr>
        <w:shd w:val="clear" w:color="auto" w:fill="D0F5F4" w:themeFill="accent3" w:themeFillTint="33"/>
      </w:tcPr>
    </w:tblStylePr>
    <w:tblStylePr w:type="neCell">
      <w:tblPr/>
      <w:tcPr>
        <w:tcBorders>
          <w:bottom w:val="single" w:sz="4" w:space="0" w:color="72E3E0" w:themeColor="accent3" w:themeTint="99"/>
        </w:tcBorders>
      </w:tcPr>
    </w:tblStylePr>
    <w:tblStylePr w:type="nwCell">
      <w:tblPr/>
      <w:tcPr>
        <w:tcBorders>
          <w:bottom w:val="single" w:sz="4" w:space="0" w:color="72E3E0" w:themeColor="accent3" w:themeTint="99"/>
        </w:tcBorders>
      </w:tcPr>
    </w:tblStylePr>
    <w:tblStylePr w:type="seCell">
      <w:tblPr/>
      <w:tcPr>
        <w:tcBorders>
          <w:top w:val="single" w:sz="4" w:space="0" w:color="72E3E0" w:themeColor="accent3" w:themeTint="99"/>
        </w:tcBorders>
      </w:tcPr>
    </w:tblStylePr>
    <w:tblStylePr w:type="swCell">
      <w:tblPr/>
      <w:tcPr>
        <w:tcBorders>
          <w:top w:val="single" w:sz="4" w:space="0" w:color="72E3E0" w:themeColor="accent3" w:themeTint="99"/>
        </w:tcBorders>
      </w:tcPr>
    </w:tblStylePr>
  </w:style>
  <w:style w:type="table" w:styleId="GridTable3-Accent4">
    <w:name w:val="Grid Table 3 Accent 4"/>
    <w:basedOn w:val="TableNormal"/>
    <w:uiPriority w:val="48"/>
    <w:rsid w:val="0090719C"/>
    <w:tblPr>
      <w:tblStyleRowBandSize w:val="1"/>
      <w:tblStyleColBandSize w:val="1"/>
      <w:tblBorders>
        <w:top w:val="single" w:sz="4" w:space="0" w:color="DC8EA7" w:themeColor="accent4" w:themeTint="99"/>
        <w:left w:val="single" w:sz="4" w:space="0" w:color="DC8EA7" w:themeColor="accent4" w:themeTint="99"/>
        <w:bottom w:val="single" w:sz="4" w:space="0" w:color="DC8EA7" w:themeColor="accent4" w:themeTint="99"/>
        <w:right w:val="single" w:sz="4" w:space="0" w:color="DC8EA7" w:themeColor="accent4" w:themeTint="99"/>
        <w:insideH w:val="single" w:sz="4" w:space="0" w:color="DC8EA7" w:themeColor="accent4" w:themeTint="99"/>
        <w:insideV w:val="single" w:sz="4" w:space="0" w:color="DC8E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9E1" w:themeFill="accent4" w:themeFillTint="33"/>
      </w:tcPr>
    </w:tblStylePr>
    <w:tblStylePr w:type="band1Horz">
      <w:tblPr/>
      <w:tcPr>
        <w:shd w:val="clear" w:color="auto" w:fill="F3D9E1" w:themeFill="accent4" w:themeFillTint="33"/>
      </w:tcPr>
    </w:tblStylePr>
    <w:tblStylePr w:type="neCell">
      <w:tblPr/>
      <w:tcPr>
        <w:tcBorders>
          <w:bottom w:val="single" w:sz="4" w:space="0" w:color="DC8EA7" w:themeColor="accent4" w:themeTint="99"/>
        </w:tcBorders>
      </w:tcPr>
    </w:tblStylePr>
    <w:tblStylePr w:type="nwCell">
      <w:tblPr/>
      <w:tcPr>
        <w:tcBorders>
          <w:bottom w:val="single" w:sz="4" w:space="0" w:color="DC8EA7" w:themeColor="accent4" w:themeTint="99"/>
        </w:tcBorders>
      </w:tcPr>
    </w:tblStylePr>
    <w:tblStylePr w:type="seCell">
      <w:tblPr/>
      <w:tcPr>
        <w:tcBorders>
          <w:top w:val="single" w:sz="4" w:space="0" w:color="DC8EA7" w:themeColor="accent4" w:themeTint="99"/>
        </w:tcBorders>
      </w:tcPr>
    </w:tblStylePr>
    <w:tblStylePr w:type="swCell">
      <w:tblPr/>
      <w:tcPr>
        <w:tcBorders>
          <w:top w:val="single" w:sz="4" w:space="0" w:color="DC8EA7" w:themeColor="accent4" w:themeTint="99"/>
        </w:tcBorders>
      </w:tcPr>
    </w:tblStylePr>
  </w:style>
  <w:style w:type="table" w:styleId="GridTable3-Accent5">
    <w:name w:val="Grid Table 3 Accent 5"/>
    <w:basedOn w:val="TableNormal"/>
    <w:uiPriority w:val="48"/>
    <w:rsid w:val="0090719C"/>
    <w:tblPr>
      <w:tblStyleRowBandSize w:val="1"/>
      <w:tblStyleColBandSize w:val="1"/>
      <w:tblBorders>
        <w:top w:val="single" w:sz="4" w:space="0" w:color="2F85BD" w:themeColor="accent5" w:themeTint="99"/>
        <w:left w:val="single" w:sz="4" w:space="0" w:color="2F85BD" w:themeColor="accent5" w:themeTint="99"/>
        <w:bottom w:val="single" w:sz="4" w:space="0" w:color="2F85BD" w:themeColor="accent5" w:themeTint="99"/>
        <w:right w:val="single" w:sz="4" w:space="0" w:color="2F85BD" w:themeColor="accent5" w:themeTint="99"/>
        <w:insideH w:val="single" w:sz="4" w:space="0" w:color="2F85BD" w:themeColor="accent5" w:themeTint="99"/>
        <w:insideV w:val="single" w:sz="4" w:space="0" w:color="2F85B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D7EC" w:themeFill="accent5" w:themeFillTint="33"/>
      </w:tcPr>
    </w:tblStylePr>
    <w:tblStylePr w:type="band1Horz">
      <w:tblPr/>
      <w:tcPr>
        <w:shd w:val="clear" w:color="auto" w:fill="B6D7EC" w:themeFill="accent5" w:themeFillTint="33"/>
      </w:tcPr>
    </w:tblStylePr>
    <w:tblStylePr w:type="neCell">
      <w:tblPr/>
      <w:tcPr>
        <w:tcBorders>
          <w:bottom w:val="single" w:sz="4" w:space="0" w:color="2F85BD" w:themeColor="accent5" w:themeTint="99"/>
        </w:tcBorders>
      </w:tcPr>
    </w:tblStylePr>
    <w:tblStylePr w:type="nwCell">
      <w:tblPr/>
      <w:tcPr>
        <w:tcBorders>
          <w:bottom w:val="single" w:sz="4" w:space="0" w:color="2F85BD" w:themeColor="accent5" w:themeTint="99"/>
        </w:tcBorders>
      </w:tcPr>
    </w:tblStylePr>
    <w:tblStylePr w:type="seCell">
      <w:tblPr/>
      <w:tcPr>
        <w:tcBorders>
          <w:top w:val="single" w:sz="4" w:space="0" w:color="2F85BD" w:themeColor="accent5" w:themeTint="99"/>
        </w:tcBorders>
      </w:tcPr>
    </w:tblStylePr>
    <w:tblStylePr w:type="swCell">
      <w:tblPr/>
      <w:tcPr>
        <w:tcBorders>
          <w:top w:val="single" w:sz="4" w:space="0" w:color="2F85BD" w:themeColor="accent5" w:themeTint="99"/>
        </w:tcBorders>
      </w:tcPr>
    </w:tblStylePr>
  </w:style>
  <w:style w:type="table" w:styleId="GridTable3-Accent6">
    <w:name w:val="Grid Table 3 Accent 6"/>
    <w:basedOn w:val="TableNormal"/>
    <w:uiPriority w:val="48"/>
    <w:rsid w:val="0090719C"/>
    <w:tblPr>
      <w:tblStyleRowBandSize w:val="1"/>
      <w:tblStyleColBandSize w:val="1"/>
      <w:tblBorders>
        <w:top w:val="single" w:sz="4" w:space="0" w:color="BCBCBC" w:themeColor="accent6" w:themeTint="99"/>
        <w:left w:val="single" w:sz="4" w:space="0" w:color="BCBCBC" w:themeColor="accent6" w:themeTint="99"/>
        <w:bottom w:val="single" w:sz="4" w:space="0" w:color="BCBCBC" w:themeColor="accent6" w:themeTint="99"/>
        <w:right w:val="single" w:sz="4" w:space="0" w:color="BCBCBC" w:themeColor="accent6" w:themeTint="99"/>
        <w:insideH w:val="single" w:sz="4" w:space="0" w:color="BCBCBC" w:themeColor="accent6" w:themeTint="99"/>
        <w:insideV w:val="single" w:sz="4" w:space="0" w:color="BCBCB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8E8" w:themeFill="accent6" w:themeFillTint="33"/>
      </w:tcPr>
    </w:tblStylePr>
    <w:tblStylePr w:type="band1Horz">
      <w:tblPr/>
      <w:tcPr>
        <w:shd w:val="clear" w:color="auto" w:fill="E8E8E8" w:themeFill="accent6" w:themeFillTint="33"/>
      </w:tcPr>
    </w:tblStylePr>
    <w:tblStylePr w:type="neCell">
      <w:tblPr/>
      <w:tcPr>
        <w:tcBorders>
          <w:bottom w:val="single" w:sz="4" w:space="0" w:color="BCBCBC" w:themeColor="accent6" w:themeTint="99"/>
        </w:tcBorders>
      </w:tcPr>
    </w:tblStylePr>
    <w:tblStylePr w:type="nwCell">
      <w:tblPr/>
      <w:tcPr>
        <w:tcBorders>
          <w:bottom w:val="single" w:sz="4" w:space="0" w:color="BCBCBC" w:themeColor="accent6" w:themeTint="99"/>
        </w:tcBorders>
      </w:tcPr>
    </w:tblStylePr>
    <w:tblStylePr w:type="seCell">
      <w:tblPr/>
      <w:tcPr>
        <w:tcBorders>
          <w:top w:val="single" w:sz="4" w:space="0" w:color="BCBCBC" w:themeColor="accent6" w:themeTint="99"/>
        </w:tcBorders>
      </w:tcPr>
    </w:tblStylePr>
    <w:tblStylePr w:type="swCell">
      <w:tblPr/>
      <w:tcPr>
        <w:tcBorders>
          <w:top w:val="single" w:sz="4" w:space="0" w:color="BCBCBC" w:themeColor="accent6" w:themeTint="99"/>
        </w:tcBorders>
      </w:tcPr>
    </w:tblStylePr>
  </w:style>
  <w:style w:type="table" w:styleId="GridTable4">
    <w:name w:val="Grid Table 4"/>
    <w:basedOn w:val="TableNormal"/>
    <w:uiPriority w:val="49"/>
    <w:rsid w:val="0090719C"/>
    <w:tblPr>
      <w:tblStyleRowBandSize w:val="1"/>
      <w:tblStyleColBandSize w:val="1"/>
      <w:tblBorders>
        <w:top w:val="single" w:sz="4" w:space="0" w:color="2F85BD" w:themeColor="text1" w:themeTint="99"/>
        <w:left w:val="single" w:sz="4" w:space="0" w:color="2F85BD" w:themeColor="text1" w:themeTint="99"/>
        <w:bottom w:val="single" w:sz="4" w:space="0" w:color="2F85BD" w:themeColor="text1" w:themeTint="99"/>
        <w:right w:val="single" w:sz="4" w:space="0" w:color="2F85BD" w:themeColor="text1" w:themeTint="99"/>
        <w:insideH w:val="single" w:sz="4" w:space="0" w:color="2F85BD" w:themeColor="text1" w:themeTint="99"/>
        <w:insideV w:val="single" w:sz="4" w:space="0" w:color="2F85BD" w:themeColor="text1" w:themeTint="99"/>
      </w:tblBorders>
    </w:tblPr>
    <w:tblStylePr w:type="firstRow">
      <w:rPr>
        <w:b/>
        <w:bCs/>
        <w:color w:val="FFFFFF" w:themeColor="background1"/>
      </w:rPr>
      <w:tblPr/>
      <w:tcPr>
        <w:tcBorders>
          <w:top w:val="single" w:sz="4" w:space="0" w:color="0B1F2C" w:themeColor="text1"/>
          <w:left w:val="single" w:sz="4" w:space="0" w:color="0B1F2C" w:themeColor="text1"/>
          <w:bottom w:val="single" w:sz="4" w:space="0" w:color="0B1F2C" w:themeColor="text1"/>
          <w:right w:val="single" w:sz="4" w:space="0" w:color="0B1F2C" w:themeColor="text1"/>
          <w:insideH w:val="nil"/>
          <w:insideV w:val="nil"/>
        </w:tcBorders>
        <w:shd w:val="clear" w:color="auto" w:fill="0B1F2C" w:themeFill="text1"/>
      </w:tcPr>
    </w:tblStylePr>
    <w:tblStylePr w:type="lastRow">
      <w:rPr>
        <w:b/>
        <w:bCs/>
      </w:rPr>
      <w:tblPr/>
      <w:tcPr>
        <w:tcBorders>
          <w:top w:val="double" w:sz="4" w:space="0" w:color="0B1F2C" w:themeColor="text1"/>
        </w:tcBorders>
      </w:tcPr>
    </w:tblStylePr>
    <w:tblStylePr w:type="firstCol">
      <w:rPr>
        <w:b/>
        <w:bCs/>
      </w:rPr>
    </w:tblStylePr>
    <w:tblStylePr w:type="lastCol">
      <w:rPr>
        <w:b/>
        <w:bCs/>
      </w:rPr>
    </w:tblStylePr>
    <w:tblStylePr w:type="band1Vert">
      <w:tblPr/>
      <w:tcPr>
        <w:shd w:val="clear" w:color="auto" w:fill="B6D7EC" w:themeFill="text1" w:themeFillTint="33"/>
      </w:tcPr>
    </w:tblStylePr>
    <w:tblStylePr w:type="band1Horz">
      <w:tblPr/>
      <w:tcPr>
        <w:shd w:val="clear" w:color="auto" w:fill="B6D7EC" w:themeFill="text1" w:themeFillTint="33"/>
      </w:tcPr>
    </w:tblStylePr>
  </w:style>
  <w:style w:type="table" w:styleId="GridTable4-Accent1">
    <w:name w:val="Grid Table 4 Accent 1"/>
    <w:basedOn w:val="TableNormal"/>
    <w:uiPriority w:val="49"/>
    <w:rsid w:val="0090719C"/>
    <w:tblPr>
      <w:tblStyleRowBandSize w:val="1"/>
      <w:tblStyleColBandSize w:val="1"/>
      <w:tblBorders>
        <w:top w:val="single" w:sz="4" w:space="0" w:color="55CBFF" w:themeColor="accent1" w:themeTint="99"/>
        <w:left w:val="single" w:sz="4" w:space="0" w:color="55CBFF" w:themeColor="accent1" w:themeTint="99"/>
        <w:bottom w:val="single" w:sz="4" w:space="0" w:color="55CBFF" w:themeColor="accent1" w:themeTint="99"/>
        <w:right w:val="single" w:sz="4" w:space="0" w:color="55CBFF" w:themeColor="accent1" w:themeTint="99"/>
        <w:insideH w:val="single" w:sz="4" w:space="0" w:color="55CBFF" w:themeColor="accent1" w:themeTint="99"/>
        <w:insideV w:val="single" w:sz="4" w:space="0" w:color="55CBFF" w:themeColor="accent1" w:themeTint="99"/>
      </w:tblBorders>
    </w:tblPr>
    <w:tblStylePr w:type="firstRow">
      <w:rPr>
        <w:b/>
        <w:bCs/>
        <w:color w:val="FFFFFF" w:themeColor="background1"/>
      </w:rPr>
      <w:tblPr/>
      <w:tcPr>
        <w:tcBorders>
          <w:top w:val="single" w:sz="4" w:space="0" w:color="009FE3" w:themeColor="accent1"/>
          <w:left w:val="single" w:sz="4" w:space="0" w:color="009FE3" w:themeColor="accent1"/>
          <w:bottom w:val="single" w:sz="4" w:space="0" w:color="009FE3" w:themeColor="accent1"/>
          <w:right w:val="single" w:sz="4" w:space="0" w:color="009FE3" w:themeColor="accent1"/>
          <w:insideH w:val="nil"/>
          <w:insideV w:val="nil"/>
        </w:tcBorders>
        <w:shd w:val="clear" w:color="auto" w:fill="009FE3" w:themeFill="accent1"/>
      </w:tcPr>
    </w:tblStylePr>
    <w:tblStylePr w:type="lastRow">
      <w:rPr>
        <w:b/>
        <w:bCs/>
      </w:rPr>
      <w:tblPr/>
      <w:tcPr>
        <w:tcBorders>
          <w:top w:val="double" w:sz="4" w:space="0" w:color="009FE3" w:themeColor="accent1"/>
        </w:tcBorders>
      </w:tcPr>
    </w:tblStylePr>
    <w:tblStylePr w:type="firstCol">
      <w:rPr>
        <w:b/>
        <w:bCs/>
      </w:rPr>
    </w:tblStylePr>
    <w:tblStylePr w:type="lastCol">
      <w:rPr>
        <w:b/>
        <w:bCs/>
      </w:rPr>
    </w:tblStylePr>
    <w:tblStylePr w:type="band1Vert">
      <w:tblPr/>
      <w:tcPr>
        <w:shd w:val="clear" w:color="auto" w:fill="C6EDFF" w:themeFill="accent1" w:themeFillTint="33"/>
      </w:tcPr>
    </w:tblStylePr>
    <w:tblStylePr w:type="band1Horz">
      <w:tblPr/>
      <w:tcPr>
        <w:shd w:val="clear" w:color="auto" w:fill="C6EDFF" w:themeFill="accent1" w:themeFillTint="33"/>
      </w:tcPr>
    </w:tblStylePr>
  </w:style>
  <w:style w:type="table" w:styleId="GridTable4-Accent2">
    <w:name w:val="Grid Table 4 Accent 2"/>
    <w:basedOn w:val="TableNormal"/>
    <w:uiPriority w:val="49"/>
    <w:rsid w:val="0090719C"/>
    <w:tblPr>
      <w:tblStyleRowBandSize w:val="1"/>
      <w:tblStyleColBandSize w:val="1"/>
      <w:tblBorders>
        <w:top w:val="single" w:sz="4" w:space="0" w:color="FF19FF" w:themeColor="accent2" w:themeTint="99"/>
        <w:left w:val="single" w:sz="4" w:space="0" w:color="FF19FF" w:themeColor="accent2" w:themeTint="99"/>
        <w:bottom w:val="single" w:sz="4" w:space="0" w:color="FF19FF" w:themeColor="accent2" w:themeTint="99"/>
        <w:right w:val="single" w:sz="4" w:space="0" w:color="FF19FF" w:themeColor="accent2" w:themeTint="99"/>
        <w:insideH w:val="single" w:sz="4" w:space="0" w:color="FF19FF" w:themeColor="accent2" w:themeTint="99"/>
        <w:insideV w:val="single" w:sz="4" w:space="0" w:color="FF19FF" w:themeColor="accent2" w:themeTint="99"/>
      </w:tblBorders>
    </w:tblPr>
    <w:tblStylePr w:type="firstRow">
      <w:rPr>
        <w:b/>
        <w:bCs/>
        <w:color w:val="FFFFFF" w:themeColor="background1"/>
      </w:rPr>
      <w:tblPr/>
      <w:tcPr>
        <w:tcBorders>
          <w:top w:val="single" w:sz="4" w:space="0" w:color="800080" w:themeColor="accent2"/>
          <w:left w:val="single" w:sz="4" w:space="0" w:color="800080" w:themeColor="accent2"/>
          <w:bottom w:val="single" w:sz="4" w:space="0" w:color="800080" w:themeColor="accent2"/>
          <w:right w:val="single" w:sz="4" w:space="0" w:color="800080" w:themeColor="accent2"/>
          <w:insideH w:val="nil"/>
          <w:insideV w:val="nil"/>
        </w:tcBorders>
        <w:shd w:val="clear" w:color="auto" w:fill="800080" w:themeFill="accent2"/>
      </w:tcPr>
    </w:tblStylePr>
    <w:tblStylePr w:type="lastRow">
      <w:rPr>
        <w:b/>
        <w:bCs/>
      </w:rPr>
      <w:tblPr/>
      <w:tcPr>
        <w:tcBorders>
          <w:top w:val="double" w:sz="4" w:space="0" w:color="800080" w:themeColor="accent2"/>
        </w:tcBorders>
      </w:tcPr>
    </w:tblStylePr>
    <w:tblStylePr w:type="firstCol">
      <w:rPr>
        <w:b/>
        <w:bCs/>
      </w:rPr>
    </w:tblStylePr>
    <w:tblStylePr w:type="lastCol">
      <w:rPr>
        <w:b/>
        <w:bCs/>
      </w:rPr>
    </w:tblStylePr>
    <w:tblStylePr w:type="band1Vert">
      <w:tblPr/>
      <w:tcPr>
        <w:shd w:val="clear" w:color="auto" w:fill="FFB2FF" w:themeFill="accent2" w:themeFillTint="33"/>
      </w:tcPr>
    </w:tblStylePr>
    <w:tblStylePr w:type="band1Horz">
      <w:tblPr/>
      <w:tcPr>
        <w:shd w:val="clear" w:color="auto" w:fill="FFB2FF" w:themeFill="accent2" w:themeFillTint="33"/>
      </w:tcPr>
    </w:tblStylePr>
  </w:style>
  <w:style w:type="table" w:styleId="GridTable4-Accent3">
    <w:name w:val="Grid Table 4 Accent 3"/>
    <w:basedOn w:val="TableNormal"/>
    <w:uiPriority w:val="49"/>
    <w:rsid w:val="0090719C"/>
    <w:tblPr>
      <w:tblStyleRowBandSize w:val="1"/>
      <w:tblStyleColBandSize w:val="1"/>
      <w:tblBorders>
        <w:top w:val="single" w:sz="4" w:space="0" w:color="72E3E0" w:themeColor="accent3" w:themeTint="99"/>
        <w:left w:val="single" w:sz="4" w:space="0" w:color="72E3E0" w:themeColor="accent3" w:themeTint="99"/>
        <w:bottom w:val="single" w:sz="4" w:space="0" w:color="72E3E0" w:themeColor="accent3" w:themeTint="99"/>
        <w:right w:val="single" w:sz="4" w:space="0" w:color="72E3E0" w:themeColor="accent3" w:themeTint="99"/>
        <w:insideH w:val="single" w:sz="4" w:space="0" w:color="72E3E0" w:themeColor="accent3" w:themeTint="99"/>
        <w:insideV w:val="single" w:sz="4" w:space="0" w:color="72E3E0" w:themeColor="accent3" w:themeTint="99"/>
      </w:tblBorders>
    </w:tblPr>
    <w:tblStylePr w:type="firstRow">
      <w:rPr>
        <w:b/>
        <w:bCs/>
        <w:color w:val="FFFFFF" w:themeColor="background1"/>
      </w:rPr>
      <w:tblPr/>
      <w:tcPr>
        <w:tcBorders>
          <w:top w:val="single" w:sz="4" w:space="0" w:color="26C0BC" w:themeColor="accent3"/>
          <w:left w:val="single" w:sz="4" w:space="0" w:color="26C0BC" w:themeColor="accent3"/>
          <w:bottom w:val="single" w:sz="4" w:space="0" w:color="26C0BC" w:themeColor="accent3"/>
          <w:right w:val="single" w:sz="4" w:space="0" w:color="26C0BC" w:themeColor="accent3"/>
          <w:insideH w:val="nil"/>
          <w:insideV w:val="nil"/>
        </w:tcBorders>
        <w:shd w:val="clear" w:color="auto" w:fill="26C0BC" w:themeFill="accent3"/>
      </w:tcPr>
    </w:tblStylePr>
    <w:tblStylePr w:type="lastRow">
      <w:rPr>
        <w:b/>
        <w:bCs/>
      </w:rPr>
      <w:tblPr/>
      <w:tcPr>
        <w:tcBorders>
          <w:top w:val="double" w:sz="4" w:space="0" w:color="26C0BC" w:themeColor="accent3"/>
        </w:tcBorders>
      </w:tcPr>
    </w:tblStylePr>
    <w:tblStylePr w:type="firstCol">
      <w:rPr>
        <w:b/>
        <w:bCs/>
      </w:rPr>
    </w:tblStylePr>
    <w:tblStylePr w:type="lastCol">
      <w:rPr>
        <w:b/>
        <w:bCs/>
      </w:rPr>
    </w:tblStylePr>
    <w:tblStylePr w:type="band1Vert">
      <w:tblPr/>
      <w:tcPr>
        <w:shd w:val="clear" w:color="auto" w:fill="D0F5F4" w:themeFill="accent3" w:themeFillTint="33"/>
      </w:tcPr>
    </w:tblStylePr>
    <w:tblStylePr w:type="band1Horz">
      <w:tblPr/>
      <w:tcPr>
        <w:shd w:val="clear" w:color="auto" w:fill="D0F5F4" w:themeFill="accent3" w:themeFillTint="33"/>
      </w:tcPr>
    </w:tblStylePr>
  </w:style>
  <w:style w:type="table" w:styleId="GridTable4-Accent4">
    <w:name w:val="Grid Table 4 Accent 4"/>
    <w:basedOn w:val="TableNormal"/>
    <w:uiPriority w:val="49"/>
    <w:rsid w:val="0090719C"/>
    <w:tblPr>
      <w:tblStyleRowBandSize w:val="1"/>
      <w:tblStyleColBandSize w:val="1"/>
      <w:tblBorders>
        <w:top w:val="single" w:sz="4" w:space="0" w:color="DC8EA7" w:themeColor="accent4" w:themeTint="99"/>
        <w:left w:val="single" w:sz="4" w:space="0" w:color="DC8EA7" w:themeColor="accent4" w:themeTint="99"/>
        <w:bottom w:val="single" w:sz="4" w:space="0" w:color="DC8EA7" w:themeColor="accent4" w:themeTint="99"/>
        <w:right w:val="single" w:sz="4" w:space="0" w:color="DC8EA7" w:themeColor="accent4" w:themeTint="99"/>
        <w:insideH w:val="single" w:sz="4" w:space="0" w:color="DC8EA7" w:themeColor="accent4" w:themeTint="99"/>
        <w:insideV w:val="single" w:sz="4" w:space="0" w:color="DC8EA7" w:themeColor="accent4" w:themeTint="99"/>
      </w:tblBorders>
    </w:tblPr>
    <w:tblStylePr w:type="firstRow">
      <w:rPr>
        <w:b/>
        <w:bCs/>
        <w:color w:val="FFFFFF" w:themeColor="background1"/>
      </w:rPr>
      <w:tblPr/>
      <w:tcPr>
        <w:tcBorders>
          <w:top w:val="single" w:sz="4" w:space="0" w:color="C5446E" w:themeColor="accent4"/>
          <w:left w:val="single" w:sz="4" w:space="0" w:color="C5446E" w:themeColor="accent4"/>
          <w:bottom w:val="single" w:sz="4" w:space="0" w:color="C5446E" w:themeColor="accent4"/>
          <w:right w:val="single" w:sz="4" w:space="0" w:color="C5446E" w:themeColor="accent4"/>
          <w:insideH w:val="nil"/>
          <w:insideV w:val="nil"/>
        </w:tcBorders>
        <w:shd w:val="clear" w:color="auto" w:fill="C5446E" w:themeFill="accent4"/>
      </w:tcPr>
    </w:tblStylePr>
    <w:tblStylePr w:type="lastRow">
      <w:rPr>
        <w:b/>
        <w:bCs/>
      </w:rPr>
      <w:tblPr/>
      <w:tcPr>
        <w:tcBorders>
          <w:top w:val="double" w:sz="4" w:space="0" w:color="C5446E" w:themeColor="accent4"/>
        </w:tcBorders>
      </w:tcPr>
    </w:tblStylePr>
    <w:tblStylePr w:type="firstCol">
      <w:rPr>
        <w:b/>
        <w:bCs/>
      </w:rPr>
    </w:tblStylePr>
    <w:tblStylePr w:type="lastCol">
      <w:rPr>
        <w:b/>
        <w:bCs/>
      </w:rPr>
    </w:tblStylePr>
    <w:tblStylePr w:type="band1Vert">
      <w:tblPr/>
      <w:tcPr>
        <w:shd w:val="clear" w:color="auto" w:fill="F3D9E1" w:themeFill="accent4" w:themeFillTint="33"/>
      </w:tcPr>
    </w:tblStylePr>
    <w:tblStylePr w:type="band1Horz">
      <w:tblPr/>
      <w:tcPr>
        <w:shd w:val="clear" w:color="auto" w:fill="F3D9E1" w:themeFill="accent4" w:themeFillTint="33"/>
      </w:tcPr>
    </w:tblStylePr>
  </w:style>
  <w:style w:type="table" w:styleId="GridTable4-Accent5">
    <w:name w:val="Grid Table 4 Accent 5"/>
    <w:basedOn w:val="TableNormal"/>
    <w:uiPriority w:val="49"/>
    <w:rsid w:val="0090719C"/>
    <w:tblPr>
      <w:tblStyleRowBandSize w:val="1"/>
      <w:tblStyleColBandSize w:val="1"/>
      <w:tblBorders>
        <w:top w:val="single" w:sz="4" w:space="0" w:color="2F85BD" w:themeColor="accent5" w:themeTint="99"/>
        <w:left w:val="single" w:sz="4" w:space="0" w:color="2F85BD" w:themeColor="accent5" w:themeTint="99"/>
        <w:bottom w:val="single" w:sz="4" w:space="0" w:color="2F85BD" w:themeColor="accent5" w:themeTint="99"/>
        <w:right w:val="single" w:sz="4" w:space="0" w:color="2F85BD" w:themeColor="accent5" w:themeTint="99"/>
        <w:insideH w:val="single" w:sz="4" w:space="0" w:color="2F85BD" w:themeColor="accent5" w:themeTint="99"/>
        <w:insideV w:val="single" w:sz="4" w:space="0" w:color="2F85BD" w:themeColor="accent5" w:themeTint="99"/>
      </w:tblBorders>
    </w:tblPr>
    <w:tblStylePr w:type="firstRow">
      <w:rPr>
        <w:b/>
        <w:bCs/>
        <w:color w:val="FFFFFF" w:themeColor="background1"/>
      </w:rPr>
      <w:tblPr/>
      <w:tcPr>
        <w:tcBorders>
          <w:top w:val="single" w:sz="4" w:space="0" w:color="0B1F2C" w:themeColor="accent5"/>
          <w:left w:val="single" w:sz="4" w:space="0" w:color="0B1F2C" w:themeColor="accent5"/>
          <w:bottom w:val="single" w:sz="4" w:space="0" w:color="0B1F2C" w:themeColor="accent5"/>
          <w:right w:val="single" w:sz="4" w:space="0" w:color="0B1F2C" w:themeColor="accent5"/>
          <w:insideH w:val="nil"/>
          <w:insideV w:val="nil"/>
        </w:tcBorders>
        <w:shd w:val="clear" w:color="auto" w:fill="0B1F2C" w:themeFill="accent5"/>
      </w:tcPr>
    </w:tblStylePr>
    <w:tblStylePr w:type="lastRow">
      <w:rPr>
        <w:b/>
        <w:bCs/>
      </w:rPr>
      <w:tblPr/>
      <w:tcPr>
        <w:tcBorders>
          <w:top w:val="double" w:sz="4" w:space="0" w:color="0B1F2C" w:themeColor="accent5"/>
        </w:tcBorders>
      </w:tcPr>
    </w:tblStylePr>
    <w:tblStylePr w:type="firstCol">
      <w:rPr>
        <w:b/>
        <w:bCs/>
      </w:rPr>
    </w:tblStylePr>
    <w:tblStylePr w:type="lastCol">
      <w:rPr>
        <w:b/>
        <w:bCs/>
      </w:rPr>
    </w:tblStylePr>
    <w:tblStylePr w:type="band1Vert">
      <w:tblPr/>
      <w:tcPr>
        <w:shd w:val="clear" w:color="auto" w:fill="B6D7EC" w:themeFill="accent5" w:themeFillTint="33"/>
      </w:tcPr>
    </w:tblStylePr>
    <w:tblStylePr w:type="band1Horz">
      <w:tblPr/>
      <w:tcPr>
        <w:shd w:val="clear" w:color="auto" w:fill="B6D7EC" w:themeFill="accent5" w:themeFillTint="33"/>
      </w:tcPr>
    </w:tblStylePr>
  </w:style>
  <w:style w:type="table" w:styleId="GridTable4-Accent6">
    <w:name w:val="Grid Table 4 Accent 6"/>
    <w:basedOn w:val="TableNormal"/>
    <w:uiPriority w:val="49"/>
    <w:rsid w:val="0090719C"/>
    <w:tblPr>
      <w:tblStyleRowBandSize w:val="1"/>
      <w:tblStyleColBandSize w:val="1"/>
      <w:tblBorders>
        <w:top w:val="single" w:sz="4" w:space="0" w:color="BCBCBC" w:themeColor="accent6" w:themeTint="99"/>
        <w:left w:val="single" w:sz="4" w:space="0" w:color="BCBCBC" w:themeColor="accent6" w:themeTint="99"/>
        <w:bottom w:val="single" w:sz="4" w:space="0" w:color="BCBCBC" w:themeColor="accent6" w:themeTint="99"/>
        <w:right w:val="single" w:sz="4" w:space="0" w:color="BCBCBC" w:themeColor="accent6" w:themeTint="99"/>
        <w:insideH w:val="single" w:sz="4" w:space="0" w:color="BCBCBC" w:themeColor="accent6" w:themeTint="99"/>
        <w:insideV w:val="single" w:sz="4" w:space="0" w:color="BCBCBC" w:themeColor="accent6" w:themeTint="99"/>
      </w:tblBorders>
    </w:tblPr>
    <w:tblStylePr w:type="firstRow">
      <w:rPr>
        <w:b/>
        <w:bCs/>
        <w:color w:val="FFFFFF" w:themeColor="background1"/>
      </w:rPr>
      <w:tblPr/>
      <w:tcPr>
        <w:tcBorders>
          <w:top w:val="single" w:sz="4" w:space="0" w:color="909090" w:themeColor="accent6"/>
          <w:left w:val="single" w:sz="4" w:space="0" w:color="909090" w:themeColor="accent6"/>
          <w:bottom w:val="single" w:sz="4" w:space="0" w:color="909090" w:themeColor="accent6"/>
          <w:right w:val="single" w:sz="4" w:space="0" w:color="909090" w:themeColor="accent6"/>
          <w:insideH w:val="nil"/>
          <w:insideV w:val="nil"/>
        </w:tcBorders>
        <w:shd w:val="clear" w:color="auto" w:fill="909090" w:themeFill="accent6"/>
      </w:tcPr>
    </w:tblStylePr>
    <w:tblStylePr w:type="lastRow">
      <w:rPr>
        <w:b/>
        <w:bCs/>
      </w:rPr>
      <w:tblPr/>
      <w:tcPr>
        <w:tcBorders>
          <w:top w:val="double" w:sz="4" w:space="0" w:color="909090" w:themeColor="accent6"/>
        </w:tcBorders>
      </w:tcPr>
    </w:tblStylePr>
    <w:tblStylePr w:type="firstCol">
      <w:rPr>
        <w:b/>
        <w:bCs/>
      </w:rPr>
    </w:tblStylePr>
    <w:tblStylePr w:type="lastCol">
      <w:rPr>
        <w:b/>
        <w:bCs/>
      </w:rPr>
    </w:tblStylePr>
    <w:tblStylePr w:type="band1Vert">
      <w:tblPr/>
      <w:tcPr>
        <w:shd w:val="clear" w:color="auto" w:fill="E8E8E8" w:themeFill="accent6" w:themeFillTint="33"/>
      </w:tcPr>
    </w:tblStylePr>
    <w:tblStylePr w:type="band1Horz">
      <w:tblPr/>
      <w:tcPr>
        <w:shd w:val="clear" w:color="auto" w:fill="E8E8E8" w:themeFill="accent6" w:themeFillTint="33"/>
      </w:tcPr>
    </w:tblStylePr>
  </w:style>
  <w:style w:type="table" w:styleId="GridTable5Dark">
    <w:name w:val="Grid Table 5 Dark"/>
    <w:basedOn w:val="TableNormal"/>
    <w:uiPriority w:val="50"/>
    <w:rsid w:val="0090719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6D7E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1F2C"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1F2C"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1F2C"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1F2C" w:themeFill="text1"/>
      </w:tcPr>
    </w:tblStylePr>
    <w:tblStylePr w:type="band1Vert">
      <w:tblPr/>
      <w:tcPr>
        <w:shd w:val="clear" w:color="auto" w:fill="6DAFDA" w:themeFill="text1" w:themeFillTint="66"/>
      </w:tcPr>
    </w:tblStylePr>
    <w:tblStylePr w:type="band1Horz">
      <w:tblPr/>
      <w:tcPr>
        <w:shd w:val="clear" w:color="auto" w:fill="6DAFDA" w:themeFill="text1" w:themeFillTint="66"/>
      </w:tcPr>
    </w:tblStylePr>
  </w:style>
  <w:style w:type="table" w:styleId="GridTable5Dark-Accent1">
    <w:name w:val="Grid Table 5 Dark Accent 1"/>
    <w:basedOn w:val="TableNormal"/>
    <w:uiPriority w:val="50"/>
    <w:rsid w:val="0090719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FE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FE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FE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FE3" w:themeFill="accent1"/>
      </w:tcPr>
    </w:tblStylePr>
    <w:tblStylePr w:type="band1Vert">
      <w:tblPr/>
      <w:tcPr>
        <w:shd w:val="clear" w:color="auto" w:fill="8DDCFF" w:themeFill="accent1" w:themeFillTint="66"/>
      </w:tcPr>
    </w:tblStylePr>
    <w:tblStylePr w:type="band1Horz">
      <w:tblPr/>
      <w:tcPr>
        <w:shd w:val="clear" w:color="auto" w:fill="8DDCFF" w:themeFill="accent1" w:themeFillTint="66"/>
      </w:tcPr>
    </w:tblStylePr>
  </w:style>
  <w:style w:type="table" w:styleId="GridTable5Dark-Accent2">
    <w:name w:val="Grid Table 5 Dark Accent 2"/>
    <w:basedOn w:val="TableNormal"/>
    <w:uiPriority w:val="50"/>
    <w:rsid w:val="0090719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2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008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008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008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0080" w:themeFill="accent2"/>
      </w:tcPr>
    </w:tblStylePr>
    <w:tblStylePr w:type="band1Vert">
      <w:tblPr/>
      <w:tcPr>
        <w:shd w:val="clear" w:color="auto" w:fill="FF66FF" w:themeFill="accent2" w:themeFillTint="66"/>
      </w:tcPr>
    </w:tblStylePr>
    <w:tblStylePr w:type="band1Horz">
      <w:tblPr/>
      <w:tcPr>
        <w:shd w:val="clear" w:color="auto" w:fill="FF66FF" w:themeFill="accent2" w:themeFillTint="66"/>
      </w:tcPr>
    </w:tblStylePr>
  </w:style>
  <w:style w:type="table" w:styleId="GridTable5Dark-Accent3">
    <w:name w:val="Grid Table 5 Dark Accent 3"/>
    <w:basedOn w:val="TableNormal"/>
    <w:uiPriority w:val="50"/>
    <w:rsid w:val="0090719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5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C0B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C0B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C0B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C0BC" w:themeFill="accent3"/>
      </w:tcPr>
    </w:tblStylePr>
    <w:tblStylePr w:type="band1Vert">
      <w:tblPr/>
      <w:tcPr>
        <w:shd w:val="clear" w:color="auto" w:fill="A1ECEA" w:themeFill="accent3" w:themeFillTint="66"/>
      </w:tcPr>
    </w:tblStylePr>
    <w:tblStylePr w:type="band1Horz">
      <w:tblPr/>
      <w:tcPr>
        <w:shd w:val="clear" w:color="auto" w:fill="A1ECEA" w:themeFill="accent3" w:themeFillTint="66"/>
      </w:tcPr>
    </w:tblStylePr>
  </w:style>
  <w:style w:type="table" w:styleId="GridTable5Dark-Accent4">
    <w:name w:val="Grid Table 5 Dark Accent 4"/>
    <w:basedOn w:val="TableNormal"/>
    <w:uiPriority w:val="50"/>
    <w:rsid w:val="0090719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9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544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544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544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5446E" w:themeFill="accent4"/>
      </w:tcPr>
    </w:tblStylePr>
    <w:tblStylePr w:type="band1Vert">
      <w:tblPr/>
      <w:tcPr>
        <w:shd w:val="clear" w:color="auto" w:fill="E7B4C4" w:themeFill="accent4" w:themeFillTint="66"/>
      </w:tcPr>
    </w:tblStylePr>
    <w:tblStylePr w:type="band1Horz">
      <w:tblPr/>
      <w:tcPr>
        <w:shd w:val="clear" w:color="auto" w:fill="E7B4C4" w:themeFill="accent4" w:themeFillTint="66"/>
      </w:tcPr>
    </w:tblStylePr>
  </w:style>
  <w:style w:type="table" w:styleId="GridTable5Dark-Accent5">
    <w:name w:val="Grid Table 5 Dark Accent 5"/>
    <w:basedOn w:val="TableNormal"/>
    <w:uiPriority w:val="50"/>
    <w:rsid w:val="0090719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6D7E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1F2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1F2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1F2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1F2C" w:themeFill="accent5"/>
      </w:tcPr>
    </w:tblStylePr>
    <w:tblStylePr w:type="band1Vert">
      <w:tblPr/>
      <w:tcPr>
        <w:shd w:val="clear" w:color="auto" w:fill="6DAFDA" w:themeFill="accent5" w:themeFillTint="66"/>
      </w:tcPr>
    </w:tblStylePr>
    <w:tblStylePr w:type="band1Horz">
      <w:tblPr/>
      <w:tcPr>
        <w:shd w:val="clear" w:color="auto" w:fill="6DAFDA" w:themeFill="accent5" w:themeFillTint="66"/>
      </w:tcPr>
    </w:tblStylePr>
  </w:style>
  <w:style w:type="table" w:styleId="GridTable5Dark-Accent6">
    <w:name w:val="Grid Table 5 Dark Accent 6"/>
    <w:basedOn w:val="TableNormal"/>
    <w:uiPriority w:val="50"/>
    <w:rsid w:val="0090719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909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909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909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9090" w:themeFill="accent6"/>
      </w:tcPr>
    </w:tblStylePr>
    <w:tblStylePr w:type="band1Vert">
      <w:tblPr/>
      <w:tcPr>
        <w:shd w:val="clear" w:color="auto" w:fill="D2D2D2" w:themeFill="accent6" w:themeFillTint="66"/>
      </w:tcPr>
    </w:tblStylePr>
    <w:tblStylePr w:type="band1Horz">
      <w:tblPr/>
      <w:tcPr>
        <w:shd w:val="clear" w:color="auto" w:fill="D2D2D2" w:themeFill="accent6" w:themeFillTint="66"/>
      </w:tcPr>
    </w:tblStylePr>
  </w:style>
  <w:style w:type="table" w:styleId="GridTable6Colourful">
    <w:name w:val="Grid Table 6 Colorful"/>
    <w:basedOn w:val="TableNormal"/>
    <w:uiPriority w:val="51"/>
    <w:rsid w:val="0090719C"/>
    <w:rPr>
      <w:color w:val="0B1F2C" w:themeColor="text1"/>
    </w:rPr>
    <w:tblPr>
      <w:tblStyleRowBandSize w:val="1"/>
      <w:tblStyleColBandSize w:val="1"/>
      <w:tblBorders>
        <w:top w:val="single" w:sz="4" w:space="0" w:color="2F85BD" w:themeColor="text1" w:themeTint="99"/>
        <w:left w:val="single" w:sz="4" w:space="0" w:color="2F85BD" w:themeColor="text1" w:themeTint="99"/>
        <w:bottom w:val="single" w:sz="4" w:space="0" w:color="2F85BD" w:themeColor="text1" w:themeTint="99"/>
        <w:right w:val="single" w:sz="4" w:space="0" w:color="2F85BD" w:themeColor="text1" w:themeTint="99"/>
        <w:insideH w:val="single" w:sz="4" w:space="0" w:color="2F85BD" w:themeColor="text1" w:themeTint="99"/>
        <w:insideV w:val="single" w:sz="4" w:space="0" w:color="2F85BD" w:themeColor="text1" w:themeTint="99"/>
      </w:tblBorders>
    </w:tblPr>
    <w:tblStylePr w:type="firstRow">
      <w:rPr>
        <w:b/>
        <w:bCs/>
      </w:rPr>
      <w:tblPr/>
      <w:tcPr>
        <w:tcBorders>
          <w:bottom w:val="single" w:sz="12" w:space="0" w:color="2F85BD" w:themeColor="text1" w:themeTint="99"/>
        </w:tcBorders>
      </w:tcPr>
    </w:tblStylePr>
    <w:tblStylePr w:type="lastRow">
      <w:rPr>
        <w:b/>
        <w:bCs/>
      </w:rPr>
      <w:tblPr/>
      <w:tcPr>
        <w:tcBorders>
          <w:top w:val="double" w:sz="4" w:space="0" w:color="2F85BD" w:themeColor="text1" w:themeTint="99"/>
        </w:tcBorders>
      </w:tcPr>
    </w:tblStylePr>
    <w:tblStylePr w:type="firstCol">
      <w:rPr>
        <w:b/>
        <w:bCs/>
      </w:rPr>
    </w:tblStylePr>
    <w:tblStylePr w:type="lastCol">
      <w:rPr>
        <w:b/>
        <w:bCs/>
      </w:rPr>
    </w:tblStylePr>
    <w:tblStylePr w:type="band1Vert">
      <w:tblPr/>
      <w:tcPr>
        <w:shd w:val="clear" w:color="auto" w:fill="B6D7EC" w:themeFill="text1" w:themeFillTint="33"/>
      </w:tcPr>
    </w:tblStylePr>
    <w:tblStylePr w:type="band1Horz">
      <w:tblPr/>
      <w:tcPr>
        <w:shd w:val="clear" w:color="auto" w:fill="B6D7EC" w:themeFill="text1" w:themeFillTint="33"/>
      </w:tcPr>
    </w:tblStylePr>
  </w:style>
  <w:style w:type="table" w:styleId="GridTable6ColourfulAccent1">
    <w:name w:val="Grid Table 6 Colorful Accent 1"/>
    <w:basedOn w:val="TableNormal"/>
    <w:uiPriority w:val="51"/>
    <w:rsid w:val="0090719C"/>
    <w:rPr>
      <w:color w:val="0076AA" w:themeColor="accent1" w:themeShade="BF"/>
    </w:rPr>
    <w:tblPr>
      <w:tblStyleRowBandSize w:val="1"/>
      <w:tblStyleColBandSize w:val="1"/>
      <w:tblBorders>
        <w:top w:val="single" w:sz="4" w:space="0" w:color="55CBFF" w:themeColor="accent1" w:themeTint="99"/>
        <w:left w:val="single" w:sz="4" w:space="0" w:color="55CBFF" w:themeColor="accent1" w:themeTint="99"/>
        <w:bottom w:val="single" w:sz="4" w:space="0" w:color="55CBFF" w:themeColor="accent1" w:themeTint="99"/>
        <w:right w:val="single" w:sz="4" w:space="0" w:color="55CBFF" w:themeColor="accent1" w:themeTint="99"/>
        <w:insideH w:val="single" w:sz="4" w:space="0" w:color="55CBFF" w:themeColor="accent1" w:themeTint="99"/>
        <w:insideV w:val="single" w:sz="4" w:space="0" w:color="55CBFF" w:themeColor="accent1" w:themeTint="99"/>
      </w:tblBorders>
    </w:tblPr>
    <w:tblStylePr w:type="firstRow">
      <w:rPr>
        <w:b/>
        <w:bCs/>
      </w:rPr>
      <w:tblPr/>
      <w:tcPr>
        <w:tcBorders>
          <w:bottom w:val="single" w:sz="12" w:space="0" w:color="55CBFF" w:themeColor="accent1" w:themeTint="99"/>
        </w:tcBorders>
      </w:tcPr>
    </w:tblStylePr>
    <w:tblStylePr w:type="lastRow">
      <w:rPr>
        <w:b/>
        <w:bCs/>
      </w:rPr>
      <w:tblPr/>
      <w:tcPr>
        <w:tcBorders>
          <w:top w:val="double" w:sz="4" w:space="0" w:color="55CBFF" w:themeColor="accent1" w:themeTint="99"/>
        </w:tcBorders>
      </w:tcPr>
    </w:tblStylePr>
    <w:tblStylePr w:type="firstCol">
      <w:rPr>
        <w:b/>
        <w:bCs/>
      </w:rPr>
    </w:tblStylePr>
    <w:tblStylePr w:type="lastCol">
      <w:rPr>
        <w:b/>
        <w:bCs/>
      </w:rPr>
    </w:tblStylePr>
    <w:tblStylePr w:type="band1Vert">
      <w:tblPr/>
      <w:tcPr>
        <w:shd w:val="clear" w:color="auto" w:fill="C6EDFF" w:themeFill="accent1" w:themeFillTint="33"/>
      </w:tcPr>
    </w:tblStylePr>
    <w:tblStylePr w:type="band1Horz">
      <w:tblPr/>
      <w:tcPr>
        <w:shd w:val="clear" w:color="auto" w:fill="C6EDFF" w:themeFill="accent1" w:themeFillTint="33"/>
      </w:tcPr>
    </w:tblStylePr>
  </w:style>
  <w:style w:type="table" w:styleId="GridTable6ColourfulAccent2">
    <w:name w:val="Grid Table 6 Colorful Accent 2"/>
    <w:basedOn w:val="TableNormal"/>
    <w:uiPriority w:val="51"/>
    <w:rsid w:val="0090719C"/>
    <w:rPr>
      <w:color w:val="5F005F" w:themeColor="accent2" w:themeShade="BF"/>
    </w:rPr>
    <w:tblPr>
      <w:tblStyleRowBandSize w:val="1"/>
      <w:tblStyleColBandSize w:val="1"/>
      <w:tblBorders>
        <w:top w:val="single" w:sz="4" w:space="0" w:color="FF19FF" w:themeColor="accent2" w:themeTint="99"/>
        <w:left w:val="single" w:sz="4" w:space="0" w:color="FF19FF" w:themeColor="accent2" w:themeTint="99"/>
        <w:bottom w:val="single" w:sz="4" w:space="0" w:color="FF19FF" w:themeColor="accent2" w:themeTint="99"/>
        <w:right w:val="single" w:sz="4" w:space="0" w:color="FF19FF" w:themeColor="accent2" w:themeTint="99"/>
        <w:insideH w:val="single" w:sz="4" w:space="0" w:color="FF19FF" w:themeColor="accent2" w:themeTint="99"/>
        <w:insideV w:val="single" w:sz="4" w:space="0" w:color="FF19FF" w:themeColor="accent2" w:themeTint="99"/>
      </w:tblBorders>
    </w:tblPr>
    <w:tblStylePr w:type="firstRow">
      <w:rPr>
        <w:b/>
        <w:bCs/>
      </w:rPr>
      <w:tblPr/>
      <w:tcPr>
        <w:tcBorders>
          <w:bottom w:val="single" w:sz="12" w:space="0" w:color="FF19FF" w:themeColor="accent2" w:themeTint="99"/>
        </w:tcBorders>
      </w:tcPr>
    </w:tblStylePr>
    <w:tblStylePr w:type="lastRow">
      <w:rPr>
        <w:b/>
        <w:bCs/>
      </w:rPr>
      <w:tblPr/>
      <w:tcPr>
        <w:tcBorders>
          <w:top w:val="double" w:sz="4" w:space="0" w:color="FF19FF" w:themeColor="accent2" w:themeTint="99"/>
        </w:tcBorders>
      </w:tcPr>
    </w:tblStylePr>
    <w:tblStylePr w:type="firstCol">
      <w:rPr>
        <w:b/>
        <w:bCs/>
      </w:rPr>
    </w:tblStylePr>
    <w:tblStylePr w:type="lastCol">
      <w:rPr>
        <w:b/>
        <w:bCs/>
      </w:rPr>
    </w:tblStylePr>
    <w:tblStylePr w:type="band1Vert">
      <w:tblPr/>
      <w:tcPr>
        <w:shd w:val="clear" w:color="auto" w:fill="FFB2FF" w:themeFill="accent2" w:themeFillTint="33"/>
      </w:tcPr>
    </w:tblStylePr>
    <w:tblStylePr w:type="band1Horz">
      <w:tblPr/>
      <w:tcPr>
        <w:shd w:val="clear" w:color="auto" w:fill="FFB2FF" w:themeFill="accent2" w:themeFillTint="33"/>
      </w:tcPr>
    </w:tblStylePr>
  </w:style>
  <w:style w:type="table" w:styleId="GridTable6ColourfulAccent3">
    <w:name w:val="Grid Table 6 Colorful Accent 3"/>
    <w:basedOn w:val="TableNormal"/>
    <w:uiPriority w:val="51"/>
    <w:rsid w:val="0090719C"/>
    <w:rPr>
      <w:color w:val="1C8F8C" w:themeColor="accent3" w:themeShade="BF"/>
    </w:rPr>
    <w:tblPr>
      <w:tblStyleRowBandSize w:val="1"/>
      <w:tblStyleColBandSize w:val="1"/>
      <w:tblBorders>
        <w:top w:val="single" w:sz="4" w:space="0" w:color="72E3E0" w:themeColor="accent3" w:themeTint="99"/>
        <w:left w:val="single" w:sz="4" w:space="0" w:color="72E3E0" w:themeColor="accent3" w:themeTint="99"/>
        <w:bottom w:val="single" w:sz="4" w:space="0" w:color="72E3E0" w:themeColor="accent3" w:themeTint="99"/>
        <w:right w:val="single" w:sz="4" w:space="0" w:color="72E3E0" w:themeColor="accent3" w:themeTint="99"/>
        <w:insideH w:val="single" w:sz="4" w:space="0" w:color="72E3E0" w:themeColor="accent3" w:themeTint="99"/>
        <w:insideV w:val="single" w:sz="4" w:space="0" w:color="72E3E0" w:themeColor="accent3" w:themeTint="99"/>
      </w:tblBorders>
    </w:tblPr>
    <w:tblStylePr w:type="firstRow">
      <w:rPr>
        <w:b/>
        <w:bCs/>
      </w:rPr>
      <w:tblPr/>
      <w:tcPr>
        <w:tcBorders>
          <w:bottom w:val="single" w:sz="12" w:space="0" w:color="72E3E0" w:themeColor="accent3" w:themeTint="99"/>
        </w:tcBorders>
      </w:tcPr>
    </w:tblStylePr>
    <w:tblStylePr w:type="lastRow">
      <w:rPr>
        <w:b/>
        <w:bCs/>
      </w:rPr>
      <w:tblPr/>
      <w:tcPr>
        <w:tcBorders>
          <w:top w:val="double" w:sz="4" w:space="0" w:color="72E3E0" w:themeColor="accent3" w:themeTint="99"/>
        </w:tcBorders>
      </w:tcPr>
    </w:tblStylePr>
    <w:tblStylePr w:type="firstCol">
      <w:rPr>
        <w:b/>
        <w:bCs/>
      </w:rPr>
    </w:tblStylePr>
    <w:tblStylePr w:type="lastCol">
      <w:rPr>
        <w:b/>
        <w:bCs/>
      </w:rPr>
    </w:tblStylePr>
    <w:tblStylePr w:type="band1Vert">
      <w:tblPr/>
      <w:tcPr>
        <w:shd w:val="clear" w:color="auto" w:fill="D0F5F4" w:themeFill="accent3" w:themeFillTint="33"/>
      </w:tcPr>
    </w:tblStylePr>
    <w:tblStylePr w:type="band1Horz">
      <w:tblPr/>
      <w:tcPr>
        <w:shd w:val="clear" w:color="auto" w:fill="D0F5F4" w:themeFill="accent3" w:themeFillTint="33"/>
      </w:tcPr>
    </w:tblStylePr>
  </w:style>
  <w:style w:type="table" w:styleId="GridTable6ColourfulAccent4">
    <w:name w:val="Grid Table 6 Colorful Accent 4"/>
    <w:basedOn w:val="TableNormal"/>
    <w:uiPriority w:val="51"/>
    <w:rsid w:val="0090719C"/>
    <w:rPr>
      <w:color w:val="972F50" w:themeColor="accent4" w:themeShade="BF"/>
    </w:rPr>
    <w:tblPr>
      <w:tblStyleRowBandSize w:val="1"/>
      <w:tblStyleColBandSize w:val="1"/>
      <w:tblBorders>
        <w:top w:val="single" w:sz="4" w:space="0" w:color="DC8EA7" w:themeColor="accent4" w:themeTint="99"/>
        <w:left w:val="single" w:sz="4" w:space="0" w:color="DC8EA7" w:themeColor="accent4" w:themeTint="99"/>
        <w:bottom w:val="single" w:sz="4" w:space="0" w:color="DC8EA7" w:themeColor="accent4" w:themeTint="99"/>
        <w:right w:val="single" w:sz="4" w:space="0" w:color="DC8EA7" w:themeColor="accent4" w:themeTint="99"/>
        <w:insideH w:val="single" w:sz="4" w:space="0" w:color="DC8EA7" w:themeColor="accent4" w:themeTint="99"/>
        <w:insideV w:val="single" w:sz="4" w:space="0" w:color="DC8EA7" w:themeColor="accent4" w:themeTint="99"/>
      </w:tblBorders>
    </w:tblPr>
    <w:tblStylePr w:type="firstRow">
      <w:rPr>
        <w:b/>
        <w:bCs/>
      </w:rPr>
      <w:tblPr/>
      <w:tcPr>
        <w:tcBorders>
          <w:bottom w:val="single" w:sz="12" w:space="0" w:color="DC8EA7" w:themeColor="accent4" w:themeTint="99"/>
        </w:tcBorders>
      </w:tcPr>
    </w:tblStylePr>
    <w:tblStylePr w:type="lastRow">
      <w:rPr>
        <w:b/>
        <w:bCs/>
      </w:rPr>
      <w:tblPr/>
      <w:tcPr>
        <w:tcBorders>
          <w:top w:val="double" w:sz="4" w:space="0" w:color="DC8EA7" w:themeColor="accent4" w:themeTint="99"/>
        </w:tcBorders>
      </w:tcPr>
    </w:tblStylePr>
    <w:tblStylePr w:type="firstCol">
      <w:rPr>
        <w:b/>
        <w:bCs/>
      </w:rPr>
    </w:tblStylePr>
    <w:tblStylePr w:type="lastCol">
      <w:rPr>
        <w:b/>
        <w:bCs/>
      </w:rPr>
    </w:tblStylePr>
    <w:tblStylePr w:type="band1Vert">
      <w:tblPr/>
      <w:tcPr>
        <w:shd w:val="clear" w:color="auto" w:fill="F3D9E1" w:themeFill="accent4" w:themeFillTint="33"/>
      </w:tcPr>
    </w:tblStylePr>
    <w:tblStylePr w:type="band1Horz">
      <w:tblPr/>
      <w:tcPr>
        <w:shd w:val="clear" w:color="auto" w:fill="F3D9E1" w:themeFill="accent4" w:themeFillTint="33"/>
      </w:tcPr>
    </w:tblStylePr>
  </w:style>
  <w:style w:type="table" w:styleId="GridTable6ColourfulAccent5">
    <w:name w:val="Grid Table 6 Colorful Accent 5"/>
    <w:basedOn w:val="TableNormal"/>
    <w:uiPriority w:val="51"/>
    <w:rsid w:val="0090719C"/>
    <w:rPr>
      <w:color w:val="081720" w:themeColor="accent5" w:themeShade="BF"/>
    </w:rPr>
    <w:tblPr>
      <w:tblStyleRowBandSize w:val="1"/>
      <w:tblStyleColBandSize w:val="1"/>
      <w:tblBorders>
        <w:top w:val="single" w:sz="4" w:space="0" w:color="2F85BD" w:themeColor="accent5" w:themeTint="99"/>
        <w:left w:val="single" w:sz="4" w:space="0" w:color="2F85BD" w:themeColor="accent5" w:themeTint="99"/>
        <w:bottom w:val="single" w:sz="4" w:space="0" w:color="2F85BD" w:themeColor="accent5" w:themeTint="99"/>
        <w:right w:val="single" w:sz="4" w:space="0" w:color="2F85BD" w:themeColor="accent5" w:themeTint="99"/>
        <w:insideH w:val="single" w:sz="4" w:space="0" w:color="2F85BD" w:themeColor="accent5" w:themeTint="99"/>
        <w:insideV w:val="single" w:sz="4" w:space="0" w:color="2F85BD" w:themeColor="accent5" w:themeTint="99"/>
      </w:tblBorders>
    </w:tblPr>
    <w:tblStylePr w:type="firstRow">
      <w:rPr>
        <w:b/>
        <w:bCs/>
      </w:rPr>
      <w:tblPr/>
      <w:tcPr>
        <w:tcBorders>
          <w:bottom w:val="single" w:sz="12" w:space="0" w:color="2F85BD" w:themeColor="accent5" w:themeTint="99"/>
        </w:tcBorders>
      </w:tcPr>
    </w:tblStylePr>
    <w:tblStylePr w:type="lastRow">
      <w:rPr>
        <w:b/>
        <w:bCs/>
      </w:rPr>
      <w:tblPr/>
      <w:tcPr>
        <w:tcBorders>
          <w:top w:val="double" w:sz="4" w:space="0" w:color="2F85BD" w:themeColor="accent5" w:themeTint="99"/>
        </w:tcBorders>
      </w:tcPr>
    </w:tblStylePr>
    <w:tblStylePr w:type="firstCol">
      <w:rPr>
        <w:b/>
        <w:bCs/>
      </w:rPr>
    </w:tblStylePr>
    <w:tblStylePr w:type="lastCol">
      <w:rPr>
        <w:b/>
        <w:bCs/>
      </w:rPr>
    </w:tblStylePr>
    <w:tblStylePr w:type="band1Vert">
      <w:tblPr/>
      <w:tcPr>
        <w:shd w:val="clear" w:color="auto" w:fill="B6D7EC" w:themeFill="accent5" w:themeFillTint="33"/>
      </w:tcPr>
    </w:tblStylePr>
    <w:tblStylePr w:type="band1Horz">
      <w:tblPr/>
      <w:tcPr>
        <w:shd w:val="clear" w:color="auto" w:fill="B6D7EC" w:themeFill="accent5" w:themeFillTint="33"/>
      </w:tcPr>
    </w:tblStylePr>
  </w:style>
  <w:style w:type="table" w:styleId="GridTable6ColourfulAccent6">
    <w:name w:val="Grid Table 6 Colorful Accent 6"/>
    <w:basedOn w:val="TableNormal"/>
    <w:uiPriority w:val="51"/>
    <w:rsid w:val="0090719C"/>
    <w:rPr>
      <w:color w:val="6B6B6B" w:themeColor="accent6" w:themeShade="BF"/>
    </w:rPr>
    <w:tblPr>
      <w:tblStyleRowBandSize w:val="1"/>
      <w:tblStyleColBandSize w:val="1"/>
      <w:tblBorders>
        <w:top w:val="single" w:sz="4" w:space="0" w:color="BCBCBC" w:themeColor="accent6" w:themeTint="99"/>
        <w:left w:val="single" w:sz="4" w:space="0" w:color="BCBCBC" w:themeColor="accent6" w:themeTint="99"/>
        <w:bottom w:val="single" w:sz="4" w:space="0" w:color="BCBCBC" w:themeColor="accent6" w:themeTint="99"/>
        <w:right w:val="single" w:sz="4" w:space="0" w:color="BCBCBC" w:themeColor="accent6" w:themeTint="99"/>
        <w:insideH w:val="single" w:sz="4" w:space="0" w:color="BCBCBC" w:themeColor="accent6" w:themeTint="99"/>
        <w:insideV w:val="single" w:sz="4" w:space="0" w:color="BCBCBC" w:themeColor="accent6" w:themeTint="99"/>
      </w:tblBorders>
    </w:tblPr>
    <w:tblStylePr w:type="firstRow">
      <w:rPr>
        <w:b/>
        <w:bCs/>
      </w:rPr>
      <w:tblPr/>
      <w:tcPr>
        <w:tcBorders>
          <w:bottom w:val="single" w:sz="12" w:space="0" w:color="BCBCBC" w:themeColor="accent6" w:themeTint="99"/>
        </w:tcBorders>
      </w:tcPr>
    </w:tblStylePr>
    <w:tblStylePr w:type="lastRow">
      <w:rPr>
        <w:b/>
        <w:bCs/>
      </w:rPr>
      <w:tblPr/>
      <w:tcPr>
        <w:tcBorders>
          <w:top w:val="double" w:sz="4" w:space="0" w:color="BCBCBC" w:themeColor="accent6" w:themeTint="99"/>
        </w:tcBorders>
      </w:tcPr>
    </w:tblStylePr>
    <w:tblStylePr w:type="firstCol">
      <w:rPr>
        <w:b/>
        <w:bCs/>
      </w:rPr>
    </w:tblStylePr>
    <w:tblStylePr w:type="lastCol">
      <w:rPr>
        <w:b/>
        <w:bCs/>
      </w:rPr>
    </w:tblStylePr>
    <w:tblStylePr w:type="band1Vert">
      <w:tblPr/>
      <w:tcPr>
        <w:shd w:val="clear" w:color="auto" w:fill="E8E8E8" w:themeFill="accent6" w:themeFillTint="33"/>
      </w:tcPr>
    </w:tblStylePr>
    <w:tblStylePr w:type="band1Horz">
      <w:tblPr/>
      <w:tcPr>
        <w:shd w:val="clear" w:color="auto" w:fill="E8E8E8" w:themeFill="accent6" w:themeFillTint="33"/>
      </w:tcPr>
    </w:tblStylePr>
  </w:style>
  <w:style w:type="table" w:styleId="GridTable7Colourful">
    <w:name w:val="Grid Table 7 Colorful"/>
    <w:basedOn w:val="TableNormal"/>
    <w:uiPriority w:val="52"/>
    <w:rsid w:val="0090719C"/>
    <w:rPr>
      <w:color w:val="0B1F2C" w:themeColor="text1"/>
    </w:rPr>
    <w:tblPr>
      <w:tblStyleRowBandSize w:val="1"/>
      <w:tblStyleColBandSize w:val="1"/>
      <w:tblBorders>
        <w:top w:val="single" w:sz="4" w:space="0" w:color="2F85BD" w:themeColor="text1" w:themeTint="99"/>
        <w:left w:val="single" w:sz="4" w:space="0" w:color="2F85BD" w:themeColor="text1" w:themeTint="99"/>
        <w:bottom w:val="single" w:sz="4" w:space="0" w:color="2F85BD" w:themeColor="text1" w:themeTint="99"/>
        <w:right w:val="single" w:sz="4" w:space="0" w:color="2F85BD" w:themeColor="text1" w:themeTint="99"/>
        <w:insideH w:val="single" w:sz="4" w:space="0" w:color="2F85BD" w:themeColor="text1" w:themeTint="99"/>
        <w:insideV w:val="single" w:sz="4" w:space="0" w:color="2F85BD"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D7EC" w:themeFill="text1" w:themeFillTint="33"/>
      </w:tcPr>
    </w:tblStylePr>
    <w:tblStylePr w:type="band1Horz">
      <w:tblPr/>
      <w:tcPr>
        <w:shd w:val="clear" w:color="auto" w:fill="B6D7EC" w:themeFill="text1" w:themeFillTint="33"/>
      </w:tcPr>
    </w:tblStylePr>
    <w:tblStylePr w:type="neCell">
      <w:tblPr/>
      <w:tcPr>
        <w:tcBorders>
          <w:bottom w:val="single" w:sz="4" w:space="0" w:color="2F85BD" w:themeColor="text1" w:themeTint="99"/>
        </w:tcBorders>
      </w:tcPr>
    </w:tblStylePr>
    <w:tblStylePr w:type="nwCell">
      <w:tblPr/>
      <w:tcPr>
        <w:tcBorders>
          <w:bottom w:val="single" w:sz="4" w:space="0" w:color="2F85BD" w:themeColor="text1" w:themeTint="99"/>
        </w:tcBorders>
      </w:tcPr>
    </w:tblStylePr>
    <w:tblStylePr w:type="seCell">
      <w:tblPr/>
      <w:tcPr>
        <w:tcBorders>
          <w:top w:val="single" w:sz="4" w:space="0" w:color="2F85BD" w:themeColor="text1" w:themeTint="99"/>
        </w:tcBorders>
      </w:tcPr>
    </w:tblStylePr>
    <w:tblStylePr w:type="swCell">
      <w:tblPr/>
      <w:tcPr>
        <w:tcBorders>
          <w:top w:val="single" w:sz="4" w:space="0" w:color="2F85BD" w:themeColor="text1" w:themeTint="99"/>
        </w:tcBorders>
      </w:tcPr>
    </w:tblStylePr>
  </w:style>
  <w:style w:type="table" w:styleId="GridTable7ColourfulAccent1">
    <w:name w:val="Grid Table 7 Colorful Accent 1"/>
    <w:basedOn w:val="TableNormal"/>
    <w:uiPriority w:val="52"/>
    <w:rsid w:val="0090719C"/>
    <w:rPr>
      <w:color w:val="0076AA" w:themeColor="accent1" w:themeShade="BF"/>
    </w:rPr>
    <w:tblPr>
      <w:tblStyleRowBandSize w:val="1"/>
      <w:tblStyleColBandSize w:val="1"/>
      <w:tblBorders>
        <w:top w:val="single" w:sz="4" w:space="0" w:color="55CBFF" w:themeColor="accent1" w:themeTint="99"/>
        <w:left w:val="single" w:sz="4" w:space="0" w:color="55CBFF" w:themeColor="accent1" w:themeTint="99"/>
        <w:bottom w:val="single" w:sz="4" w:space="0" w:color="55CBFF" w:themeColor="accent1" w:themeTint="99"/>
        <w:right w:val="single" w:sz="4" w:space="0" w:color="55CBFF" w:themeColor="accent1" w:themeTint="99"/>
        <w:insideH w:val="single" w:sz="4" w:space="0" w:color="55CBFF" w:themeColor="accent1" w:themeTint="99"/>
        <w:insideV w:val="single" w:sz="4" w:space="0" w:color="55CB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DFF" w:themeFill="accent1" w:themeFillTint="33"/>
      </w:tcPr>
    </w:tblStylePr>
    <w:tblStylePr w:type="band1Horz">
      <w:tblPr/>
      <w:tcPr>
        <w:shd w:val="clear" w:color="auto" w:fill="C6EDFF" w:themeFill="accent1" w:themeFillTint="33"/>
      </w:tcPr>
    </w:tblStylePr>
    <w:tblStylePr w:type="neCell">
      <w:tblPr/>
      <w:tcPr>
        <w:tcBorders>
          <w:bottom w:val="single" w:sz="4" w:space="0" w:color="55CBFF" w:themeColor="accent1" w:themeTint="99"/>
        </w:tcBorders>
      </w:tcPr>
    </w:tblStylePr>
    <w:tblStylePr w:type="nwCell">
      <w:tblPr/>
      <w:tcPr>
        <w:tcBorders>
          <w:bottom w:val="single" w:sz="4" w:space="0" w:color="55CBFF" w:themeColor="accent1" w:themeTint="99"/>
        </w:tcBorders>
      </w:tcPr>
    </w:tblStylePr>
    <w:tblStylePr w:type="seCell">
      <w:tblPr/>
      <w:tcPr>
        <w:tcBorders>
          <w:top w:val="single" w:sz="4" w:space="0" w:color="55CBFF" w:themeColor="accent1" w:themeTint="99"/>
        </w:tcBorders>
      </w:tcPr>
    </w:tblStylePr>
    <w:tblStylePr w:type="swCell">
      <w:tblPr/>
      <w:tcPr>
        <w:tcBorders>
          <w:top w:val="single" w:sz="4" w:space="0" w:color="55CBFF" w:themeColor="accent1" w:themeTint="99"/>
        </w:tcBorders>
      </w:tcPr>
    </w:tblStylePr>
  </w:style>
  <w:style w:type="table" w:styleId="GridTable7ColourfulAccent2">
    <w:name w:val="Grid Table 7 Colorful Accent 2"/>
    <w:basedOn w:val="TableNormal"/>
    <w:uiPriority w:val="52"/>
    <w:rsid w:val="0090719C"/>
    <w:rPr>
      <w:color w:val="5F005F" w:themeColor="accent2" w:themeShade="BF"/>
    </w:rPr>
    <w:tblPr>
      <w:tblStyleRowBandSize w:val="1"/>
      <w:tblStyleColBandSize w:val="1"/>
      <w:tblBorders>
        <w:top w:val="single" w:sz="4" w:space="0" w:color="FF19FF" w:themeColor="accent2" w:themeTint="99"/>
        <w:left w:val="single" w:sz="4" w:space="0" w:color="FF19FF" w:themeColor="accent2" w:themeTint="99"/>
        <w:bottom w:val="single" w:sz="4" w:space="0" w:color="FF19FF" w:themeColor="accent2" w:themeTint="99"/>
        <w:right w:val="single" w:sz="4" w:space="0" w:color="FF19FF" w:themeColor="accent2" w:themeTint="99"/>
        <w:insideH w:val="single" w:sz="4" w:space="0" w:color="FF19FF" w:themeColor="accent2" w:themeTint="99"/>
        <w:insideV w:val="single" w:sz="4" w:space="0" w:color="FF19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2FF" w:themeFill="accent2" w:themeFillTint="33"/>
      </w:tcPr>
    </w:tblStylePr>
    <w:tblStylePr w:type="band1Horz">
      <w:tblPr/>
      <w:tcPr>
        <w:shd w:val="clear" w:color="auto" w:fill="FFB2FF" w:themeFill="accent2" w:themeFillTint="33"/>
      </w:tcPr>
    </w:tblStylePr>
    <w:tblStylePr w:type="neCell">
      <w:tblPr/>
      <w:tcPr>
        <w:tcBorders>
          <w:bottom w:val="single" w:sz="4" w:space="0" w:color="FF19FF" w:themeColor="accent2" w:themeTint="99"/>
        </w:tcBorders>
      </w:tcPr>
    </w:tblStylePr>
    <w:tblStylePr w:type="nwCell">
      <w:tblPr/>
      <w:tcPr>
        <w:tcBorders>
          <w:bottom w:val="single" w:sz="4" w:space="0" w:color="FF19FF" w:themeColor="accent2" w:themeTint="99"/>
        </w:tcBorders>
      </w:tcPr>
    </w:tblStylePr>
    <w:tblStylePr w:type="seCell">
      <w:tblPr/>
      <w:tcPr>
        <w:tcBorders>
          <w:top w:val="single" w:sz="4" w:space="0" w:color="FF19FF" w:themeColor="accent2" w:themeTint="99"/>
        </w:tcBorders>
      </w:tcPr>
    </w:tblStylePr>
    <w:tblStylePr w:type="swCell">
      <w:tblPr/>
      <w:tcPr>
        <w:tcBorders>
          <w:top w:val="single" w:sz="4" w:space="0" w:color="FF19FF" w:themeColor="accent2" w:themeTint="99"/>
        </w:tcBorders>
      </w:tcPr>
    </w:tblStylePr>
  </w:style>
  <w:style w:type="table" w:styleId="GridTable7ColourfulAccent3">
    <w:name w:val="Grid Table 7 Colorful Accent 3"/>
    <w:basedOn w:val="TableNormal"/>
    <w:uiPriority w:val="52"/>
    <w:rsid w:val="0090719C"/>
    <w:rPr>
      <w:color w:val="1C8F8C" w:themeColor="accent3" w:themeShade="BF"/>
    </w:rPr>
    <w:tblPr>
      <w:tblStyleRowBandSize w:val="1"/>
      <w:tblStyleColBandSize w:val="1"/>
      <w:tblBorders>
        <w:top w:val="single" w:sz="4" w:space="0" w:color="72E3E0" w:themeColor="accent3" w:themeTint="99"/>
        <w:left w:val="single" w:sz="4" w:space="0" w:color="72E3E0" w:themeColor="accent3" w:themeTint="99"/>
        <w:bottom w:val="single" w:sz="4" w:space="0" w:color="72E3E0" w:themeColor="accent3" w:themeTint="99"/>
        <w:right w:val="single" w:sz="4" w:space="0" w:color="72E3E0" w:themeColor="accent3" w:themeTint="99"/>
        <w:insideH w:val="single" w:sz="4" w:space="0" w:color="72E3E0" w:themeColor="accent3" w:themeTint="99"/>
        <w:insideV w:val="single" w:sz="4" w:space="0" w:color="72E3E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5F4" w:themeFill="accent3" w:themeFillTint="33"/>
      </w:tcPr>
    </w:tblStylePr>
    <w:tblStylePr w:type="band1Horz">
      <w:tblPr/>
      <w:tcPr>
        <w:shd w:val="clear" w:color="auto" w:fill="D0F5F4" w:themeFill="accent3" w:themeFillTint="33"/>
      </w:tcPr>
    </w:tblStylePr>
    <w:tblStylePr w:type="neCell">
      <w:tblPr/>
      <w:tcPr>
        <w:tcBorders>
          <w:bottom w:val="single" w:sz="4" w:space="0" w:color="72E3E0" w:themeColor="accent3" w:themeTint="99"/>
        </w:tcBorders>
      </w:tcPr>
    </w:tblStylePr>
    <w:tblStylePr w:type="nwCell">
      <w:tblPr/>
      <w:tcPr>
        <w:tcBorders>
          <w:bottom w:val="single" w:sz="4" w:space="0" w:color="72E3E0" w:themeColor="accent3" w:themeTint="99"/>
        </w:tcBorders>
      </w:tcPr>
    </w:tblStylePr>
    <w:tblStylePr w:type="seCell">
      <w:tblPr/>
      <w:tcPr>
        <w:tcBorders>
          <w:top w:val="single" w:sz="4" w:space="0" w:color="72E3E0" w:themeColor="accent3" w:themeTint="99"/>
        </w:tcBorders>
      </w:tcPr>
    </w:tblStylePr>
    <w:tblStylePr w:type="swCell">
      <w:tblPr/>
      <w:tcPr>
        <w:tcBorders>
          <w:top w:val="single" w:sz="4" w:space="0" w:color="72E3E0" w:themeColor="accent3" w:themeTint="99"/>
        </w:tcBorders>
      </w:tcPr>
    </w:tblStylePr>
  </w:style>
  <w:style w:type="table" w:styleId="GridTable7ColourfulAccent4">
    <w:name w:val="Grid Table 7 Colorful Accent 4"/>
    <w:basedOn w:val="TableNormal"/>
    <w:uiPriority w:val="52"/>
    <w:rsid w:val="0090719C"/>
    <w:rPr>
      <w:color w:val="972F50" w:themeColor="accent4" w:themeShade="BF"/>
    </w:rPr>
    <w:tblPr>
      <w:tblStyleRowBandSize w:val="1"/>
      <w:tblStyleColBandSize w:val="1"/>
      <w:tblBorders>
        <w:top w:val="single" w:sz="4" w:space="0" w:color="DC8EA7" w:themeColor="accent4" w:themeTint="99"/>
        <w:left w:val="single" w:sz="4" w:space="0" w:color="DC8EA7" w:themeColor="accent4" w:themeTint="99"/>
        <w:bottom w:val="single" w:sz="4" w:space="0" w:color="DC8EA7" w:themeColor="accent4" w:themeTint="99"/>
        <w:right w:val="single" w:sz="4" w:space="0" w:color="DC8EA7" w:themeColor="accent4" w:themeTint="99"/>
        <w:insideH w:val="single" w:sz="4" w:space="0" w:color="DC8EA7" w:themeColor="accent4" w:themeTint="99"/>
        <w:insideV w:val="single" w:sz="4" w:space="0" w:color="DC8E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9E1" w:themeFill="accent4" w:themeFillTint="33"/>
      </w:tcPr>
    </w:tblStylePr>
    <w:tblStylePr w:type="band1Horz">
      <w:tblPr/>
      <w:tcPr>
        <w:shd w:val="clear" w:color="auto" w:fill="F3D9E1" w:themeFill="accent4" w:themeFillTint="33"/>
      </w:tcPr>
    </w:tblStylePr>
    <w:tblStylePr w:type="neCell">
      <w:tblPr/>
      <w:tcPr>
        <w:tcBorders>
          <w:bottom w:val="single" w:sz="4" w:space="0" w:color="DC8EA7" w:themeColor="accent4" w:themeTint="99"/>
        </w:tcBorders>
      </w:tcPr>
    </w:tblStylePr>
    <w:tblStylePr w:type="nwCell">
      <w:tblPr/>
      <w:tcPr>
        <w:tcBorders>
          <w:bottom w:val="single" w:sz="4" w:space="0" w:color="DC8EA7" w:themeColor="accent4" w:themeTint="99"/>
        </w:tcBorders>
      </w:tcPr>
    </w:tblStylePr>
    <w:tblStylePr w:type="seCell">
      <w:tblPr/>
      <w:tcPr>
        <w:tcBorders>
          <w:top w:val="single" w:sz="4" w:space="0" w:color="DC8EA7" w:themeColor="accent4" w:themeTint="99"/>
        </w:tcBorders>
      </w:tcPr>
    </w:tblStylePr>
    <w:tblStylePr w:type="swCell">
      <w:tblPr/>
      <w:tcPr>
        <w:tcBorders>
          <w:top w:val="single" w:sz="4" w:space="0" w:color="DC8EA7" w:themeColor="accent4" w:themeTint="99"/>
        </w:tcBorders>
      </w:tcPr>
    </w:tblStylePr>
  </w:style>
  <w:style w:type="table" w:styleId="GridTable7ColourfulAccent5">
    <w:name w:val="Grid Table 7 Colorful Accent 5"/>
    <w:basedOn w:val="TableNormal"/>
    <w:uiPriority w:val="52"/>
    <w:rsid w:val="0090719C"/>
    <w:rPr>
      <w:color w:val="081720" w:themeColor="accent5" w:themeShade="BF"/>
    </w:rPr>
    <w:tblPr>
      <w:tblStyleRowBandSize w:val="1"/>
      <w:tblStyleColBandSize w:val="1"/>
      <w:tblBorders>
        <w:top w:val="single" w:sz="4" w:space="0" w:color="2F85BD" w:themeColor="accent5" w:themeTint="99"/>
        <w:left w:val="single" w:sz="4" w:space="0" w:color="2F85BD" w:themeColor="accent5" w:themeTint="99"/>
        <w:bottom w:val="single" w:sz="4" w:space="0" w:color="2F85BD" w:themeColor="accent5" w:themeTint="99"/>
        <w:right w:val="single" w:sz="4" w:space="0" w:color="2F85BD" w:themeColor="accent5" w:themeTint="99"/>
        <w:insideH w:val="single" w:sz="4" w:space="0" w:color="2F85BD" w:themeColor="accent5" w:themeTint="99"/>
        <w:insideV w:val="single" w:sz="4" w:space="0" w:color="2F85B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D7EC" w:themeFill="accent5" w:themeFillTint="33"/>
      </w:tcPr>
    </w:tblStylePr>
    <w:tblStylePr w:type="band1Horz">
      <w:tblPr/>
      <w:tcPr>
        <w:shd w:val="clear" w:color="auto" w:fill="B6D7EC" w:themeFill="accent5" w:themeFillTint="33"/>
      </w:tcPr>
    </w:tblStylePr>
    <w:tblStylePr w:type="neCell">
      <w:tblPr/>
      <w:tcPr>
        <w:tcBorders>
          <w:bottom w:val="single" w:sz="4" w:space="0" w:color="2F85BD" w:themeColor="accent5" w:themeTint="99"/>
        </w:tcBorders>
      </w:tcPr>
    </w:tblStylePr>
    <w:tblStylePr w:type="nwCell">
      <w:tblPr/>
      <w:tcPr>
        <w:tcBorders>
          <w:bottom w:val="single" w:sz="4" w:space="0" w:color="2F85BD" w:themeColor="accent5" w:themeTint="99"/>
        </w:tcBorders>
      </w:tcPr>
    </w:tblStylePr>
    <w:tblStylePr w:type="seCell">
      <w:tblPr/>
      <w:tcPr>
        <w:tcBorders>
          <w:top w:val="single" w:sz="4" w:space="0" w:color="2F85BD" w:themeColor="accent5" w:themeTint="99"/>
        </w:tcBorders>
      </w:tcPr>
    </w:tblStylePr>
    <w:tblStylePr w:type="swCell">
      <w:tblPr/>
      <w:tcPr>
        <w:tcBorders>
          <w:top w:val="single" w:sz="4" w:space="0" w:color="2F85BD" w:themeColor="accent5" w:themeTint="99"/>
        </w:tcBorders>
      </w:tcPr>
    </w:tblStylePr>
  </w:style>
  <w:style w:type="table" w:styleId="GridTable7ColourfulAccent6">
    <w:name w:val="Grid Table 7 Colorful Accent 6"/>
    <w:basedOn w:val="TableNormal"/>
    <w:uiPriority w:val="52"/>
    <w:rsid w:val="0090719C"/>
    <w:rPr>
      <w:color w:val="6B6B6B" w:themeColor="accent6" w:themeShade="BF"/>
    </w:rPr>
    <w:tblPr>
      <w:tblStyleRowBandSize w:val="1"/>
      <w:tblStyleColBandSize w:val="1"/>
      <w:tblBorders>
        <w:top w:val="single" w:sz="4" w:space="0" w:color="BCBCBC" w:themeColor="accent6" w:themeTint="99"/>
        <w:left w:val="single" w:sz="4" w:space="0" w:color="BCBCBC" w:themeColor="accent6" w:themeTint="99"/>
        <w:bottom w:val="single" w:sz="4" w:space="0" w:color="BCBCBC" w:themeColor="accent6" w:themeTint="99"/>
        <w:right w:val="single" w:sz="4" w:space="0" w:color="BCBCBC" w:themeColor="accent6" w:themeTint="99"/>
        <w:insideH w:val="single" w:sz="4" w:space="0" w:color="BCBCBC" w:themeColor="accent6" w:themeTint="99"/>
        <w:insideV w:val="single" w:sz="4" w:space="0" w:color="BCBCB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8E8" w:themeFill="accent6" w:themeFillTint="33"/>
      </w:tcPr>
    </w:tblStylePr>
    <w:tblStylePr w:type="band1Horz">
      <w:tblPr/>
      <w:tcPr>
        <w:shd w:val="clear" w:color="auto" w:fill="E8E8E8" w:themeFill="accent6" w:themeFillTint="33"/>
      </w:tcPr>
    </w:tblStylePr>
    <w:tblStylePr w:type="neCell">
      <w:tblPr/>
      <w:tcPr>
        <w:tcBorders>
          <w:bottom w:val="single" w:sz="4" w:space="0" w:color="BCBCBC" w:themeColor="accent6" w:themeTint="99"/>
        </w:tcBorders>
      </w:tcPr>
    </w:tblStylePr>
    <w:tblStylePr w:type="nwCell">
      <w:tblPr/>
      <w:tcPr>
        <w:tcBorders>
          <w:bottom w:val="single" w:sz="4" w:space="0" w:color="BCBCBC" w:themeColor="accent6" w:themeTint="99"/>
        </w:tcBorders>
      </w:tcPr>
    </w:tblStylePr>
    <w:tblStylePr w:type="seCell">
      <w:tblPr/>
      <w:tcPr>
        <w:tcBorders>
          <w:top w:val="single" w:sz="4" w:space="0" w:color="BCBCBC" w:themeColor="accent6" w:themeTint="99"/>
        </w:tcBorders>
      </w:tcPr>
    </w:tblStylePr>
    <w:tblStylePr w:type="swCell">
      <w:tblPr/>
      <w:tcPr>
        <w:tcBorders>
          <w:top w:val="single" w:sz="4" w:space="0" w:color="BCBCBC" w:themeColor="accent6" w:themeTint="99"/>
        </w:tcBorders>
      </w:tcPr>
    </w:tblStylePr>
  </w:style>
  <w:style w:type="character" w:styleId="Hashtag">
    <w:name w:val="Hashtag"/>
    <w:basedOn w:val="DefaultParagraphFont"/>
    <w:uiPriority w:val="99"/>
    <w:semiHidden/>
    <w:unhideWhenUsed/>
    <w:rsid w:val="0090719C"/>
    <w:rPr>
      <w:color w:val="2B579A"/>
      <w:shd w:val="clear" w:color="auto" w:fill="E1DFDD"/>
      <w:lang w:val="en-GB"/>
    </w:rPr>
  </w:style>
  <w:style w:type="character" w:customStyle="1" w:styleId="Heading4Char">
    <w:name w:val="Heading 4 Char"/>
    <w:aliases w:val="Sub-subheading Char"/>
    <w:basedOn w:val="DefaultParagraphFont"/>
    <w:link w:val="Heading4"/>
    <w:uiPriority w:val="9"/>
    <w:rsid w:val="00AA73EE"/>
    <w:rPr>
      <w:rFonts w:asciiTheme="majorHAnsi" w:eastAsiaTheme="majorEastAsia" w:hAnsiTheme="majorHAnsi" w:cstheme="majorBidi"/>
      <w:iCs/>
      <w:color w:val="C5446E" w:themeColor="accent4"/>
      <w:lang w:val="en-GB"/>
    </w:rPr>
  </w:style>
  <w:style w:type="character" w:customStyle="1" w:styleId="Heading5Char">
    <w:name w:val="Heading 5 Char"/>
    <w:basedOn w:val="DefaultParagraphFont"/>
    <w:link w:val="Heading5"/>
    <w:uiPriority w:val="10"/>
    <w:semiHidden/>
    <w:rsid w:val="00986145"/>
    <w:rPr>
      <w:rFonts w:asciiTheme="majorHAnsi" w:eastAsiaTheme="majorEastAsia" w:hAnsiTheme="majorHAnsi" w:cstheme="majorBidi"/>
      <w:color w:val="009FE3"/>
      <w:sz w:val="32"/>
    </w:rPr>
  </w:style>
  <w:style w:type="character" w:customStyle="1" w:styleId="Heading6Char">
    <w:name w:val="Heading 6 Char"/>
    <w:basedOn w:val="DefaultParagraphFont"/>
    <w:link w:val="Heading6"/>
    <w:uiPriority w:val="9"/>
    <w:semiHidden/>
    <w:rsid w:val="0090719C"/>
    <w:rPr>
      <w:rFonts w:asciiTheme="majorHAnsi" w:eastAsiaTheme="majorEastAsia" w:hAnsiTheme="majorHAnsi" w:cstheme="majorBidi"/>
      <w:color w:val="004E71" w:themeColor="accent1" w:themeShade="7F"/>
      <w:lang w:val="en-GB"/>
    </w:rPr>
  </w:style>
  <w:style w:type="character" w:customStyle="1" w:styleId="Heading7Char">
    <w:name w:val="Heading 7 Char"/>
    <w:basedOn w:val="DefaultParagraphFont"/>
    <w:link w:val="Heading7"/>
    <w:uiPriority w:val="9"/>
    <w:semiHidden/>
    <w:rsid w:val="0090719C"/>
    <w:rPr>
      <w:rFonts w:asciiTheme="majorHAnsi" w:eastAsiaTheme="majorEastAsia" w:hAnsiTheme="majorHAnsi" w:cstheme="majorBidi"/>
      <w:i/>
      <w:iCs/>
      <w:color w:val="004E71" w:themeColor="accent1" w:themeShade="7F"/>
      <w:lang w:val="en-GB"/>
    </w:rPr>
  </w:style>
  <w:style w:type="character" w:customStyle="1" w:styleId="Heading8Char">
    <w:name w:val="Heading 8 Char"/>
    <w:basedOn w:val="DefaultParagraphFont"/>
    <w:link w:val="Heading8"/>
    <w:uiPriority w:val="9"/>
    <w:semiHidden/>
    <w:rsid w:val="0090719C"/>
    <w:rPr>
      <w:rFonts w:asciiTheme="majorHAnsi" w:eastAsiaTheme="majorEastAsia" w:hAnsiTheme="majorHAnsi" w:cstheme="majorBidi"/>
      <w:color w:val="194563" w:themeColor="text1" w:themeTint="D8"/>
      <w:sz w:val="21"/>
      <w:szCs w:val="21"/>
      <w:lang w:val="en-GB"/>
    </w:rPr>
  </w:style>
  <w:style w:type="character" w:customStyle="1" w:styleId="Heading9Char">
    <w:name w:val="Heading 9 Char"/>
    <w:basedOn w:val="DefaultParagraphFont"/>
    <w:link w:val="Heading9"/>
    <w:uiPriority w:val="9"/>
    <w:semiHidden/>
    <w:rsid w:val="00E0544D"/>
    <w:rPr>
      <w:rFonts w:asciiTheme="majorHAnsi" w:eastAsiaTheme="majorEastAsia" w:hAnsiTheme="majorHAnsi" w:cstheme="majorBidi"/>
      <w:i/>
      <w:iCs/>
      <w:color w:val="194563" w:themeColor="text1" w:themeTint="D8"/>
      <w:sz w:val="21"/>
      <w:szCs w:val="21"/>
      <w:lang w:val="en-GB"/>
    </w:rPr>
  </w:style>
  <w:style w:type="character" w:styleId="HTMLAcronym">
    <w:name w:val="HTML Acronym"/>
    <w:basedOn w:val="DefaultParagraphFont"/>
    <w:uiPriority w:val="99"/>
    <w:semiHidden/>
    <w:unhideWhenUsed/>
    <w:rsid w:val="0090719C"/>
    <w:rPr>
      <w:lang w:val="en-GB"/>
    </w:rPr>
  </w:style>
  <w:style w:type="paragraph" w:styleId="HTMLAddress">
    <w:name w:val="HTML Address"/>
    <w:basedOn w:val="Normal"/>
    <w:link w:val="HTMLAddressChar"/>
    <w:uiPriority w:val="99"/>
    <w:semiHidden/>
    <w:unhideWhenUsed/>
    <w:rsid w:val="0090719C"/>
    <w:rPr>
      <w:i/>
      <w:iCs/>
    </w:rPr>
  </w:style>
  <w:style w:type="character" w:customStyle="1" w:styleId="HTMLAddressChar">
    <w:name w:val="HTML Address Char"/>
    <w:basedOn w:val="DefaultParagraphFont"/>
    <w:link w:val="HTMLAddress"/>
    <w:uiPriority w:val="99"/>
    <w:semiHidden/>
    <w:rsid w:val="0090719C"/>
    <w:rPr>
      <w:rFonts w:ascii="Arial" w:eastAsia="Arial" w:hAnsi="Arial" w:cs="Arial"/>
      <w:i/>
      <w:iCs/>
      <w:lang w:val="en-GB"/>
    </w:rPr>
  </w:style>
  <w:style w:type="character" w:styleId="HTMLCite">
    <w:name w:val="HTML Cite"/>
    <w:basedOn w:val="DefaultParagraphFont"/>
    <w:uiPriority w:val="99"/>
    <w:semiHidden/>
    <w:unhideWhenUsed/>
    <w:rsid w:val="0090719C"/>
    <w:rPr>
      <w:i/>
      <w:iCs/>
      <w:lang w:val="en-GB"/>
    </w:rPr>
  </w:style>
  <w:style w:type="character" w:styleId="HTMLCode">
    <w:name w:val="HTML Code"/>
    <w:basedOn w:val="DefaultParagraphFont"/>
    <w:uiPriority w:val="99"/>
    <w:semiHidden/>
    <w:unhideWhenUsed/>
    <w:rsid w:val="0090719C"/>
    <w:rPr>
      <w:rFonts w:ascii="Consolas" w:hAnsi="Consolas"/>
      <w:sz w:val="20"/>
      <w:szCs w:val="20"/>
      <w:lang w:val="en-GB"/>
    </w:rPr>
  </w:style>
  <w:style w:type="character" w:styleId="HTMLDefinition">
    <w:name w:val="HTML Definition"/>
    <w:basedOn w:val="DefaultParagraphFont"/>
    <w:uiPriority w:val="99"/>
    <w:semiHidden/>
    <w:unhideWhenUsed/>
    <w:rsid w:val="0090719C"/>
    <w:rPr>
      <w:i/>
      <w:iCs/>
      <w:lang w:val="en-GB"/>
    </w:rPr>
  </w:style>
  <w:style w:type="character" w:styleId="HTMLKeyboard">
    <w:name w:val="HTML Keyboard"/>
    <w:basedOn w:val="DefaultParagraphFont"/>
    <w:uiPriority w:val="99"/>
    <w:semiHidden/>
    <w:unhideWhenUsed/>
    <w:rsid w:val="0090719C"/>
    <w:rPr>
      <w:rFonts w:ascii="Consolas" w:hAnsi="Consolas"/>
      <w:sz w:val="20"/>
      <w:szCs w:val="20"/>
      <w:lang w:val="en-GB"/>
    </w:rPr>
  </w:style>
  <w:style w:type="paragraph" w:styleId="HTMLPreformatted">
    <w:name w:val="HTML Preformatted"/>
    <w:basedOn w:val="Normal"/>
    <w:link w:val="HTMLPreformattedChar"/>
    <w:uiPriority w:val="99"/>
    <w:semiHidden/>
    <w:unhideWhenUsed/>
    <w:rsid w:val="0090719C"/>
    <w:rPr>
      <w:rFonts w:ascii="Consolas" w:hAnsi="Consolas"/>
    </w:rPr>
  </w:style>
  <w:style w:type="character" w:customStyle="1" w:styleId="HTMLPreformattedChar">
    <w:name w:val="HTML Preformatted Char"/>
    <w:basedOn w:val="DefaultParagraphFont"/>
    <w:link w:val="HTMLPreformatted"/>
    <w:uiPriority w:val="99"/>
    <w:semiHidden/>
    <w:rsid w:val="0090719C"/>
    <w:rPr>
      <w:rFonts w:ascii="Consolas" w:eastAsia="Arial" w:hAnsi="Consolas" w:cs="Arial"/>
      <w:sz w:val="20"/>
      <w:szCs w:val="20"/>
      <w:lang w:val="en-GB"/>
    </w:rPr>
  </w:style>
  <w:style w:type="character" w:styleId="HTMLSample">
    <w:name w:val="HTML Sample"/>
    <w:basedOn w:val="DefaultParagraphFont"/>
    <w:uiPriority w:val="99"/>
    <w:semiHidden/>
    <w:unhideWhenUsed/>
    <w:rsid w:val="0090719C"/>
    <w:rPr>
      <w:rFonts w:ascii="Consolas" w:hAnsi="Consolas"/>
      <w:sz w:val="24"/>
      <w:szCs w:val="24"/>
      <w:lang w:val="en-GB"/>
    </w:rPr>
  </w:style>
  <w:style w:type="character" w:styleId="HTMLTypewriter">
    <w:name w:val="HTML Typewriter"/>
    <w:basedOn w:val="DefaultParagraphFont"/>
    <w:uiPriority w:val="99"/>
    <w:semiHidden/>
    <w:unhideWhenUsed/>
    <w:rsid w:val="0090719C"/>
    <w:rPr>
      <w:rFonts w:ascii="Consolas" w:hAnsi="Consolas"/>
      <w:sz w:val="20"/>
      <w:szCs w:val="20"/>
      <w:lang w:val="en-GB"/>
    </w:rPr>
  </w:style>
  <w:style w:type="character" w:styleId="HTMLVariable">
    <w:name w:val="HTML Variable"/>
    <w:basedOn w:val="DefaultParagraphFont"/>
    <w:uiPriority w:val="99"/>
    <w:semiHidden/>
    <w:unhideWhenUsed/>
    <w:rsid w:val="0090719C"/>
    <w:rPr>
      <w:i/>
      <w:iCs/>
      <w:lang w:val="en-GB"/>
    </w:rPr>
  </w:style>
  <w:style w:type="paragraph" w:styleId="Index1">
    <w:name w:val="index 1"/>
    <w:basedOn w:val="Normal"/>
    <w:next w:val="Normal"/>
    <w:autoRedefine/>
    <w:uiPriority w:val="99"/>
    <w:semiHidden/>
    <w:unhideWhenUsed/>
    <w:rsid w:val="0090719C"/>
    <w:pPr>
      <w:ind w:left="220" w:hanging="220"/>
    </w:pPr>
  </w:style>
  <w:style w:type="paragraph" w:styleId="Index2">
    <w:name w:val="index 2"/>
    <w:basedOn w:val="Normal"/>
    <w:next w:val="Normal"/>
    <w:autoRedefine/>
    <w:uiPriority w:val="99"/>
    <w:semiHidden/>
    <w:unhideWhenUsed/>
    <w:rsid w:val="0090719C"/>
    <w:pPr>
      <w:ind w:left="440" w:hanging="220"/>
    </w:pPr>
  </w:style>
  <w:style w:type="paragraph" w:styleId="Index3">
    <w:name w:val="index 3"/>
    <w:basedOn w:val="Normal"/>
    <w:next w:val="Normal"/>
    <w:autoRedefine/>
    <w:uiPriority w:val="99"/>
    <w:semiHidden/>
    <w:unhideWhenUsed/>
    <w:rsid w:val="0090719C"/>
    <w:pPr>
      <w:ind w:left="660" w:hanging="220"/>
    </w:pPr>
  </w:style>
  <w:style w:type="paragraph" w:styleId="Index4">
    <w:name w:val="index 4"/>
    <w:basedOn w:val="Normal"/>
    <w:next w:val="Normal"/>
    <w:autoRedefine/>
    <w:uiPriority w:val="99"/>
    <w:semiHidden/>
    <w:unhideWhenUsed/>
    <w:rsid w:val="0090719C"/>
    <w:pPr>
      <w:ind w:left="880" w:hanging="220"/>
    </w:pPr>
  </w:style>
  <w:style w:type="paragraph" w:styleId="Index5">
    <w:name w:val="index 5"/>
    <w:basedOn w:val="Normal"/>
    <w:next w:val="Normal"/>
    <w:autoRedefine/>
    <w:uiPriority w:val="99"/>
    <w:semiHidden/>
    <w:unhideWhenUsed/>
    <w:rsid w:val="0090719C"/>
    <w:pPr>
      <w:ind w:left="1100" w:hanging="220"/>
    </w:pPr>
  </w:style>
  <w:style w:type="paragraph" w:styleId="Index6">
    <w:name w:val="index 6"/>
    <w:basedOn w:val="Normal"/>
    <w:next w:val="Normal"/>
    <w:autoRedefine/>
    <w:uiPriority w:val="99"/>
    <w:semiHidden/>
    <w:unhideWhenUsed/>
    <w:rsid w:val="0090719C"/>
    <w:pPr>
      <w:ind w:left="1320" w:hanging="220"/>
    </w:pPr>
  </w:style>
  <w:style w:type="paragraph" w:styleId="Index7">
    <w:name w:val="index 7"/>
    <w:basedOn w:val="Normal"/>
    <w:next w:val="Normal"/>
    <w:autoRedefine/>
    <w:uiPriority w:val="99"/>
    <w:semiHidden/>
    <w:unhideWhenUsed/>
    <w:rsid w:val="0090719C"/>
    <w:pPr>
      <w:ind w:left="1540" w:hanging="220"/>
    </w:pPr>
  </w:style>
  <w:style w:type="paragraph" w:styleId="Index8">
    <w:name w:val="index 8"/>
    <w:basedOn w:val="Normal"/>
    <w:next w:val="Normal"/>
    <w:autoRedefine/>
    <w:uiPriority w:val="99"/>
    <w:semiHidden/>
    <w:unhideWhenUsed/>
    <w:rsid w:val="0090719C"/>
    <w:pPr>
      <w:ind w:left="1760" w:hanging="220"/>
    </w:pPr>
  </w:style>
  <w:style w:type="paragraph" w:styleId="Index9">
    <w:name w:val="index 9"/>
    <w:basedOn w:val="Normal"/>
    <w:next w:val="Normal"/>
    <w:autoRedefine/>
    <w:uiPriority w:val="99"/>
    <w:semiHidden/>
    <w:unhideWhenUsed/>
    <w:rsid w:val="0090719C"/>
    <w:pPr>
      <w:ind w:left="1980" w:hanging="220"/>
    </w:pPr>
  </w:style>
  <w:style w:type="paragraph" w:styleId="IndexHeading">
    <w:name w:val="index heading"/>
    <w:basedOn w:val="Normal"/>
    <w:next w:val="Index1"/>
    <w:uiPriority w:val="99"/>
    <w:semiHidden/>
    <w:unhideWhenUsed/>
    <w:rsid w:val="0090719C"/>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90719C"/>
    <w:rPr>
      <w:i/>
      <w:iCs/>
      <w:color w:val="009FE3" w:themeColor="accent1"/>
      <w:lang w:val="en-GB"/>
    </w:rPr>
  </w:style>
  <w:style w:type="paragraph" w:styleId="IntenseQuote">
    <w:name w:val="Intense Quote"/>
    <w:basedOn w:val="Normal"/>
    <w:next w:val="Normal"/>
    <w:link w:val="IntenseQuoteChar"/>
    <w:uiPriority w:val="30"/>
    <w:semiHidden/>
    <w:qFormat/>
    <w:rsid w:val="0090719C"/>
    <w:pPr>
      <w:pBdr>
        <w:top w:val="single" w:sz="4" w:space="10" w:color="009FE3" w:themeColor="accent1"/>
        <w:bottom w:val="single" w:sz="4" w:space="10" w:color="009FE3" w:themeColor="accent1"/>
      </w:pBdr>
      <w:spacing w:before="360"/>
      <w:ind w:left="864" w:right="864"/>
      <w:jc w:val="center"/>
    </w:pPr>
    <w:rPr>
      <w:i/>
      <w:iCs/>
      <w:color w:val="009FE3" w:themeColor="accent1"/>
    </w:rPr>
  </w:style>
  <w:style w:type="character" w:customStyle="1" w:styleId="IntenseQuoteChar">
    <w:name w:val="Intense Quote Char"/>
    <w:basedOn w:val="DefaultParagraphFont"/>
    <w:link w:val="IntenseQuote"/>
    <w:uiPriority w:val="30"/>
    <w:semiHidden/>
    <w:rsid w:val="00A6495F"/>
    <w:rPr>
      <w:rFonts w:ascii="Arial" w:eastAsia="Arial" w:hAnsi="Arial" w:cs="Arial"/>
      <w:i/>
      <w:iCs/>
      <w:color w:val="009FE3" w:themeColor="accent1"/>
      <w:lang w:val="en-GB"/>
    </w:rPr>
  </w:style>
  <w:style w:type="character" w:styleId="IntenseReference">
    <w:name w:val="Intense Reference"/>
    <w:basedOn w:val="DefaultParagraphFont"/>
    <w:uiPriority w:val="32"/>
    <w:semiHidden/>
    <w:qFormat/>
    <w:rsid w:val="0090719C"/>
    <w:rPr>
      <w:b/>
      <w:bCs/>
      <w:smallCaps/>
      <w:color w:val="009FE3" w:themeColor="accent1"/>
      <w:spacing w:val="5"/>
      <w:lang w:val="en-GB"/>
    </w:rPr>
  </w:style>
  <w:style w:type="table" w:styleId="LightGrid">
    <w:name w:val="Light Grid"/>
    <w:basedOn w:val="TableNormal"/>
    <w:uiPriority w:val="62"/>
    <w:semiHidden/>
    <w:unhideWhenUsed/>
    <w:rsid w:val="0090719C"/>
    <w:tblPr>
      <w:tblStyleRowBandSize w:val="1"/>
      <w:tblStyleColBandSize w:val="1"/>
      <w:tblBorders>
        <w:top w:val="single" w:sz="8" w:space="0" w:color="0B1F2C" w:themeColor="text1"/>
        <w:left w:val="single" w:sz="8" w:space="0" w:color="0B1F2C" w:themeColor="text1"/>
        <w:bottom w:val="single" w:sz="8" w:space="0" w:color="0B1F2C" w:themeColor="text1"/>
        <w:right w:val="single" w:sz="8" w:space="0" w:color="0B1F2C" w:themeColor="text1"/>
        <w:insideH w:val="single" w:sz="8" w:space="0" w:color="0B1F2C" w:themeColor="text1"/>
        <w:insideV w:val="single" w:sz="8" w:space="0" w:color="0B1F2C"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B1F2C" w:themeColor="text1"/>
          <w:left w:val="single" w:sz="8" w:space="0" w:color="0B1F2C" w:themeColor="text1"/>
          <w:bottom w:val="single" w:sz="18" w:space="0" w:color="0B1F2C" w:themeColor="text1"/>
          <w:right w:val="single" w:sz="8" w:space="0" w:color="0B1F2C" w:themeColor="text1"/>
          <w:insideH w:val="nil"/>
          <w:insideV w:val="single" w:sz="8" w:space="0" w:color="0B1F2C"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1F2C" w:themeColor="text1"/>
          <w:left w:val="single" w:sz="8" w:space="0" w:color="0B1F2C" w:themeColor="text1"/>
          <w:bottom w:val="single" w:sz="8" w:space="0" w:color="0B1F2C" w:themeColor="text1"/>
          <w:right w:val="single" w:sz="8" w:space="0" w:color="0B1F2C" w:themeColor="text1"/>
          <w:insideH w:val="nil"/>
          <w:insideV w:val="single" w:sz="8" w:space="0" w:color="0B1F2C"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1F2C" w:themeColor="text1"/>
          <w:left w:val="single" w:sz="8" w:space="0" w:color="0B1F2C" w:themeColor="text1"/>
          <w:bottom w:val="single" w:sz="8" w:space="0" w:color="0B1F2C" w:themeColor="text1"/>
          <w:right w:val="single" w:sz="8" w:space="0" w:color="0B1F2C" w:themeColor="text1"/>
        </w:tcBorders>
      </w:tcPr>
    </w:tblStylePr>
    <w:tblStylePr w:type="band1Vert">
      <w:tblPr/>
      <w:tcPr>
        <w:tcBorders>
          <w:top w:val="single" w:sz="8" w:space="0" w:color="0B1F2C" w:themeColor="text1"/>
          <w:left w:val="single" w:sz="8" w:space="0" w:color="0B1F2C" w:themeColor="text1"/>
          <w:bottom w:val="single" w:sz="8" w:space="0" w:color="0B1F2C" w:themeColor="text1"/>
          <w:right w:val="single" w:sz="8" w:space="0" w:color="0B1F2C" w:themeColor="text1"/>
        </w:tcBorders>
        <w:shd w:val="clear" w:color="auto" w:fill="A4CDE8" w:themeFill="text1" w:themeFillTint="3F"/>
      </w:tcPr>
    </w:tblStylePr>
    <w:tblStylePr w:type="band1Horz">
      <w:tblPr/>
      <w:tcPr>
        <w:tcBorders>
          <w:top w:val="single" w:sz="8" w:space="0" w:color="0B1F2C" w:themeColor="text1"/>
          <w:left w:val="single" w:sz="8" w:space="0" w:color="0B1F2C" w:themeColor="text1"/>
          <w:bottom w:val="single" w:sz="8" w:space="0" w:color="0B1F2C" w:themeColor="text1"/>
          <w:right w:val="single" w:sz="8" w:space="0" w:color="0B1F2C" w:themeColor="text1"/>
          <w:insideV w:val="single" w:sz="8" w:space="0" w:color="0B1F2C" w:themeColor="text1"/>
        </w:tcBorders>
        <w:shd w:val="clear" w:color="auto" w:fill="A4CDE8" w:themeFill="text1" w:themeFillTint="3F"/>
      </w:tcPr>
    </w:tblStylePr>
    <w:tblStylePr w:type="band2Horz">
      <w:tblPr/>
      <w:tcPr>
        <w:tcBorders>
          <w:top w:val="single" w:sz="8" w:space="0" w:color="0B1F2C" w:themeColor="text1"/>
          <w:left w:val="single" w:sz="8" w:space="0" w:color="0B1F2C" w:themeColor="text1"/>
          <w:bottom w:val="single" w:sz="8" w:space="0" w:color="0B1F2C" w:themeColor="text1"/>
          <w:right w:val="single" w:sz="8" w:space="0" w:color="0B1F2C" w:themeColor="text1"/>
          <w:insideV w:val="single" w:sz="8" w:space="0" w:color="0B1F2C" w:themeColor="text1"/>
        </w:tcBorders>
      </w:tcPr>
    </w:tblStylePr>
  </w:style>
  <w:style w:type="table" w:styleId="LightGrid-Accent1">
    <w:name w:val="Light Grid Accent 1"/>
    <w:basedOn w:val="TableNormal"/>
    <w:uiPriority w:val="62"/>
    <w:semiHidden/>
    <w:unhideWhenUsed/>
    <w:rsid w:val="0090719C"/>
    <w:tblPr>
      <w:tblStyleRowBandSize w:val="1"/>
      <w:tblStyleColBandSize w:val="1"/>
      <w:tblBorders>
        <w:top w:val="single" w:sz="8" w:space="0" w:color="009FE3" w:themeColor="accent1"/>
        <w:left w:val="single" w:sz="8" w:space="0" w:color="009FE3" w:themeColor="accent1"/>
        <w:bottom w:val="single" w:sz="8" w:space="0" w:color="009FE3" w:themeColor="accent1"/>
        <w:right w:val="single" w:sz="8" w:space="0" w:color="009FE3" w:themeColor="accent1"/>
        <w:insideH w:val="single" w:sz="8" w:space="0" w:color="009FE3" w:themeColor="accent1"/>
        <w:insideV w:val="single" w:sz="8" w:space="0" w:color="009FE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FE3" w:themeColor="accent1"/>
          <w:left w:val="single" w:sz="8" w:space="0" w:color="009FE3" w:themeColor="accent1"/>
          <w:bottom w:val="single" w:sz="18" w:space="0" w:color="009FE3" w:themeColor="accent1"/>
          <w:right w:val="single" w:sz="8" w:space="0" w:color="009FE3" w:themeColor="accent1"/>
          <w:insideH w:val="nil"/>
          <w:insideV w:val="single" w:sz="8" w:space="0" w:color="009FE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FE3" w:themeColor="accent1"/>
          <w:left w:val="single" w:sz="8" w:space="0" w:color="009FE3" w:themeColor="accent1"/>
          <w:bottom w:val="single" w:sz="8" w:space="0" w:color="009FE3" w:themeColor="accent1"/>
          <w:right w:val="single" w:sz="8" w:space="0" w:color="009FE3" w:themeColor="accent1"/>
          <w:insideH w:val="nil"/>
          <w:insideV w:val="single" w:sz="8" w:space="0" w:color="009FE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FE3" w:themeColor="accent1"/>
          <w:left w:val="single" w:sz="8" w:space="0" w:color="009FE3" w:themeColor="accent1"/>
          <w:bottom w:val="single" w:sz="8" w:space="0" w:color="009FE3" w:themeColor="accent1"/>
          <w:right w:val="single" w:sz="8" w:space="0" w:color="009FE3" w:themeColor="accent1"/>
        </w:tcBorders>
      </w:tcPr>
    </w:tblStylePr>
    <w:tblStylePr w:type="band1Vert">
      <w:tblPr/>
      <w:tcPr>
        <w:tcBorders>
          <w:top w:val="single" w:sz="8" w:space="0" w:color="009FE3" w:themeColor="accent1"/>
          <w:left w:val="single" w:sz="8" w:space="0" w:color="009FE3" w:themeColor="accent1"/>
          <w:bottom w:val="single" w:sz="8" w:space="0" w:color="009FE3" w:themeColor="accent1"/>
          <w:right w:val="single" w:sz="8" w:space="0" w:color="009FE3" w:themeColor="accent1"/>
        </w:tcBorders>
        <w:shd w:val="clear" w:color="auto" w:fill="B9E9FF" w:themeFill="accent1" w:themeFillTint="3F"/>
      </w:tcPr>
    </w:tblStylePr>
    <w:tblStylePr w:type="band1Horz">
      <w:tblPr/>
      <w:tcPr>
        <w:tcBorders>
          <w:top w:val="single" w:sz="8" w:space="0" w:color="009FE3" w:themeColor="accent1"/>
          <w:left w:val="single" w:sz="8" w:space="0" w:color="009FE3" w:themeColor="accent1"/>
          <w:bottom w:val="single" w:sz="8" w:space="0" w:color="009FE3" w:themeColor="accent1"/>
          <w:right w:val="single" w:sz="8" w:space="0" w:color="009FE3" w:themeColor="accent1"/>
          <w:insideV w:val="single" w:sz="8" w:space="0" w:color="009FE3" w:themeColor="accent1"/>
        </w:tcBorders>
        <w:shd w:val="clear" w:color="auto" w:fill="B9E9FF" w:themeFill="accent1" w:themeFillTint="3F"/>
      </w:tcPr>
    </w:tblStylePr>
    <w:tblStylePr w:type="band2Horz">
      <w:tblPr/>
      <w:tcPr>
        <w:tcBorders>
          <w:top w:val="single" w:sz="8" w:space="0" w:color="009FE3" w:themeColor="accent1"/>
          <w:left w:val="single" w:sz="8" w:space="0" w:color="009FE3" w:themeColor="accent1"/>
          <w:bottom w:val="single" w:sz="8" w:space="0" w:color="009FE3" w:themeColor="accent1"/>
          <w:right w:val="single" w:sz="8" w:space="0" w:color="009FE3" w:themeColor="accent1"/>
          <w:insideV w:val="single" w:sz="8" w:space="0" w:color="009FE3" w:themeColor="accent1"/>
        </w:tcBorders>
      </w:tcPr>
    </w:tblStylePr>
  </w:style>
  <w:style w:type="table" w:styleId="LightGrid-Accent2">
    <w:name w:val="Light Grid Accent 2"/>
    <w:basedOn w:val="TableNormal"/>
    <w:uiPriority w:val="62"/>
    <w:semiHidden/>
    <w:unhideWhenUsed/>
    <w:rsid w:val="0090719C"/>
    <w:tblPr>
      <w:tblStyleRowBandSize w:val="1"/>
      <w:tblStyleColBandSize w:val="1"/>
      <w:tblBorders>
        <w:top w:val="single" w:sz="8" w:space="0" w:color="800080" w:themeColor="accent2"/>
        <w:left w:val="single" w:sz="8" w:space="0" w:color="800080" w:themeColor="accent2"/>
        <w:bottom w:val="single" w:sz="8" w:space="0" w:color="800080" w:themeColor="accent2"/>
        <w:right w:val="single" w:sz="8" w:space="0" w:color="800080" w:themeColor="accent2"/>
        <w:insideH w:val="single" w:sz="8" w:space="0" w:color="800080" w:themeColor="accent2"/>
        <w:insideV w:val="single" w:sz="8" w:space="0" w:color="80008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0080" w:themeColor="accent2"/>
          <w:left w:val="single" w:sz="8" w:space="0" w:color="800080" w:themeColor="accent2"/>
          <w:bottom w:val="single" w:sz="18" w:space="0" w:color="800080" w:themeColor="accent2"/>
          <w:right w:val="single" w:sz="8" w:space="0" w:color="800080" w:themeColor="accent2"/>
          <w:insideH w:val="nil"/>
          <w:insideV w:val="single" w:sz="8" w:space="0" w:color="80008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0080" w:themeColor="accent2"/>
          <w:left w:val="single" w:sz="8" w:space="0" w:color="800080" w:themeColor="accent2"/>
          <w:bottom w:val="single" w:sz="8" w:space="0" w:color="800080" w:themeColor="accent2"/>
          <w:right w:val="single" w:sz="8" w:space="0" w:color="800080" w:themeColor="accent2"/>
          <w:insideH w:val="nil"/>
          <w:insideV w:val="single" w:sz="8" w:space="0" w:color="80008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0080" w:themeColor="accent2"/>
          <w:left w:val="single" w:sz="8" w:space="0" w:color="800080" w:themeColor="accent2"/>
          <w:bottom w:val="single" w:sz="8" w:space="0" w:color="800080" w:themeColor="accent2"/>
          <w:right w:val="single" w:sz="8" w:space="0" w:color="800080" w:themeColor="accent2"/>
        </w:tcBorders>
      </w:tcPr>
    </w:tblStylePr>
    <w:tblStylePr w:type="band1Vert">
      <w:tblPr/>
      <w:tcPr>
        <w:tcBorders>
          <w:top w:val="single" w:sz="8" w:space="0" w:color="800080" w:themeColor="accent2"/>
          <w:left w:val="single" w:sz="8" w:space="0" w:color="800080" w:themeColor="accent2"/>
          <w:bottom w:val="single" w:sz="8" w:space="0" w:color="800080" w:themeColor="accent2"/>
          <w:right w:val="single" w:sz="8" w:space="0" w:color="800080" w:themeColor="accent2"/>
        </w:tcBorders>
        <w:shd w:val="clear" w:color="auto" w:fill="FFA0FF" w:themeFill="accent2" w:themeFillTint="3F"/>
      </w:tcPr>
    </w:tblStylePr>
    <w:tblStylePr w:type="band1Horz">
      <w:tblPr/>
      <w:tcPr>
        <w:tcBorders>
          <w:top w:val="single" w:sz="8" w:space="0" w:color="800080" w:themeColor="accent2"/>
          <w:left w:val="single" w:sz="8" w:space="0" w:color="800080" w:themeColor="accent2"/>
          <w:bottom w:val="single" w:sz="8" w:space="0" w:color="800080" w:themeColor="accent2"/>
          <w:right w:val="single" w:sz="8" w:space="0" w:color="800080" w:themeColor="accent2"/>
          <w:insideV w:val="single" w:sz="8" w:space="0" w:color="800080" w:themeColor="accent2"/>
        </w:tcBorders>
        <w:shd w:val="clear" w:color="auto" w:fill="FFA0FF" w:themeFill="accent2" w:themeFillTint="3F"/>
      </w:tcPr>
    </w:tblStylePr>
    <w:tblStylePr w:type="band2Horz">
      <w:tblPr/>
      <w:tcPr>
        <w:tcBorders>
          <w:top w:val="single" w:sz="8" w:space="0" w:color="800080" w:themeColor="accent2"/>
          <w:left w:val="single" w:sz="8" w:space="0" w:color="800080" w:themeColor="accent2"/>
          <w:bottom w:val="single" w:sz="8" w:space="0" w:color="800080" w:themeColor="accent2"/>
          <w:right w:val="single" w:sz="8" w:space="0" w:color="800080" w:themeColor="accent2"/>
          <w:insideV w:val="single" w:sz="8" w:space="0" w:color="800080" w:themeColor="accent2"/>
        </w:tcBorders>
      </w:tcPr>
    </w:tblStylePr>
  </w:style>
  <w:style w:type="table" w:styleId="LightGrid-Accent3">
    <w:name w:val="Light Grid Accent 3"/>
    <w:basedOn w:val="TableNormal"/>
    <w:uiPriority w:val="62"/>
    <w:semiHidden/>
    <w:unhideWhenUsed/>
    <w:rsid w:val="0090719C"/>
    <w:tblPr>
      <w:tblStyleRowBandSize w:val="1"/>
      <w:tblStyleColBandSize w:val="1"/>
      <w:tblBorders>
        <w:top w:val="single" w:sz="8" w:space="0" w:color="26C0BC" w:themeColor="accent3"/>
        <w:left w:val="single" w:sz="8" w:space="0" w:color="26C0BC" w:themeColor="accent3"/>
        <w:bottom w:val="single" w:sz="8" w:space="0" w:color="26C0BC" w:themeColor="accent3"/>
        <w:right w:val="single" w:sz="8" w:space="0" w:color="26C0BC" w:themeColor="accent3"/>
        <w:insideH w:val="single" w:sz="8" w:space="0" w:color="26C0BC" w:themeColor="accent3"/>
        <w:insideV w:val="single" w:sz="8" w:space="0" w:color="26C0B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C0BC" w:themeColor="accent3"/>
          <w:left w:val="single" w:sz="8" w:space="0" w:color="26C0BC" w:themeColor="accent3"/>
          <w:bottom w:val="single" w:sz="18" w:space="0" w:color="26C0BC" w:themeColor="accent3"/>
          <w:right w:val="single" w:sz="8" w:space="0" w:color="26C0BC" w:themeColor="accent3"/>
          <w:insideH w:val="nil"/>
          <w:insideV w:val="single" w:sz="8" w:space="0" w:color="26C0B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C0BC" w:themeColor="accent3"/>
          <w:left w:val="single" w:sz="8" w:space="0" w:color="26C0BC" w:themeColor="accent3"/>
          <w:bottom w:val="single" w:sz="8" w:space="0" w:color="26C0BC" w:themeColor="accent3"/>
          <w:right w:val="single" w:sz="8" w:space="0" w:color="26C0BC" w:themeColor="accent3"/>
          <w:insideH w:val="nil"/>
          <w:insideV w:val="single" w:sz="8" w:space="0" w:color="26C0B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C0BC" w:themeColor="accent3"/>
          <w:left w:val="single" w:sz="8" w:space="0" w:color="26C0BC" w:themeColor="accent3"/>
          <w:bottom w:val="single" w:sz="8" w:space="0" w:color="26C0BC" w:themeColor="accent3"/>
          <w:right w:val="single" w:sz="8" w:space="0" w:color="26C0BC" w:themeColor="accent3"/>
        </w:tcBorders>
      </w:tcPr>
    </w:tblStylePr>
    <w:tblStylePr w:type="band1Vert">
      <w:tblPr/>
      <w:tcPr>
        <w:tcBorders>
          <w:top w:val="single" w:sz="8" w:space="0" w:color="26C0BC" w:themeColor="accent3"/>
          <w:left w:val="single" w:sz="8" w:space="0" w:color="26C0BC" w:themeColor="accent3"/>
          <w:bottom w:val="single" w:sz="8" w:space="0" w:color="26C0BC" w:themeColor="accent3"/>
          <w:right w:val="single" w:sz="8" w:space="0" w:color="26C0BC" w:themeColor="accent3"/>
        </w:tcBorders>
        <w:shd w:val="clear" w:color="auto" w:fill="C5F3F2" w:themeFill="accent3" w:themeFillTint="3F"/>
      </w:tcPr>
    </w:tblStylePr>
    <w:tblStylePr w:type="band1Horz">
      <w:tblPr/>
      <w:tcPr>
        <w:tcBorders>
          <w:top w:val="single" w:sz="8" w:space="0" w:color="26C0BC" w:themeColor="accent3"/>
          <w:left w:val="single" w:sz="8" w:space="0" w:color="26C0BC" w:themeColor="accent3"/>
          <w:bottom w:val="single" w:sz="8" w:space="0" w:color="26C0BC" w:themeColor="accent3"/>
          <w:right w:val="single" w:sz="8" w:space="0" w:color="26C0BC" w:themeColor="accent3"/>
          <w:insideV w:val="single" w:sz="8" w:space="0" w:color="26C0BC" w:themeColor="accent3"/>
        </w:tcBorders>
        <w:shd w:val="clear" w:color="auto" w:fill="C5F3F2" w:themeFill="accent3" w:themeFillTint="3F"/>
      </w:tcPr>
    </w:tblStylePr>
    <w:tblStylePr w:type="band2Horz">
      <w:tblPr/>
      <w:tcPr>
        <w:tcBorders>
          <w:top w:val="single" w:sz="8" w:space="0" w:color="26C0BC" w:themeColor="accent3"/>
          <w:left w:val="single" w:sz="8" w:space="0" w:color="26C0BC" w:themeColor="accent3"/>
          <w:bottom w:val="single" w:sz="8" w:space="0" w:color="26C0BC" w:themeColor="accent3"/>
          <w:right w:val="single" w:sz="8" w:space="0" w:color="26C0BC" w:themeColor="accent3"/>
          <w:insideV w:val="single" w:sz="8" w:space="0" w:color="26C0BC" w:themeColor="accent3"/>
        </w:tcBorders>
      </w:tcPr>
    </w:tblStylePr>
  </w:style>
  <w:style w:type="table" w:styleId="LightGrid-Accent4">
    <w:name w:val="Light Grid Accent 4"/>
    <w:basedOn w:val="TableNormal"/>
    <w:uiPriority w:val="62"/>
    <w:semiHidden/>
    <w:unhideWhenUsed/>
    <w:rsid w:val="0090719C"/>
    <w:tblPr>
      <w:tblStyleRowBandSize w:val="1"/>
      <w:tblStyleColBandSize w:val="1"/>
      <w:tblBorders>
        <w:top w:val="single" w:sz="8" w:space="0" w:color="C5446E" w:themeColor="accent4"/>
        <w:left w:val="single" w:sz="8" w:space="0" w:color="C5446E" w:themeColor="accent4"/>
        <w:bottom w:val="single" w:sz="8" w:space="0" w:color="C5446E" w:themeColor="accent4"/>
        <w:right w:val="single" w:sz="8" w:space="0" w:color="C5446E" w:themeColor="accent4"/>
        <w:insideH w:val="single" w:sz="8" w:space="0" w:color="C5446E" w:themeColor="accent4"/>
        <w:insideV w:val="single" w:sz="8" w:space="0" w:color="C544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5446E" w:themeColor="accent4"/>
          <w:left w:val="single" w:sz="8" w:space="0" w:color="C5446E" w:themeColor="accent4"/>
          <w:bottom w:val="single" w:sz="18" w:space="0" w:color="C5446E" w:themeColor="accent4"/>
          <w:right w:val="single" w:sz="8" w:space="0" w:color="C5446E" w:themeColor="accent4"/>
          <w:insideH w:val="nil"/>
          <w:insideV w:val="single" w:sz="8" w:space="0" w:color="C544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5446E" w:themeColor="accent4"/>
          <w:left w:val="single" w:sz="8" w:space="0" w:color="C5446E" w:themeColor="accent4"/>
          <w:bottom w:val="single" w:sz="8" w:space="0" w:color="C5446E" w:themeColor="accent4"/>
          <w:right w:val="single" w:sz="8" w:space="0" w:color="C5446E" w:themeColor="accent4"/>
          <w:insideH w:val="nil"/>
          <w:insideV w:val="single" w:sz="8" w:space="0" w:color="C544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5446E" w:themeColor="accent4"/>
          <w:left w:val="single" w:sz="8" w:space="0" w:color="C5446E" w:themeColor="accent4"/>
          <w:bottom w:val="single" w:sz="8" w:space="0" w:color="C5446E" w:themeColor="accent4"/>
          <w:right w:val="single" w:sz="8" w:space="0" w:color="C5446E" w:themeColor="accent4"/>
        </w:tcBorders>
      </w:tcPr>
    </w:tblStylePr>
    <w:tblStylePr w:type="band1Vert">
      <w:tblPr/>
      <w:tcPr>
        <w:tcBorders>
          <w:top w:val="single" w:sz="8" w:space="0" w:color="C5446E" w:themeColor="accent4"/>
          <w:left w:val="single" w:sz="8" w:space="0" w:color="C5446E" w:themeColor="accent4"/>
          <w:bottom w:val="single" w:sz="8" w:space="0" w:color="C5446E" w:themeColor="accent4"/>
          <w:right w:val="single" w:sz="8" w:space="0" w:color="C5446E" w:themeColor="accent4"/>
        </w:tcBorders>
        <w:shd w:val="clear" w:color="auto" w:fill="F0D0DB" w:themeFill="accent4" w:themeFillTint="3F"/>
      </w:tcPr>
    </w:tblStylePr>
    <w:tblStylePr w:type="band1Horz">
      <w:tblPr/>
      <w:tcPr>
        <w:tcBorders>
          <w:top w:val="single" w:sz="8" w:space="0" w:color="C5446E" w:themeColor="accent4"/>
          <w:left w:val="single" w:sz="8" w:space="0" w:color="C5446E" w:themeColor="accent4"/>
          <w:bottom w:val="single" w:sz="8" w:space="0" w:color="C5446E" w:themeColor="accent4"/>
          <w:right w:val="single" w:sz="8" w:space="0" w:color="C5446E" w:themeColor="accent4"/>
          <w:insideV w:val="single" w:sz="8" w:space="0" w:color="C5446E" w:themeColor="accent4"/>
        </w:tcBorders>
        <w:shd w:val="clear" w:color="auto" w:fill="F0D0DB" w:themeFill="accent4" w:themeFillTint="3F"/>
      </w:tcPr>
    </w:tblStylePr>
    <w:tblStylePr w:type="band2Horz">
      <w:tblPr/>
      <w:tcPr>
        <w:tcBorders>
          <w:top w:val="single" w:sz="8" w:space="0" w:color="C5446E" w:themeColor="accent4"/>
          <w:left w:val="single" w:sz="8" w:space="0" w:color="C5446E" w:themeColor="accent4"/>
          <w:bottom w:val="single" w:sz="8" w:space="0" w:color="C5446E" w:themeColor="accent4"/>
          <w:right w:val="single" w:sz="8" w:space="0" w:color="C5446E" w:themeColor="accent4"/>
          <w:insideV w:val="single" w:sz="8" w:space="0" w:color="C5446E" w:themeColor="accent4"/>
        </w:tcBorders>
      </w:tcPr>
    </w:tblStylePr>
  </w:style>
  <w:style w:type="table" w:styleId="LightGrid-Accent5">
    <w:name w:val="Light Grid Accent 5"/>
    <w:basedOn w:val="TableNormal"/>
    <w:uiPriority w:val="62"/>
    <w:semiHidden/>
    <w:unhideWhenUsed/>
    <w:rsid w:val="0090719C"/>
    <w:tblPr>
      <w:tblStyleRowBandSize w:val="1"/>
      <w:tblStyleColBandSize w:val="1"/>
      <w:tblBorders>
        <w:top w:val="single" w:sz="8" w:space="0" w:color="0B1F2C" w:themeColor="accent5"/>
        <w:left w:val="single" w:sz="8" w:space="0" w:color="0B1F2C" w:themeColor="accent5"/>
        <w:bottom w:val="single" w:sz="8" w:space="0" w:color="0B1F2C" w:themeColor="accent5"/>
        <w:right w:val="single" w:sz="8" w:space="0" w:color="0B1F2C" w:themeColor="accent5"/>
        <w:insideH w:val="single" w:sz="8" w:space="0" w:color="0B1F2C" w:themeColor="accent5"/>
        <w:insideV w:val="single" w:sz="8" w:space="0" w:color="0B1F2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B1F2C" w:themeColor="accent5"/>
          <w:left w:val="single" w:sz="8" w:space="0" w:color="0B1F2C" w:themeColor="accent5"/>
          <w:bottom w:val="single" w:sz="18" w:space="0" w:color="0B1F2C" w:themeColor="accent5"/>
          <w:right w:val="single" w:sz="8" w:space="0" w:color="0B1F2C" w:themeColor="accent5"/>
          <w:insideH w:val="nil"/>
          <w:insideV w:val="single" w:sz="8" w:space="0" w:color="0B1F2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1F2C" w:themeColor="accent5"/>
          <w:left w:val="single" w:sz="8" w:space="0" w:color="0B1F2C" w:themeColor="accent5"/>
          <w:bottom w:val="single" w:sz="8" w:space="0" w:color="0B1F2C" w:themeColor="accent5"/>
          <w:right w:val="single" w:sz="8" w:space="0" w:color="0B1F2C" w:themeColor="accent5"/>
          <w:insideH w:val="nil"/>
          <w:insideV w:val="single" w:sz="8" w:space="0" w:color="0B1F2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1F2C" w:themeColor="accent5"/>
          <w:left w:val="single" w:sz="8" w:space="0" w:color="0B1F2C" w:themeColor="accent5"/>
          <w:bottom w:val="single" w:sz="8" w:space="0" w:color="0B1F2C" w:themeColor="accent5"/>
          <w:right w:val="single" w:sz="8" w:space="0" w:color="0B1F2C" w:themeColor="accent5"/>
        </w:tcBorders>
      </w:tcPr>
    </w:tblStylePr>
    <w:tblStylePr w:type="band1Vert">
      <w:tblPr/>
      <w:tcPr>
        <w:tcBorders>
          <w:top w:val="single" w:sz="8" w:space="0" w:color="0B1F2C" w:themeColor="accent5"/>
          <w:left w:val="single" w:sz="8" w:space="0" w:color="0B1F2C" w:themeColor="accent5"/>
          <w:bottom w:val="single" w:sz="8" w:space="0" w:color="0B1F2C" w:themeColor="accent5"/>
          <w:right w:val="single" w:sz="8" w:space="0" w:color="0B1F2C" w:themeColor="accent5"/>
        </w:tcBorders>
        <w:shd w:val="clear" w:color="auto" w:fill="A4CDE8" w:themeFill="accent5" w:themeFillTint="3F"/>
      </w:tcPr>
    </w:tblStylePr>
    <w:tblStylePr w:type="band1Horz">
      <w:tblPr/>
      <w:tcPr>
        <w:tcBorders>
          <w:top w:val="single" w:sz="8" w:space="0" w:color="0B1F2C" w:themeColor="accent5"/>
          <w:left w:val="single" w:sz="8" w:space="0" w:color="0B1F2C" w:themeColor="accent5"/>
          <w:bottom w:val="single" w:sz="8" w:space="0" w:color="0B1F2C" w:themeColor="accent5"/>
          <w:right w:val="single" w:sz="8" w:space="0" w:color="0B1F2C" w:themeColor="accent5"/>
          <w:insideV w:val="single" w:sz="8" w:space="0" w:color="0B1F2C" w:themeColor="accent5"/>
        </w:tcBorders>
        <w:shd w:val="clear" w:color="auto" w:fill="A4CDE8" w:themeFill="accent5" w:themeFillTint="3F"/>
      </w:tcPr>
    </w:tblStylePr>
    <w:tblStylePr w:type="band2Horz">
      <w:tblPr/>
      <w:tcPr>
        <w:tcBorders>
          <w:top w:val="single" w:sz="8" w:space="0" w:color="0B1F2C" w:themeColor="accent5"/>
          <w:left w:val="single" w:sz="8" w:space="0" w:color="0B1F2C" w:themeColor="accent5"/>
          <w:bottom w:val="single" w:sz="8" w:space="0" w:color="0B1F2C" w:themeColor="accent5"/>
          <w:right w:val="single" w:sz="8" w:space="0" w:color="0B1F2C" w:themeColor="accent5"/>
          <w:insideV w:val="single" w:sz="8" w:space="0" w:color="0B1F2C" w:themeColor="accent5"/>
        </w:tcBorders>
      </w:tcPr>
    </w:tblStylePr>
  </w:style>
  <w:style w:type="table" w:styleId="LightGrid-Accent6">
    <w:name w:val="Light Grid Accent 6"/>
    <w:basedOn w:val="TableNormal"/>
    <w:uiPriority w:val="62"/>
    <w:semiHidden/>
    <w:unhideWhenUsed/>
    <w:rsid w:val="0090719C"/>
    <w:tblPr>
      <w:tblStyleRowBandSize w:val="1"/>
      <w:tblStyleColBandSize w:val="1"/>
      <w:tblBorders>
        <w:top w:val="single" w:sz="8" w:space="0" w:color="909090" w:themeColor="accent6"/>
        <w:left w:val="single" w:sz="8" w:space="0" w:color="909090" w:themeColor="accent6"/>
        <w:bottom w:val="single" w:sz="8" w:space="0" w:color="909090" w:themeColor="accent6"/>
        <w:right w:val="single" w:sz="8" w:space="0" w:color="909090" w:themeColor="accent6"/>
        <w:insideH w:val="single" w:sz="8" w:space="0" w:color="909090" w:themeColor="accent6"/>
        <w:insideV w:val="single" w:sz="8" w:space="0" w:color="90909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9090" w:themeColor="accent6"/>
          <w:left w:val="single" w:sz="8" w:space="0" w:color="909090" w:themeColor="accent6"/>
          <w:bottom w:val="single" w:sz="18" w:space="0" w:color="909090" w:themeColor="accent6"/>
          <w:right w:val="single" w:sz="8" w:space="0" w:color="909090" w:themeColor="accent6"/>
          <w:insideH w:val="nil"/>
          <w:insideV w:val="single" w:sz="8" w:space="0" w:color="90909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9090" w:themeColor="accent6"/>
          <w:left w:val="single" w:sz="8" w:space="0" w:color="909090" w:themeColor="accent6"/>
          <w:bottom w:val="single" w:sz="8" w:space="0" w:color="909090" w:themeColor="accent6"/>
          <w:right w:val="single" w:sz="8" w:space="0" w:color="909090" w:themeColor="accent6"/>
          <w:insideH w:val="nil"/>
          <w:insideV w:val="single" w:sz="8" w:space="0" w:color="90909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9090" w:themeColor="accent6"/>
          <w:left w:val="single" w:sz="8" w:space="0" w:color="909090" w:themeColor="accent6"/>
          <w:bottom w:val="single" w:sz="8" w:space="0" w:color="909090" w:themeColor="accent6"/>
          <w:right w:val="single" w:sz="8" w:space="0" w:color="909090" w:themeColor="accent6"/>
        </w:tcBorders>
      </w:tcPr>
    </w:tblStylePr>
    <w:tblStylePr w:type="band1Vert">
      <w:tblPr/>
      <w:tcPr>
        <w:tcBorders>
          <w:top w:val="single" w:sz="8" w:space="0" w:color="909090" w:themeColor="accent6"/>
          <w:left w:val="single" w:sz="8" w:space="0" w:color="909090" w:themeColor="accent6"/>
          <w:bottom w:val="single" w:sz="8" w:space="0" w:color="909090" w:themeColor="accent6"/>
          <w:right w:val="single" w:sz="8" w:space="0" w:color="909090" w:themeColor="accent6"/>
        </w:tcBorders>
        <w:shd w:val="clear" w:color="auto" w:fill="E3E3E3" w:themeFill="accent6" w:themeFillTint="3F"/>
      </w:tcPr>
    </w:tblStylePr>
    <w:tblStylePr w:type="band1Horz">
      <w:tblPr/>
      <w:tcPr>
        <w:tcBorders>
          <w:top w:val="single" w:sz="8" w:space="0" w:color="909090" w:themeColor="accent6"/>
          <w:left w:val="single" w:sz="8" w:space="0" w:color="909090" w:themeColor="accent6"/>
          <w:bottom w:val="single" w:sz="8" w:space="0" w:color="909090" w:themeColor="accent6"/>
          <w:right w:val="single" w:sz="8" w:space="0" w:color="909090" w:themeColor="accent6"/>
          <w:insideV w:val="single" w:sz="8" w:space="0" w:color="909090" w:themeColor="accent6"/>
        </w:tcBorders>
        <w:shd w:val="clear" w:color="auto" w:fill="E3E3E3" w:themeFill="accent6" w:themeFillTint="3F"/>
      </w:tcPr>
    </w:tblStylePr>
    <w:tblStylePr w:type="band2Horz">
      <w:tblPr/>
      <w:tcPr>
        <w:tcBorders>
          <w:top w:val="single" w:sz="8" w:space="0" w:color="909090" w:themeColor="accent6"/>
          <w:left w:val="single" w:sz="8" w:space="0" w:color="909090" w:themeColor="accent6"/>
          <w:bottom w:val="single" w:sz="8" w:space="0" w:color="909090" w:themeColor="accent6"/>
          <w:right w:val="single" w:sz="8" w:space="0" w:color="909090" w:themeColor="accent6"/>
          <w:insideV w:val="single" w:sz="8" w:space="0" w:color="909090" w:themeColor="accent6"/>
        </w:tcBorders>
      </w:tcPr>
    </w:tblStylePr>
  </w:style>
  <w:style w:type="table" w:styleId="LightList">
    <w:name w:val="Light List"/>
    <w:basedOn w:val="TableNormal"/>
    <w:uiPriority w:val="61"/>
    <w:semiHidden/>
    <w:unhideWhenUsed/>
    <w:rsid w:val="0090719C"/>
    <w:tblPr>
      <w:tblStyleRowBandSize w:val="1"/>
      <w:tblStyleColBandSize w:val="1"/>
      <w:tblBorders>
        <w:top w:val="single" w:sz="8" w:space="0" w:color="0B1F2C" w:themeColor="text1"/>
        <w:left w:val="single" w:sz="8" w:space="0" w:color="0B1F2C" w:themeColor="text1"/>
        <w:bottom w:val="single" w:sz="8" w:space="0" w:color="0B1F2C" w:themeColor="text1"/>
        <w:right w:val="single" w:sz="8" w:space="0" w:color="0B1F2C" w:themeColor="text1"/>
      </w:tblBorders>
    </w:tblPr>
    <w:tblStylePr w:type="firstRow">
      <w:pPr>
        <w:spacing w:before="0" w:after="0" w:line="240" w:lineRule="auto"/>
      </w:pPr>
      <w:rPr>
        <w:b/>
        <w:bCs/>
        <w:color w:val="FFFFFF" w:themeColor="background1"/>
      </w:rPr>
      <w:tblPr/>
      <w:tcPr>
        <w:shd w:val="clear" w:color="auto" w:fill="0B1F2C" w:themeFill="text1"/>
      </w:tcPr>
    </w:tblStylePr>
    <w:tblStylePr w:type="lastRow">
      <w:pPr>
        <w:spacing w:before="0" w:after="0" w:line="240" w:lineRule="auto"/>
      </w:pPr>
      <w:rPr>
        <w:b/>
        <w:bCs/>
      </w:rPr>
      <w:tblPr/>
      <w:tcPr>
        <w:tcBorders>
          <w:top w:val="double" w:sz="6" w:space="0" w:color="0B1F2C" w:themeColor="text1"/>
          <w:left w:val="single" w:sz="8" w:space="0" w:color="0B1F2C" w:themeColor="text1"/>
          <w:bottom w:val="single" w:sz="8" w:space="0" w:color="0B1F2C" w:themeColor="text1"/>
          <w:right w:val="single" w:sz="8" w:space="0" w:color="0B1F2C" w:themeColor="text1"/>
        </w:tcBorders>
      </w:tcPr>
    </w:tblStylePr>
    <w:tblStylePr w:type="firstCol">
      <w:rPr>
        <w:b/>
        <w:bCs/>
      </w:rPr>
    </w:tblStylePr>
    <w:tblStylePr w:type="lastCol">
      <w:rPr>
        <w:b/>
        <w:bCs/>
      </w:rPr>
    </w:tblStylePr>
    <w:tblStylePr w:type="band1Vert">
      <w:tblPr/>
      <w:tcPr>
        <w:tcBorders>
          <w:top w:val="single" w:sz="8" w:space="0" w:color="0B1F2C" w:themeColor="text1"/>
          <w:left w:val="single" w:sz="8" w:space="0" w:color="0B1F2C" w:themeColor="text1"/>
          <w:bottom w:val="single" w:sz="8" w:space="0" w:color="0B1F2C" w:themeColor="text1"/>
          <w:right w:val="single" w:sz="8" w:space="0" w:color="0B1F2C" w:themeColor="text1"/>
        </w:tcBorders>
      </w:tcPr>
    </w:tblStylePr>
    <w:tblStylePr w:type="band1Horz">
      <w:tblPr/>
      <w:tcPr>
        <w:tcBorders>
          <w:top w:val="single" w:sz="8" w:space="0" w:color="0B1F2C" w:themeColor="text1"/>
          <w:left w:val="single" w:sz="8" w:space="0" w:color="0B1F2C" w:themeColor="text1"/>
          <w:bottom w:val="single" w:sz="8" w:space="0" w:color="0B1F2C" w:themeColor="text1"/>
          <w:right w:val="single" w:sz="8" w:space="0" w:color="0B1F2C" w:themeColor="text1"/>
        </w:tcBorders>
      </w:tcPr>
    </w:tblStylePr>
  </w:style>
  <w:style w:type="table" w:styleId="LightList-Accent1">
    <w:name w:val="Light List Accent 1"/>
    <w:basedOn w:val="TableNormal"/>
    <w:uiPriority w:val="61"/>
    <w:semiHidden/>
    <w:unhideWhenUsed/>
    <w:rsid w:val="0090719C"/>
    <w:tblPr>
      <w:tblStyleRowBandSize w:val="1"/>
      <w:tblStyleColBandSize w:val="1"/>
      <w:tblBorders>
        <w:top w:val="single" w:sz="8" w:space="0" w:color="009FE3" w:themeColor="accent1"/>
        <w:left w:val="single" w:sz="8" w:space="0" w:color="009FE3" w:themeColor="accent1"/>
        <w:bottom w:val="single" w:sz="8" w:space="0" w:color="009FE3" w:themeColor="accent1"/>
        <w:right w:val="single" w:sz="8" w:space="0" w:color="009FE3" w:themeColor="accent1"/>
      </w:tblBorders>
    </w:tblPr>
    <w:tblStylePr w:type="firstRow">
      <w:pPr>
        <w:spacing w:before="0" w:after="0" w:line="240" w:lineRule="auto"/>
      </w:pPr>
      <w:rPr>
        <w:b/>
        <w:bCs/>
        <w:color w:val="FFFFFF" w:themeColor="background1"/>
      </w:rPr>
      <w:tblPr/>
      <w:tcPr>
        <w:shd w:val="clear" w:color="auto" w:fill="009FE3" w:themeFill="accent1"/>
      </w:tcPr>
    </w:tblStylePr>
    <w:tblStylePr w:type="lastRow">
      <w:pPr>
        <w:spacing w:before="0" w:after="0" w:line="240" w:lineRule="auto"/>
      </w:pPr>
      <w:rPr>
        <w:b/>
        <w:bCs/>
      </w:rPr>
      <w:tblPr/>
      <w:tcPr>
        <w:tcBorders>
          <w:top w:val="double" w:sz="6" w:space="0" w:color="009FE3" w:themeColor="accent1"/>
          <w:left w:val="single" w:sz="8" w:space="0" w:color="009FE3" w:themeColor="accent1"/>
          <w:bottom w:val="single" w:sz="8" w:space="0" w:color="009FE3" w:themeColor="accent1"/>
          <w:right w:val="single" w:sz="8" w:space="0" w:color="009FE3" w:themeColor="accent1"/>
        </w:tcBorders>
      </w:tcPr>
    </w:tblStylePr>
    <w:tblStylePr w:type="firstCol">
      <w:rPr>
        <w:b/>
        <w:bCs/>
      </w:rPr>
    </w:tblStylePr>
    <w:tblStylePr w:type="lastCol">
      <w:rPr>
        <w:b/>
        <w:bCs/>
      </w:rPr>
    </w:tblStylePr>
    <w:tblStylePr w:type="band1Vert">
      <w:tblPr/>
      <w:tcPr>
        <w:tcBorders>
          <w:top w:val="single" w:sz="8" w:space="0" w:color="009FE3" w:themeColor="accent1"/>
          <w:left w:val="single" w:sz="8" w:space="0" w:color="009FE3" w:themeColor="accent1"/>
          <w:bottom w:val="single" w:sz="8" w:space="0" w:color="009FE3" w:themeColor="accent1"/>
          <w:right w:val="single" w:sz="8" w:space="0" w:color="009FE3" w:themeColor="accent1"/>
        </w:tcBorders>
      </w:tcPr>
    </w:tblStylePr>
    <w:tblStylePr w:type="band1Horz">
      <w:tblPr/>
      <w:tcPr>
        <w:tcBorders>
          <w:top w:val="single" w:sz="8" w:space="0" w:color="009FE3" w:themeColor="accent1"/>
          <w:left w:val="single" w:sz="8" w:space="0" w:color="009FE3" w:themeColor="accent1"/>
          <w:bottom w:val="single" w:sz="8" w:space="0" w:color="009FE3" w:themeColor="accent1"/>
          <w:right w:val="single" w:sz="8" w:space="0" w:color="009FE3" w:themeColor="accent1"/>
        </w:tcBorders>
      </w:tcPr>
    </w:tblStylePr>
  </w:style>
  <w:style w:type="table" w:styleId="LightList-Accent2">
    <w:name w:val="Light List Accent 2"/>
    <w:basedOn w:val="TableNormal"/>
    <w:uiPriority w:val="61"/>
    <w:semiHidden/>
    <w:unhideWhenUsed/>
    <w:rsid w:val="0090719C"/>
    <w:tblPr>
      <w:tblStyleRowBandSize w:val="1"/>
      <w:tblStyleColBandSize w:val="1"/>
      <w:tblBorders>
        <w:top w:val="single" w:sz="8" w:space="0" w:color="800080" w:themeColor="accent2"/>
        <w:left w:val="single" w:sz="8" w:space="0" w:color="800080" w:themeColor="accent2"/>
        <w:bottom w:val="single" w:sz="8" w:space="0" w:color="800080" w:themeColor="accent2"/>
        <w:right w:val="single" w:sz="8" w:space="0" w:color="800080" w:themeColor="accent2"/>
      </w:tblBorders>
    </w:tblPr>
    <w:tblStylePr w:type="firstRow">
      <w:pPr>
        <w:spacing w:before="0" w:after="0" w:line="240" w:lineRule="auto"/>
      </w:pPr>
      <w:rPr>
        <w:b/>
        <w:bCs/>
        <w:color w:val="FFFFFF" w:themeColor="background1"/>
      </w:rPr>
      <w:tblPr/>
      <w:tcPr>
        <w:shd w:val="clear" w:color="auto" w:fill="800080" w:themeFill="accent2"/>
      </w:tcPr>
    </w:tblStylePr>
    <w:tblStylePr w:type="lastRow">
      <w:pPr>
        <w:spacing w:before="0" w:after="0" w:line="240" w:lineRule="auto"/>
      </w:pPr>
      <w:rPr>
        <w:b/>
        <w:bCs/>
      </w:rPr>
      <w:tblPr/>
      <w:tcPr>
        <w:tcBorders>
          <w:top w:val="double" w:sz="6" w:space="0" w:color="800080" w:themeColor="accent2"/>
          <w:left w:val="single" w:sz="8" w:space="0" w:color="800080" w:themeColor="accent2"/>
          <w:bottom w:val="single" w:sz="8" w:space="0" w:color="800080" w:themeColor="accent2"/>
          <w:right w:val="single" w:sz="8" w:space="0" w:color="800080" w:themeColor="accent2"/>
        </w:tcBorders>
      </w:tcPr>
    </w:tblStylePr>
    <w:tblStylePr w:type="firstCol">
      <w:rPr>
        <w:b/>
        <w:bCs/>
      </w:rPr>
    </w:tblStylePr>
    <w:tblStylePr w:type="lastCol">
      <w:rPr>
        <w:b/>
        <w:bCs/>
      </w:rPr>
    </w:tblStylePr>
    <w:tblStylePr w:type="band1Vert">
      <w:tblPr/>
      <w:tcPr>
        <w:tcBorders>
          <w:top w:val="single" w:sz="8" w:space="0" w:color="800080" w:themeColor="accent2"/>
          <w:left w:val="single" w:sz="8" w:space="0" w:color="800080" w:themeColor="accent2"/>
          <w:bottom w:val="single" w:sz="8" w:space="0" w:color="800080" w:themeColor="accent2"/>
          <w:right w:val="single" w:sz="8" w:space="0" w:color="800080" w:themeColor="accent2"/>
        </w:tcBorders>
      </w:tcPr>
    </w:tblStylePr>
    <w:tblStylePr w:type="band1Horz">
      <w:tblPr/>
      <w:tcPr>
        <w:tcBorders>
          <w:top w:val="single" w:sz="8" w:space="0" w:color="800080" w:themeColor="accent2"/>
          <w:left w:val="single" w:sz="8" w:space="0" w:color="800080" w:themeColor="accent2"/>
          <w:bottom w:val="single" w:sz="8" w:space="0" w:color="800080" w:themeColor="accent2"/>
          <w:right w:val="single" w:sz="8" w:space="0" w:color="800080" w:themeColor="accent2"/>
        </w:tcBorders>
      </w:tcPr>
    </w:tblStylePr>
  </w:style>
  <w:style w:type="table" w:styleId="LightList-Accent3">
    <w:name w:val="Light List Accent 3"/>
    <w:basedOn w:val="TableNormal"/>
    <w:uiPriority w:val="61"/>
    <w:semiHidden/>
    <w:unhideWhenUsed/>
    <w:rsid w:val="0090719C"/>
    <w:tblPr>
      <w:tblStyleRowBandSize w:val="1"/>
      <w:tblStyleColBandSize w:val="1"/>
      <w:tblBorders>
        <w:top w:val="single" w:sz="8" w:space="0" w:color="26C0BC" w:themeColor="accent3"/>
        <w:left w:val="single" w:sz="8" w:space="0" w:color="26C0BC" w:themeColor="accent3"/>
        <w:bottom w:val="single" w:sz="8" w:space="0" w:color="26C0BC" w:themeColor="accent3"/>
        <w:right w:val="single" w:sz="8" w:space="0" w:color="26C0BC" w:themeColor="accent3"/>
      </w:tblBorders>
    </w:tblPr>
    <w:tblStylePr w:type="firstRow">
      <w:pPr>
        <w:spacing w:before="0" w:after="0" w:line="240" w:lineRule="auto"/>
      </w:pPr>
      <w:rPr>
        <w:b/>
        <w:bCs/>
        <w:color w:val="FFFFFF" w:themeColor="background1"/>
      </w:rPr>
      <w:tblPr/>
      <w:tcPr>
        <w:shd w:val="clear" w:color="auto" w:fill="26C0BC" w:themeFill="accent3"/>
      </w:tcPr>
    </w:tblStylePr>
    <w:tblStylePr w:type="lastRow">
      <w:pPr>
        <w:spacing w:before="0" w:after="0" w:line="240" w:lineRule="auto"/>
      </w:pPr>
      <w:rPr>
        <w:b/>
        <w:bCs/>
      </w:rPr>
      <w:tblPr/>
      <w:tcPr>
        <w:tcBorders>
          <w:top w:val="double" w:sz="6" w:space="0" w:color="26C0BC" w:themeColor="accent3"/>
          <w:left w:val="single" w:sz="8" w:space="0" w:color="26C0BC" w:themeColor="accent3"/>
          <w:bottom w:val="single" w:sz="8" w:space="0" w:color="26C0BC" w:themeColor="accent3"/>
          <w:right w:val="single" w:sz="8" w:space="0" w:color="26C0BC" w:themeColor="accent3"/>
        </w:tcBorders>
      </w:tcPr>
    </w:tblStylePr>
    <w:tblStylePr w:type="firstCol">
      <w:rPr>
        <w:b/>
        <w:bCs/>
      </w:rPr>
    </w:tblStylePr>
    <w:tblStylePr w:type="lastCol">
      <w:rPr>
        <w:b/>
        <w:bCs/>
      </w:rPr>
    </w:tblStylePr>
    <w:tblStylePr w:type="band1Vert">
      <w:tblPr/>
      <w:tcPr>
        <w:tcBorders>
          <w:top w:val="single" w:sz="8" w:space="0" w:color="26C0BC" w:themeColor="accent3"/>
          <w:left w:val="single" w:sz="8" w:space="0" w:color="26C0BC" w:themeColor="accent3"/>
          <w:bottom w:val="single" w:sz="8" w:space="0" w:color="26C0BC" w:themeColor="accent3"/>
          <w:right w:val="single" w:sz="8" w:space="0" w:color="26C0BC" w:themeColor="accent3"/>
        </w:tcBorders>
      </w:tcPr>
    </w:tblStylePr>
    <w:tblStylePr w:type="band1Horz">
      <w:tblPr/>
      <w:tcPr>
        <w:tcBorders>
          <w:top w:val="single" w:sz="8" w:space="0" w:color="26C0BC" w:themeColor="accent3"/>
          <w:left w:val="single" w:sz="8" w:space="0" w:color="26C0BC" w:themeColor="accent3"/>
          <w:bottom w:val="single" w:sz="8" w:space="0" w:color="26C0BC" w:themeColor="accent3"/>
          <w:right w:val="single" w:sz="8" w:space="0" w:color="26C0BC" w:themeColor="accent3"/>
        </w:tcBorders>
      </w:tcPr>
    </w:tblStylePr>
  </w:style>
  <w:style w:type="table" w:styleId="LightList-Accent4">
    <w:name w:val="Light List Accent 4"/>
    <w:basedOn w:val="TableNormal"/>
    <w:uiPriority w:val="61"/>
    <w:semiHidden/>
    <w:unhideWhenUsed/>
    <w:rsid w:val="0090719C"/>
    <w:tblPr>
      <w:tblStyleRowBandSize w:val="1"/>
      <w:tblStyleColBandSize w:val="1"/>
      <w:tblBorders>
        <w:top w:val="single" w:sz="8" w:space="0" w:color="C5446E" w:themeColor="accent4"/>
        <w:left w:val="single" w:sz="8" w:space="0" w:color="C5446E" w:themeColor="accent4"/>
        <w:bottom w:val="single" w:sz="8" w:space="0" w:color="C5446E" w:themeColor="accent4"/>
        <w:right w:val="single" w:sz="8" w:space="0" w:color="C5446E" w:themeColor="accent4"/>
      </w:tblBorders>
    </w:tblPr>
    <w:tblStylePr w:type="firstRow">
      <w:pPr>
        <w:spacing w:before="0" w:after="0" w:line="240" w:lineRule="auto"/>
      </w:pPr>
      <w:rPr>
        <w:b/>
        <w:bCs/>
        <w:color w:val="FFFFFF" w:themeColor="background1"/>
      </w:rPr>
      <w:tblPr/>
      <w:tcPr>
        <w:shd w:val="clear" w:color="auto" w:fill="C5446E" w:themeFill="accent4"/>
      </w:tcPr>
    </w:tblStylePr>
    <w:tblStylePr w:type="lastRow">
      <w:pPr>
        <w:spacing w:before="0" w:after="0" w:line="240" w:lineRule="auto"/>
      </w:pPr>
      <w:rPr>
        <w:b/>
        <w:bCs/>
      </w:rPr>
      <w:tblPr/>
      <w:tcPr>
        <w:tcBorders>
          <w:top w:val="double" w:sz="6" w:space="0" w:color="C5446E" w:themeColor="accent4"/>
          <w:left w:val="single" w:sz="8" w:space="0" w:color="C5446E" w:themeColor="accent4"/>
          <w:bottom w:val="single" w:sz="8" w:space="0" w:color="C5446E" w:themeColor="accent4"/>
          <w:right w:val="single" w:sz="8" w:space="0" w:color="C5446E" w:themeColor="accent4"/>
        </w:tcBorders>
      </w:tcPr>
    </w:tblStylePr>
    <w:tblStylePr w:type="firstCol">
      <w:rPr>
        <w:b/>
        <w:bCs/>
      </w:rPr>
    </w:tblStylePr>
    <w:tblStylePr w:type="lastCol">
      <w:rPr>
        <w:b/>
        <w:bCs/>
      </w:rPr>
    </w:tblStylePr>
    <w:tblStylePr w:type="band1Vert">
      <w:tblPr/>
      <w:tcPr>
        <w:tcBorders>
          <w:top w:val="single" w:sz="8" w:space="0" w:color="C5446E" w:themeColor="accent4"/>
          <w:left w:val="single" w:sz="8" w:space="0" w:color="C5446E" w:themeColor="accent4"/>
          <w:bottom w:val="single" w:sz="8" w:space="0" w:color="C5446E" w:themeColor="accent4"/>
          <w:right w:val="single" w:sz="8" w:space="0" w:color="C5446E" w:themeColor="accent4"/>
        </w:tcBorders>
      </w:tcPr>
    </w:tblStylePr>
    <w:tblStylePr w:type="band1Horz">
      <w:tblPr/>
      <w:tcPr>
        <w:tcBorders>
          <w:top w:val="single" w:sz="8" w:space="0" w:color="C5446E" w:themeColor="accent4"/>
          <w:left w:val="single" w:sz="8" w:space="0" w:color="C5446E" w:themeColor="accent4"/>
          <w:bottom w:val="single" w:sz="8" w:space="0" w:color="C5446E" w:themeColor="accent4"/>
          <w:right w:val="single" w:sz="8" w:space="0" w:color="C5446E" w:themeColor="accent4"/>
        </w:tcBorders>
      </w:tcPr>
    </w:tblStylePr>
  </w:style>
  <w:style w:type="table" w:styleId="LightList-Accent5">
    <w:name w:val="Light List Accent 5"/>
    <w:basedOn w:val="TableNormal"/>
    <w:uiPriority w:val="61"/>
    <w:semiHidden/>
    <w:unhideWhenUsed/>
    <w:rsid w:val="0090719C"/>
    <w:tblPr>
      <w:tblStyleRowBandSize w:val="1"/>
      <w:tblStyleColBandSize w:val="1"/>
      <w:tblBorders>
        <w:top w:val="single" w:sz="8" w:space="0" w:color="0B1F2C" w:themeColor="accent5"/>
        <w:left w:val="single" w:sz="8" w:space="0" w:color="0B1F2C" w:themeColor="accent5"/>
        <w:bottom w:val="single" w:sz="8" w:space="0" w:color="0B1F2C" w:themeColor="accent5"/>
        <w:right w:val="single" w:sz="8" w:space="0" w:color="0B1F2C" w:themeColor="accent5"/>
      </w:tblBorders>
    </w:tblPr>
    <w:tblStylePr w:type="firstRow">
      <w:pPr>
        <w:spacing w:before="0" w:after="0" w:line="240" w:lineRule="auto"/>
      </w:pPr>
      <w:rPr>
        <w:b/>
        <w:bCs/>
        <w:color w:val="FFFFFF" w:themeColor="background1"/>
      </w:rPr>
      <w:tblPr/>
      <w:tcPr>
        <w:shd w:val="clear" w:color="auto" w:fill="0B1F2C" w:themeFill="accent5"/>
      </w:tcPr>
    </w:tblStylePr>
    <w:tblStylePr w:type="lastRow">
      <w:pPr>
        <w:spacing w:before="0" w:after="0" w:line="240" w:lineRule="auto"/>
      </w:pPr>
      <w:rPr>
        <w:b/>
        <w:bCs/>
      </w:rPr>
      <w:tblPr/>
      <w:tcPr>
        <w:tcBorders>
          <w:top w:val="double" w:sz="6" w:space="0" w:color="0B1F2C" w:themeColor="accent5"/>
          <w:left w:val="single" w:sz="8" w:space="0" w:color="0B1F2C" w:themeColor="accent5"/>
          <w:bottom w:val="single" w:sz="8" w:space="0" w:color="0B1F2C" w:themeColor="accent5"/>
          <w:right w:val="single" w:sz="8" w:space="0" w:color="0B1F2C" w:themeColor="accent5"/>
        </w:tcBorders>
      </w:tcPr>
    </w:tblStylePr>
    <w:tblStylePr w:type="firstCol">
      <w:rPr>
        <w:b/>
        <w:bCs/>
      </w:rPr>
    </w:tblStylePr>
    <w:tblStylePr w:type="lastCol">
      <w:rPr>
        <w:b/>
        <w:bCs/>
      </w:rPr>
    </w:tblStylePr>
    <w:tblStylePr w:type="band1Vert">
      <w:tblPr/>
      <w:tcPr>
        <w:tcBorders>
          <w:top w:val="single" w:sz="8" w:space="0" w:color="0B1F2C" w:themeColor="accent5"/>
          <w:left w:val="single" w:sz="8" w:space="0" w:color="0B1F2C" w:themeColor="accent5"/>
          <w:bottom w:val="single" w:sz="8" w:space="0" w:color="0B1F2C" w:themeColor="accent5"/>
          <w:right w:val="single" w:sz="8" w:space="0" w:color="0B1F2C" w:themeColor="accent5"/>
        </w:tcBorders>
      </w:tcPr>
    </w:tblStylePr>
    <w:tblStylePr w:type="band1Horz">
      <w:tblPr/>
      <w:tcPr>
        <w:tcBorders>
          <w:top w:val="single" w:sz="8" w:space="0" w:color="0B1F2C" w:themeColor="accent5"/>
          <w:left w:val="single" w:sz="8" w:space="0" w:color="0B1F2C" w:themeColor="accent5"/>
          <w:bottom w:val="single" w:sz="8" w:space="0" w:color="0B1F2C" w:themeColor="accent5"/>
          <w:right w:val="single" w:sz="8" w:space="0" w:color="0B1F2C" w:themeColor="accent5"/>
        </w:tcBorders>
      </w:tcPr>
    </w:tblStylePr>
  </w:style>
  <w:style w:type="table" w:styleId="LightList-Accent6">
    <w:name w:val="Light List Accent 6"/>
    <w:basedOn w:val="TableNormal"/>
    <w:uiPriority w:val="61"/>
    <w:semiHidden/>
    <w:unhideWhenUsed/>
    <w:rsid w:val="0090719C"/>
    <w:tblPr>
      <w:tblStyleRowBandSize w:val="1"/>
      <w:tblStyleColBandSize w:val="1"/>
      <w:tblBorders>
        <w:top w:val="single" w:sz="8" w:space="0" w:color="909090" w:themeColor="accent6"/>
        <w:left w:val="single" w:sz="8" w:space="0" w:color="909090" w:themeColor="accent6"/>
        <w:bottom w:val="single" w:sz="8" w:space="0" w:color="909090" w:themeColor="accent6"/>
        <w:right w:val="single" w:sz="8" w:space="0" w:color="909090" w:themeColor="accent6"/>
      </w:tblBorders>
    </w:tblPr>
    <w:tblStylePr w:type="firstRow">
      <w:pPr>
        <w:spacing w:before="0" w:after="0" w:line="240" w:lineRule="auto"/>
      </w:pPr>
      <w:rPr>
        <w:b/>
        <w:bCs/>
        <w:color w:val="FFFFFF" w:themeColor="background1"/>
      </w:rPr>
      <w:tblPr/>
      <w:tcPr>
        <w:shd w:val="clear" w:color="auto" w:fill="909090" w:themeFill="accent6"/>
      </w:tcPr>
    </w:tblStylePr>
    <w:tblStylePr w:type="lastRow">
      <w:pPr>
        <w:spacing w:before="0" w:after="0" w:line="240" w:lineRule="auto"/>
      </w:pPr>
      <w:rPr>
        <w:b/>
        <w:bCs/>
      </w:rPr>
      <w:tblPr/>
      <w:tcPr>
        <w:tcBorders>
          <w:top w:val="double" w:sz="6" w:space="0" w:color="909090" w:themeColor="accent6"/>
          <w:left w:val="single" w:sz="8" w:space="0" w:color="909090" w:themeColor="accent6"/>
          <w:bottom w:val="single" w:sz="8" w:space="0" w:color="909090" w:themeColor="accent6"/>
          <w:right w:val="single" w:sz="8" w:space="0" w:color="909090" w:themeColor="accent6"/>
        </w:tcBorders>
      </w:tcPr>
    </w:tblStylePr>
    <w:tblStylePr w:type="firstCol">
      <w:rPr>
        <w:b/>
        <w:bCs/>
      </w:rPr>
    </w:tblStylePr>
    <w:tblStylePr w:type="lastCol">
      <w:rPr>
        <w:b/>
        <w:bCs/>
      </w:rPr>
    </w:tblStylePr>
    <w:tblStylePr w:type="band1Vert">
      <w:tblPr/>
      <w:tcPr>
        <w:tcBorders>
          <w:top w:val="single" w:sz="8" w:space="0" w:color="909090" w:themeColor="accent6"/>
          <w:left w:val="single" w:sz="8" w:space="0" w:color="909090" w:themeColor="accent6"/>
          <w:bottom w:val="single" w:sz="8" w:space="0" w:color="909090" w:themeColor="accent6"/>
          <w:right w:val="single" w:sz="8" w:space="0" w:color="909090" w:themeColor="accent6"/>
        </w:tcBorders>
      </w:tcPr>
    </w:tblStylePr>
    <w:tblStylePr w:type="band1Horz">
      <w:tblPr/>
      <w:tcPr>
        <w:tcBorders>
          <w:top w:val="single" w:sz="8" w:space="0" w:color="909090" w:themeColor="accent6"/>
          <w:left w:val="single" w:sz="8" w:space="0" w:color="909090" w:themeColor="accent6"/>
          <w:bottom w:val="single" w:sz="8" w:space="0" w:color="909090" w:themeColor="accent6"/>
          <w:right w:val="single" w:sz="8" w:space="0" w:color="909090" w:themeColor="accent6"/>
        </w:tcBorders>
      </w:tcPr>
    </w:tblStylePr>
  </w:style>
  <w:style w:type="table" w:styleId="LightShading">
    <w:name w:val="Light Shading"/>
    <w:basedOn w:val="TableNormal"/>
    <w:uiPriority w:val="60"/>
    <w:semiHidden/>
    <w:unhideWhenUsed/>
    <w:rsid w:val="0090719C"/>
    <w:rPr>
      <w:color w:val="081720" w:themeColor="text1" w:themeShade="BF"/>
    </w:rPr>
    <w:tblPr>
      <w:tblStyleRowBandSize w:val="1"/>
      <w:tblStyleColBandSize w:val="1"/>
      <w:tblBorders>
        <w:top w:val="single" w:sz="8" w:space="0" w:color="0B1F2C" w:themeColor="text1"/>
        <w:bottom w:val="single" w:sz="8" w:space="0" w:color="0B1F2C" w:themeColor="text1"/>
      </w:tblBorders>
    </w:tblPr>
    <w:tblStylePr w:type="firstRow">
      <w:pPr>
        <w:spacing w:before="0" w:after="0" w:line="240" w:lineRule="auto"/>
      </w:pPr>
      <w:rPr>
        <w:b/>
        <w:bCs/>
      </w:rPr>
      <w:tblPr/>
      <w:tcPr>
        <w:tcBorders>
          <w:top w:val="single" w:sz="8" w:space="0" w:color="0B1F2C" w:themeColor="text1"/>
          <w:left w:val="nil"/>
          <w:bottom w:val="single" w:sz="8" w:space="0" w:color="0B1F2C" w:themeColor="text1"/>
          <w:right w:val="nil"/>
          <w:insideH w:val="nil"/>
          <w:insideV w:val="nil"/>
        </w:tcBorders>
      </w:tcPr>
    </w:tblStylePr>
    <w:tblStylePr w:type="lastRow">
      <w:pPr>
        <w:spacing w:before="0" w:after="0" w:line="240" w:lineRule="auto"/>
      </w:pPr>
      <w:rPr>
        <w:b/>
        <w:bCs/>
      </w:rPr>
      <w:tblPr/>
      <w:tcPr>
        <w:tcBorders>
          <w:top w:val="single" w:sz="8" w:space="0" w:color="0B1F2C" w:themeColor="text1"/>
          <w:left w:val="nil"/>
          <w:bottom w:val="single" w:sz="8" w:space="0" w:color="0B1F2C"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CDE8" w:themeFill="text1" w:themeFillTint="3F"/>
      </w:tcPr>
    </w:tblStylePr>
    <w:tblStylePr w:type="band1Horz">
      <w:tblPr/>
      <w:tcPr>
        <w:tcBorders>
          <w:left w:val="nil"/>
          <w:right w:val="nil"/>
          <w:insideH w:val="nil"/>
          <w:insideV w:val="nil"/>
        </w:tcBorders>
        <w:shd w:val="clear" w:color="auto" w:fill="A4CDE8" w:themeFill="text1" w:themeFillTint="3F"/>
      </w:tcPr>
    </w:tblStylePr>
  </w:style>
  <w:style w:type="table" w:styleId="LightShading-Accent1">
    <w:name w:val="Light Shading Accent 1"/>
    <w:basedOn w:val="TableNormal"/>
    <w:uiPriority w:val="60"/>
    <w:semiHidden/>
    <w:unhideWhenUsed/>
    <w:rsid w:val="0090719C"/>
    <w:rPr>
      <w:color w:val="0076AA" w:themeColor="accent1" w:themeShade="BF"/>
    </w:rPr>
    <w:tblPr>
      <w:tblStyleRowBandSize w:val="1"/>
      <w:tblStyleColBandSize w:val="1"/>
      <w:tblBorders>
        <w:top w:val="single" w:sz="8" w:space="0" w:color="009FE3" w:themeColor="accent1"/>
        <w:bottom w:val="single" w:sz="8" w:space="0" w:color="009FE3" w:themeColor="accent1"/>
      </w:tblBorders>
    </w:tblPr>
    <w:tblStylePr w:type="firstRow">
      <w:pPr>
        <w:spacing w:before="0" w:after="0" w:line="240" w:lineRule="auto"/>
      </w:pPr>
      <w:rPr>
        <w:b/>
        <w:bCs/>
      </w:rPr>
      <w:tblPr/>
      <w:tcPr>
        <w:tcBorders>
          <w:top w:val="single" w:sz="8" w:space="0" w:color="009FE3" w:themeColor="accent1"/>
          <w:left w:val="nil"/>
          <w:bottom w:val="single" w:sz="8" w:space="0" w:color="009FE3" w:themeColor="accent1"/>
          <w:right w:val="nil"/>
          <w:insideH w:val="nil"/>
          <w:insideV w:val="nil"/>
        </w:tcBorders>
      </w:tcPr>
    </w:tblStylePr>
    <w:tblStylePr w:type="lastRow">
      <w:pPr>
        <w:spacing w:before="0" w:after="0" w:line="240" w:lineRule="auto"/>
      </w:pPr>
      <w:rPr>
        <w:b/>
        <w:bCs/>
      </w:rPr>
      <w:tblPr/>
      <w:tcPr>
        <w:tcBorders>
          <w:top w:val="single" w:sz="8" w:space="0" w:color="009FE3" w:themeColor="accent1"/>
          <w:left w:val="nil"/>
          <w:bottom w:val="single" w:sz="8" w:space="0" w:color="009FE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9FF" w:themeFill="accent1" w:themeFillTint="3F"/>
      </w:tcPr>
    </w:tblStylePr>
    <w:tblStylePr w:type="band1Horz">
      <w:tblPr/>
      <w:tcPr>
        <w:tcBorders>
          <w:left w:val="nil"/>
          <w:right w:val="nil"/>
          <w:insideH w:val="nil"/>
          <w:insideV w:val="nil"/>
        </w:tcBorders>
        <w:shd w:val="clear" w:color="auto" w:fill="B9E9FF" w:themeFill="accent1" w:themeFillTint="3F"/>
      </w:tcPr>
    </w:tblStylePr>
  </w:style>
  <w:style w:type="table" w:styleId="LightShading-Accent2">
    <w:name w:val="Light Shading Accent 2"/>
    <w:basedOn w:val="TableNormal"/>
    <w:uiPriority w:val="60"/>
    <w:semiHidden/>
    <w:unhideWhenUsed/>
    <w:rsid w:val="0090719C"/>
    <w:rPr>
      <w:color w:val="5F005F" w:themeColor="accent2" w:themeShade="BF"/>
    </w:rPr>
    <w:tblPr>
      <w:tblStyleRowBandSize w:val="1"/>
      <w:tblStyleColBandSize w:val="1"/>
      <w:tblBorders>
        <w:top w:val="single" w:sz="8" w:space="0" w:color="800080" w:themeColor="accent2"/>
        <w:bottom w:val="single" w:sz="8" w:space="0" w:color="800080" w:themeColor="accent2"/>
      </w:tblBorders>
    </w:tblPr>
    <w:tblStylePr w:type="firstRow">
      <w:pPr>
        <w:spacing w:before="0" w:after="0" w:line="240" w:lineRule="auto"/>
      </w:pPr>
      <w:rPr>
        <w:b/>
        <w:bCs/>
      </w:rPr>
      <w:tblPr/>
      <w:tcPr>
        <w:tcBorders>
          <w:top w:val="single" w:sz="8" w:space="0" w:color="800080" w:themeColor="accent2"/>
          <w:left w:val="nil"/>
          <w:bottom w:val="single" w:sz="8" w:space="0" w:color="800080" w:themeColor="accent2"/>
          <w:right w:val="nil"/>
          <w:insideH w:val="nil"/>
          <w:insideV w:val="nil"/>
        </w:tcBorders>
      </w:tcPr>
    </w:tblStylePr>
    <w:tblStylePr w:type="lastRow">
      <w:pPr>
        <w:spacing w:before="0" w:after="0" w:line="240" w:lineRule="auto"/>
      </w:pPr>
      <w:rPr>
        <w:b/>
        <w:bCs/>
      </w:rPr>
      <w:tblPr/>
      <w:tcPr>
        <w:tcBorders>
          <w:top w:val="single" w:sz="8" w:space="0" w:color="800080" w:themeColor="accent2"/>
          <w:left w:val="nil"/>
          <w:bottom w:val="single" w:sz="8" w:space="0" w:color="80008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0FF" w:themeFill="accent2" w:themeFillTint="3F"/>
      </w:tcPr>
    </w:tblStylePr>
    <w:tblStylePr w:type="band1Horz">
      <w:tblPr/>
      <w:tcPr>
        <w:tcBorders>
          <w:left w:val="nil"/>
          <w:right w:val="nil"/>
          <w:insideH w:val="nil"/>
          <w:insideV w:val="nil"/>
        </w:tcBorders>
        <w:shd w:val="clear" w:color="auto" w:fill="FFA0FF" w:themeFill="accent2" w:themeFillTint="3F"/>
      </w:tcPr>
    </w:tblStylePr>
  </w:style>
  <w:style w:type="table" w:styleId="LightShading-Accent3">
    <w:name w:val="Light Shading Accent 3"/>
    <w:basedOn w:val="TableNormal"/>
    <w:uiPriority w:val="60"/>
    <w:semiHidden/>
    <w:unhideWhenUsed/>
    <w:rsid w:val="0090719C"/>
    <w:rPr>
      <w:color w:val="1C8F8C" w:themeColor="accent3" w:themeShade="BF"/>
    </w:rPr>
    <w:tblPr>
      <w:tblStyleRowBandSize w:val="1"/>
      <w:tblStyleColBandSize w:val="1"/>
      <w:tblBorders>
        <w:top w:val="single" w:sz="8" w:space="0" w:color="26C0BC" w:themeColor="accent3"/>
        <w:bottom w:val="single" w:sz="8" w:space="0" w:color="26C0BC" w:themeColor="accent3"/>
      </w:tblBorders>
    </w:tblPr>
    <w:tblStylePr w:type="firstRow">
      <w:pPr>
        <w:spacing w:before="0" w:after="0" w:line="240" w:lineRule="auto"/>
      </w:pPr>
      <w:rPr>
        <w:b/>
        <w:bCs/>
      </w:rPr>
      <w:tblPr/>
      <w:tcPr>
        <w:tcBorders>
          <w:top w:val="single" w:sz="8" w:space="0" w:color="26C0BC" w:themeColor="accent3"/>
          <w:left w:val="nil"/>
          <w:bottom w:val="single" w:sz="8" w:space="0" w:color="26C0BC" w:themeColor="accent3"/>
          <w:right w:val="nil"/>
          <w:insideH w:val="nil"/>
          <w:insideV w:val="nil"/>
        </w:tcBorders>
      </w:tcPr>
    </w:tblStylePr>
    <w:tblStylePr w:type="lastRow">
      <w:pPr>
        <w:spacing w:before="0" w:after="0" w:line="240" w:lineRule="auto"/>
      </w:pPr>
      <w:rPr>
        <w:b/>
        <w:bCs/>
      </w:rPr>
      <w:tblPr/>
      <w:tcPr>
        <w:tcBorders>
          <w:top w:val="single" w:sz="8" w:space="0" w:color="26C0BC" w:themeColor="accent3"/>
          <w:left w:val="nil"/>
          <w:bottom w:val="single" w:sz="8" w:space="0" w:color="26C0B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3F2" w:themeFill="accent3" w:themeFillTint="3F"/>
      </w:tcPr>
    </w:tblStylePr>
    <w:tblStylePr w:type="band1Horz">
      <w:tblPr/>
      <w:tcPr>
        <w:tcBorders>
          <w:left w:val="nil"/>
          <w:right w:val="nil"/>
          <w:insideH w:val="nil"/>
          <w:insideV w:val="nil"/>
        </w:tcBorders>
        <w:shd w:val="clear" w:color="auto" w:fill="C5F3F2" w:themeFill="accent3" w:themeFillTint="3F"/>
      </w:tcPr>
    </w:tblStylePr>
  </w:style>
  <w:style w:type="table" w:styleId="LightShading-Accent4">
    <w:name w:val="Light Shading Accent 4"/>
    <w:basedOn w:val="TableNormal"/>
    <w:uiPriority w:val="60"/>
    <w:semiHidden/>
    <w:unhideWhenUsed/>
    <w:rsid w:val="0090719C"/>
    <w:rPr>
      <w:color w:val="972F50" w:themeColor="accent4" w:themeShade="BF"/>
    </w:rPr>
    <w:tblPr>
      <w:tblStyleRowBandSize w:val="1"/>
      <w:tblStyleColBandSize w:val="1"/>
      <w:tblBorders>
        <w:top w:val="single" w:sz="8" w:space="0" w:color="C5446E" w:themeColor="accent4"/>
        <w:bottom w:val="single" w:sz="8" w:space="0" w:color="C5446E" w:themeColor="accent4"/>
      </w:tblBorders>
    </w:tblPr>
    <w:tblStylePr w:type="firstRow">
      <w:pPr>
        <w:spacing w:before="0" w:after="0" w:line="240" w:lineRule="auto"/>
      </w:pPr>
      <w:rPr>
        <w:b/>
        <w:bCs/>
      </w:rPr>
      <w:tblPr/>
      <w:tcPr>
        <w:tcBorders>
          <w:top w:val="single" w:sz="8" w:space="0" w:color="C5446E" w:themeColor="accent4"/>
          <w:left w:val="nil"/>
          <w:bottom w:val="single" w:sz="8" w:space="0" w:color="C5446E" w:themeColor="accent4"/>
          <w:right w:val="nil"/>
          <w:insideH w:val="nil"/>
          <w:insideV w:val="nil"/>
        </w:tcBorders>
      </w:tcPr>
    </w:tblStylePr>
    <w:tblStylePr w:type="lastRow">
      <w:pPr>
        <w:spacing w:before="0" w:after="0" w:line="240" w:lineRule="auto"/>
      </w:pPr>
      <w:rPr>
        <w:b/>
        <w:bCs/>
      </w:rPr>
      <w:tblPr/>
      <w:tcPr>
        <w:tcBorders>
          <w:top w:val="single" w:sz="8" w:space="0" w:color="C5446E" w:themeColor="accent4"/>
          <w:left w:val="nil"/>
          <w:bottom w:val="single" w:sz="8" w:space="0" w:color="C544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D0DB" w:themeFill="accent4" w:themeFillTint="3F"/>
      </w:tcPr>
    </w:tblStylePr>
    <w:tblStylePr w:type="band1Horz">
      <w:tblPr/>
      <w:tcPr>
        <w:tcBorders>
          <w:left w:val="nil"/>
          <w:right w:val="nil"/>
          <w:insideH w:val="nil"/>
          <w:insideV w:val="nil"/>
        </w:tcBorders>
        <w:shd w:val="clear" w:color="auto" w:fill="F0D0DB" w:themeFill="accent4" w:themeFillTint="3F"/>
      </w:tcPr>
    </w:tblStylePr>
  </w:style>
  <w:style w:type="table" w:styleId="LightShading-Accent5">
    <w:name w:val="Light Shading Accent 5"/>
    <w:basedOn w:val="TableNormal"/>
    <w:uiPriority w:val="60"/>
    <w:semiHidden/>
    <w:unhideWhenUsed/>
    <w:rsid w:val="0090719C"/>
    <w:rPr>
      <w:color w:val="081720" w:themeColor="accent5" w:themeShade="BF"/>
    </w:rPr>
    <w:tblPr>
      <w:tblStyleRowBandSize w:val="1"/>
      <w:tblStyleColBandSize w:val="1"/>
      <w:tblBorders>
        <w:top w:val="single" w:sz="8" w:space="0" w:color="0B1F2C" w:themeColor="accent5"/>
        <w:bottom w:val="single" w:sz="8" w:space="0" w:color="0B1F2C" w:themeColor="accent5"/>
      </w:tblBorders>
    </w:tblPr>
    <w:tblStylePr w:type="firstRow">
      <w:pPr>
        <w:spacing w:before="0" w:after="0" w:line="240" w:lineRule="auto"/>
      </w:pPr>
      <w:rPr>
        <w:b/>
        <w:bCs/>
      </w:rPr>
      <w:tblPr/>
      <w:tcPr>
        <w:tcBorders>
          <w:top w:val="single" w:sz="8" w:space="0" w:color="0B1F2C" w:themeColor="accent5"/>
          <w:left w:val="nil"/>
          <w:bottom w:val="single" w:sz="8" w:space="0" w:color="0B1F2C" w:themeColor="accent5"/>
          <w:right w:val="nil"/>
          <w:insideH w:val="nil"/>
          <w:insideV w:val="nil"/>
        </w:tcBorders>
      </w:tcPr>
    </w:tblStylePr>
    <w:tblStylePr w:type="lastRow">
      <w:pPr>
        <w:spacing w:before="0" w:after="0" w:line="240" w:lineRule="auto"/>
      </w:pPr>
      <w:rPr>
        <w:b/>
        <w:bCs/>
      </w:rPr>
      <w:tblPr/>
      <w:tcPr>
        <w:tcBorders>
          <w:top w:val="single" w:sz="8" w:space="0" w:color="0B1F2C" w:themeColor="accent5"/>
          <w:left w:val="nil"/>
          <w:bottom w:val="single" w:sz="8" w:space="0" w:color="0B1F2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CDE8" w:themeFill="accent5" w:themeFillTint="3F"/>
      </w:tcPr>
    </w:tblStylePr>
    <w:tblStylePr w:type="band1Horz">
      <w:tblPr/>
      <w:tcPr>
        <w:tcBorders>
          <w:left w:val="nil"/>
          <w:right w:val="nil"/>
          <w:insideH w:val="nil"/>
          <w:insideV w:val="nil"/>
        </w:tcBorders>
        <w:shd w:val="clear" w:color="auto" w:fill="A4CDE8" w:themeFill="accent5" w:themeFillTint="3F"/>
      </w:tcPr>
    </w:tblStylePr>
  </w:style>
  <w:style w:type="table" w:styleId="LightShading-Accent6">
    <w:name w:val="Light Shading Accent 6"/>
    <w:basedOn w:val="TableNormal"/>
    <w:uiPriority w:val="60"/>
    <w:semiHidden/>
    <w:unhideWhenUsed/>
    <w:rsid w:val="0090719C"/>
    <w:rPr>
      <w:color w:val="6B6B6B" w:themeColor="accent6" w:themeShade="BF"/>
    </w:rPr>
    <w:tblPr>
      <w:tblStyleRowBandSize w:val="1"/>
      <w:tblStyleColBandSize w:val="1"/>
      <w:tblBorders>
        <w:top w:val="single" w:sz="8" w:space="0" w:color="909090" w:themeColor="accent6"/>
        <w:bottom w:val="single" w:sz="8" w:space="0" w:color="909090" w:themeColor="accent6"/>
      </w:tblBorders>
    </w:tblPr>
    <w:tblStylePr w:type="firstRow">
      <w:pPr>
        <w:spacing w:before="0" w:after="0" w:line="240" w:lineRule="auto"/>
      </w:pPr>
      <w:rPr>
        <w:b/>
        <w:bCs/>
      </w:rPr>
      <w:tblPr/>
      <w:tcPr>
        <w:tcBorders>
          <w:top w:val="single" w:sz="8" w:space="0" w:color="909090" w:themeColor="accent6"/>
          <w:left w:val="nil"/>
          <w:bottom w:val="single" w:sz="8" w:space="0" w:color="909090" w:themeColor="accent6"/>
          <w:right w:val="nil"/>
          <w:insideH w:val="nil"/>
          <w:insideV w:val="nil"/>
        </w:tcBorders>
      </w:tcPr>
    </w:tblStylePr>
    <w:tblStylePr w:type="lastRow">
      <w:pPr>
        <w:spacing w:before="0" w:after="0" w:line="240" w:lineRule="auto"/>
      </w:pPr>
      <w:rPr>
        <w:b/>
        <w:bCs/>
      </w:rPr>
      <w:tblPr/>
      <w:tcPr>
        <w:tcBorders>
          <w:top w:val="single" w:sz="8" w:space="0" w:color="909090" w:themeColor="accent6"/>
          <w:left w:val="nil"/>
          <w:bottom w:val="single" w:sz="8" w:space="0" w:color="90909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3E3" w:themeFill="accent6" w:themeFillTint="3F"/>
      </w:tcPr>
    </w:tblStylePr>
    <w:tblStylePr w:type="band1Horz">
      <w:tblPr/>
      <w:tcPr>
        <w:tcBorders>
          <w:left w:val="nil"/>
          <w:right w:val="nil"/>
          <w:insideH w:val="nil"/>
          <w:insideV w:val="nil"/>
        </w:tcBorders>
        <w:shd w:val="clear" w:color="auto" w:fill="E3E3E3" w:themeFill="accent6" w:themeFillTint="3F"/>
      </w:tcPr>
    </w:tblStylePr>
  </w:style>
  <w:style w:type="character" w:styleId="LineNumber">
    <w:name w:val="line number"/>
    <w:basedOn w:val="DefaultParagraphFont"/>
    <w:uiPriority w:val="99"/>
    <w:semiHidden/>
    <w:unhideWhenUsed/>
    <w:rsid w:val="0090719C"/>
    <w:rPr>
      <w:lang w:val="en-GB"/>
    </w:rPr>
  </w:style>
  <w:style w:type="paragraph" w:styleId="List">
    <w:name w:val="List"/>
    <w:basedOn w:val="Normal"/>
    <w:uiPriority w:val="99"/>
    <w:semiHidden/>
    <w:unhideWhenUsed/>
    <w:rsid w:val="0090719C"/>
    <w:pPr>
      <w:ind w:left="283" w:hanging="283"/>
      <w:contextualSpacing/>
    </w:pPr>
  </w:style>
  <w:style w:type="paragraph" w:styleId="List2">
    <w:name w:val="List 2"/>
    <w:basedOn w:val="Normal"/>
    <w:uiPriority w:val="99"/>
    <w:semiHidden/>
    <w:unhideWhenUsed/>
    <w:rsid w:val="0090719C"/>
    <w:pPr>
      <w:ind w:left="566" w:hanging="283"/>
      <w:contextualSpacing/>
    </w:pPr>
  </w:style>
  <w:style w:type="paragraph" w:styleId="List3">
    <w:name w:val="List 3"/>
    <w:basedOn w:val="Normal"/>
    <w:uiPriority w:val="99"/>
    <w:semiHidden/>
    <w:unhideWhenUsed/>
    <w:rsid w:val="0090719C"/>
    <w:pPr>
      <w:ind w:left="849" w:hanging="283"/>
      <w:contextualSpacing/>
    </w:pPr>
  </w:style>
  <w:style w:type="paragraph" w:styleId="List4">
    <w:name w:val="List 4"/>
    <w:basedOn w:val="Normal"/>
    <w:uiPriority w:val="99"/>
    <w:semiHidden/>
    <w:unhideWhenUsed/>
    <w:rsid w:val="0090719C"/>
    <w:pPr>
      <w:ind w:left="1132" w:hanging="283"/>
      <w:contextualSpacing/>
    </w:pPr>
  </w:style>
  <w:style w:type="paragraph" w:styleId="List5">
    <w:name w:val="List 5"/>
    <w:basedOn w:val="Normal"/>
    <w:uiPriority w:val="99"/>
    <w:semiHidden/>
    <w:unhideWhenUsed/>
    <w:rsid w:val="0090719C"/>
    <w:pPr>
      <w:ind w:left="1415" w:hanging="283"/>
      <w:contextualSpacing/>
    </w:pPr>
  </w:style>
  <w:style w:type="paragraph" w:styleId="ListBullet">
    <w:name w:val="List Bullet"/>
    <w:basedOn w:val="ListParagraph"/>
    <w:uiPriority w:val="99"/>
    <w:rsid w:val="00E2705A"/>
    <w:pPr>
      <w:numPr>
        <w:ilvl w:val="2"/>
        <w:numId w:val="2"/>
      </w:numPr>
      <w:tabs>
        <w:tab w:val="left" w:pos="963"/>
      </w:tabs>
      <w:spacing w:before="0" w:after="60"/>
      <w:ind w:left="454" w:hanging="454"/>
    </w:pPr>
  </w:style>
  <w:style w:type="paragraph" w:styleId="ListBullet2">
    <w:name w:val="List Bullet 2"/>
    <w:basedOn w:val="BodyText"/>
    <w:uiPriority w:val="19"/>
    <w:rsid w:val="00E2705A"/>
    <w:pPr>
      <w:numPr>
        <w:numId w:val="16"/>
      </w:numPr>
      <w:spacing w:before="60" w:after="60"/>
      <w:ind w:left="908" w:hanging="454"/>
    </w:pPr>
    <w:rPr>
      <w:spacing w:val="-2"/>
    </w:rPr>
  </w:style>
  <w:style w:type="paragraph" w:styleId="ListBullet3">
    <w:name w:val="List Bullet 3"/>
    <w:basedOn w:val="ListBullet"/>
    <w:uiPriority w:val="19"/>
    <w:rsid w:val="00E2705A"/>
    <w:pPr>
      <w:ind w:left="908"/>
    </w:pPr>
  </w:style>
  <w:style w:type="paragraph" w:styleId="ListBullet4">
    <w:name w:val="List Bullet 4"/>
    <w:basedOn w:val="BodyText"/>
    <w:uiPriority w:val="19"/>
    <w:rsid w:val="00E2705A"/>
    <w:pPr>
      <w:numPr>
        <w:numId w:val="26"/>
      </w:numPr>
      <w:spacing w:after="180"/>
      <w:ind w:left="1361" w:hanging="454"/>
    </w:pPr>
  </w:style>
  <w:style w:type="paragraph" w:styleId="ListBullet5">
    <w:name w:val="List Bullet 5"/>
    <w:basedOn w:val="Normal"/>
    <w:uiPriority w:val="99"/>
    <w:semiHidden/>
    <w:unhideWhenUsed/>
    <w:rsid w:val="0090719C"/>
    <w:pPr>
      <w:numPr>
        <w:numId w:val="10"/>
      </w:numPr>
      <w:contextualSpacing/>
    </w:pPr>
  </w:style>
  <w:style w:type="paragraph" w:styleId="ListContinue">
    <w:name w:val="List Continue"/>
    <w:basedOn w:val="Normal"/>
    <w:uiPriority w:val="99"/>
    <w:semiHidden/>
    <w:unhideWhenUsed/>
    <w:rsid w:val="0090719C"/>
    <w:pPr>
      <w:spacing w:after="120"/>
      <w:ind w:left="283"/>
      <w:contextualSpacing/>
    </w:pPr>
  </w:style>
  <w:style w:type="paragraph" w:styleId="ListContinue2">
    <w:name w:val="List Continue 2"/>
    <w:basedOn w:val="Normal"/>
    <w:uiPriority w:val="99"/>
    <w:semiHidden/>
    <w:unhideWhenUsed/>
    <w:rsid w:val="0090719C"/>
    <w:pPr>
      <w:spacing w:after="120"/>
      <w:ind w:left="566"/>
      <w:contextualSpacing/>
    </w:pPr>
  </w:style>
  <w:style w:type="paragraph" w:styleId="ListContinue3">
    <w:name w:val="List Continue 3"/>
    <w:basedOn w:val="Normal"/>
    <w:uiPriority w:val="99"/>
    <w:semiHidden/>
    <w:unhideWhenUsed/>
    <w:rsid w:val="0090719C"/>
    <w:pPr>
      <w:spacing w:after="120"/>
      <w:ind w:left="849"/>
      <w:contextualSpacing/>
    </w:pPr>
  </w:style>
  <w:style w:type="paragraph" w:styleId="ListContinue4">
    <w:name w:val="List Continue 4"/>
    <w:basedOn w:val="Normal"/>
    <w:uiPriority w:val="99"/>
    <w:semiHidden/>
    <w:unhideWhenUsed/>
    <w:rsid w:val="0090719C"/>
    <w:pPr>
      <w:spacing w:after="120"/>
      <w:ind w:left="1132"/>
      <w:contextualSpacing/>
    </w:pPr>
  </w:style>
  <w:style w:type="paragraph" w:styleId="ListContinue5">
    <w:name w:val="List Continue 5"/>
    <w:basedOn w:val="Normal"/>
    <w:uiPriority w:val="99"/>
    <w:semiHidden/>
    <w:unhideWhenUsed/>
    <w:rsid w:val="0090719C"/>
    <w:pPr>
      <w:spacing w:after="120"/>
      <w:ind w:left="1415"/>
      <w:contextualSpacing/>
    </w:pPr>
  </w:style>
  <w:style w:type="paragraph" w:styleId="ListNumber">
    <w:name w:val="List Number"/>
    <w:basedOn w:val="Normal"/>
    <w:uiPriority w:val="19"/>
    <w:rsid w:val="00E2705A"/>
    <w:pPr>
      <w:numPr>
        <w:numId w:val="30"/>
      </w:numPr>
      <w:spacing w:before="120" w:after="120"/>
    </w:pPr>
  </w:style>
  <w:style w:type="paragraph" w:styleId="ListNumber2">
    <w:name w:val="List Number 2"/>
    <w:basedOn w:val="Normal"/>
    <w:uiPriority w:val="99"/>
    <w:semiHidden/>
    <w:unhideWhenUsed/>
    <w:rsid w:val="0090719C"/>
    <w:pPr>
      <w:numPr>
        <w:numId w:val="12"/>
      </w:numPr>
      <w:contextualSpacing/>
    </w:pPr>
  </w:style>
  <w:style w:type="paragraph" w:styleId="ListNumber3">
    <w:name w:val="List Number 3"/>
    <w:basedOn w:val="Normal"/>
    <w:uiPriority w:val="99"/>
    <w:semiHidden/>
    <w:unhideWhenUsed/>
    <w:rsid w:val="0090719C"/>
    <w:pPr>
      <w:numPr>
        <w:numId w:val="13"/>
      </w:numPr>
      <w:contextualSpacing/>
    </w:pPr>
  </w:style>
  <w:style w:type="paragraph" w:styleId="ListNumber4">
    <w:name w:val="List Number 4"/>
    <w:basedOn w:val="Normal"/>
    <w:uiPriority w:val="99"/>
    <w:semiHidden/>
    <w:unhideWhenUsed/>
    <w:rsid w:val="0090719C"/>
    <w:pPr>
      <w:numPr>
        <w:numId w:val="14"/>
      </w:numPr>
      <w:contextualSpacing/>
    </w:pPr>
  </w:style>
  <w:style w:type="paragraph" w:styleId="ListNumber5">
    <w:name w:val="List Number 5"/>
    <w:basedOn w:val="Normal"/>
    <w:uiPriority w:val="99"/>
    <w:semiHidden/>
    <w:unhideWhenUsed/>
    <w:rsid w:val="0090719C"/>
    <w:pPr>
      <w:numPr>
        <w:numId w:val="15"/>
      </w:numPr>
      <w:contextualSpacing/>
    </w:pPr>
  </w:style>
  <w:style w:type="table" w:styleId="ListTable1Light">
    <w:name w:val="List Table 1 Light"/>
    <w:basedOn w:val="TableNormal"/>
    <w:uiPriority w:val="46"/>
    <w:rsid w:val="0090719C"/>
    <w:tblPr>
      <w:tblStyleRowBandSize w:val="1"/>
      <w:tblStyleColBandSize w:val="1"/>
    </w:tblPr>
    <w:tblStylePr w:type="firstRow">
      <w:rPr>
        <w:b/>
        <w:bCs/>
      </w:rPr>
      <w:tblPr/>
      <w:tcPr>
        <w:tcBorders>
          <w:bottom w:val="single" w:sz="4" w:space="0" w:color="2F85BD" w:themeColor="text1" w:themeTint="99"/>
        </w:tcBorders>
      </w:tcPr>
    </w:tblStylePr>
    <w:tblStylePr w:type="lastRow">
      <w:rPr>
        <w:b/>
        <w:bCs/>
      </w:rPr>
      <w:tblPr/>
      <w:tcPr>
        <w:tcBorders>
          <w:top w:val="single" w:sz="4" w:space="0" w:color="2F85BD" w:themeColor="text1" w:themeTint="99"/>
        </w:tcBorders>
      </w:tcPr>
    </w:tblStylePr>
    <w:tblStylePr w:type="firstCol">
      <w:rPr>
        <w:b/>
        <w:bCs/>
      </w:rPr>
    </w:tblStylePr>
    <w:tblStylePr w:type="lastCol">
      <w:rPr>
        <w:b/>
        <w:bCs/>
      </w:rPr>
    </w:tblStylePr>
    <w:tblStylePr w:type="band1Vert">
      <w:tblPr/>
      <w:tcPr>
        <w:shd w:val="clear" w:color="auto" w:fill="B6D7EC" w:themeFill="text1" w:themeFillTint="33"/>
      </w:tcPr>
    </w:tblStylePr>
    <w:tblStylePr w:type="band1Horz">
      <w:tblPr/>
      <w:tcPr>
        <w:shd w:val="clear" w:color="auto" w:fill="B6D7EC" w:themeFill="text1" w:themeFillTint="33"/>
      </w:tcPr>
    </w:tblStylePr>
  </w:style>
  <w:style w:type="table" w:styleId="ListTable1Light-Accent1">
    <w:name w:val="List Table 1 Light Accent 1"/>
    <w:basedOn w:val="TableNormal"/>
    <w:uiPriority w:val="46"/>
    <w:rsid w:val="0090719C"/>
    <w:tblPr>
      <w:tblStyleRowBandSize w:val="1"/>
      <w:tblStyleColBandSize w:val="1"/>
    </w:tblPr>
    <w:tblStylePr w:type="firstRow">
      <w:rPr>
        <w:b/>
        <w:bCs/>
      </w:rPr>
      <w:tblPr/>
      <w:tcPr>
        <w:tcBorders>
          <w:bottom w:val="single" w:sz="4" w:space="0" w:color="55CBFF" w:themeColor="accent1" w:themeTint="99"/>
        </w:tcBorders>
      </w:tcPr>
    </w:tblStylePr>
    <w:tblStylePr w:type="lastRow">
      <w:rPr>
        <w:b/>
        <w:bCs/>
      </w:rPr>
      <w:tblPr/>
      <w:tcPr>
        <w:tcBorders>
          <w:top w:val="single" w:sz="4" w:space="0" w:color="55CBFF" w:themeColor="accent1" w:themeTint="99"/>
        </w:tcBorders>
      </w:tcPr>
    </w:tblStylePr>
    <w:tblStylePr w:type="firstCol">
      <w:rPr>
        <w:b/>
        <w:bCs/>
      </w:rPr>
    </w:tblStylePr>
    <w:tblStylePr w:type="lastCol">
      <w:rPr>
        <w:b/>
        <w:bCs/>
      </w:rPr>
    </w:tblStylePr>
    <w:tblStylePr w:type="band1Vert">
      <w:tblPr/>
      <w:tcPr>
        <w:shd w:val="clear" w:color="auto" w:fill="C6EDFF" w:themeFill="accent1" w:themeFillTint="33"/>
      </w:tcPr>
    </w:tblStylePr>
    <w:tblStylePr w:type="band1Horz">
      <w:tblPr/>
      <w:tcPr>
        <w:shd w:val="clear" w:color="auto" w:fill="C6EDFF" w:themeFill="accent1" w:themeFillTint="33"/>
      </w:tcPr>
    </w:tblStylePr>
  </w:style>
  <w:style w:type="table" w:styleId="ListTable1Light-Accent2">
    <w:name w:val="List Table 1 Light Accent 2"/>
    <w:basedOn w:val="TableNormal"/>
    <w:uiPriority w:val="46"/>
    <w:rsid w:val="0090719C"/>
    <w:tblPr>
      <w:tblStyleRowBandSize w:val="1"/>
      <w:tblStyleColBandSize w:val="1"/>
    </w:tblPr>
    <w:tblStylePr w:type="firstRow">
      <w:rPr>
        <w:b/>
        <w:bCs/>
      </w:rPr>
      <w:tblPr/>
      <w:tcPr>
        <w:tcBorders>
          <w:bottom w:val="single" w:sz="4" w:space="0" w:color="FF19FF" w:themeColor="accent2" w:themeTint="99"/>
        </w:tcBorders>
      </w:tcPr>
    </w:tblStylePr>
    <w:tblStylePr w:type="lastRow">
      <w:rPr>
        <w:b/>
        <w:bCs/>
      </w:rPr>
      <w:tblPr/>
      <w:tcPr>
        <w:tcBorders>
          <w:top w:val="single" w:sz="4" w:space="0" w:color="FF19FF" w:themeColor="accent2" w:themeTint="99"/>
        </w:tcBorders>
      </w:tcPr>
    </w:tblStylePr>
    <w:tblStylePr w:type="firstCol">
      <w:rPr>
        <w:b/>
        <w:bCs/>
      </w:rPr>
    </w:tblStylePr>
    <w:tblStylePr w:type="lastCol">
      <w:rPr>
        <w:b/>
        <w:bCs/>
      </w:rPr>
    </w:tblStylePr>
    <w:tblStylePr w:type="band1Vert">
      <w:tblPr/>
      <w:tcPr>
        <w:shd w:val="clear" w:color="auto" w:fill="FFB2FF" w:themeFill="accent2" w:themeFillTint="33"/>
      </w:tcPr>
    </w:tblStylePr>
    <w:tblStylePr w:type="band1Horz">
      <w:tblPr/>
      <w:tcPr>
        <w:shd w:val="clear" w:color="auto" w:fill="FFB2FF" w:themeFill="accent2" w:themeFillTint="33"/>
      </w:tcPr>
    </w:tblStylePr>
  </w:style>
  <w:style w:type="table" w:styleId="ListTable1Light-Accent3">
    <w:name w:val="List Table 1 Light Accent 3"/>
    <w:basedOn w:val="TableNormal"/>
    <w:uiPriority w:val="46"/>
    <w:rsid w:val="0090719C"/>
    <w:tblPr>
      <w:tblStyleRowBandSize w:val="1"/>
      <w:tblStyleColBandSize w:val="1"/>
    </w:tblPr>
    <w:tblStylePr w:type="firstRow">
      <w:rPr>
        <w:b/>
        <w:bCs/>
      </w:rPr>
      <w:tblPr/>
      <w:tcPr>
        <w:tcBorders>
          <w:bottom w:val="single" w:sz="4" w:space="0" w:color="72E3E0" w:themeColor="accent3" w:themeTint="99"/>
        </w:tcBorders>
      </w:tcPr>
    </w:tblStylePr>
    <w:tblStylePr w:type="lastRow">
      <w:rPr>
        <w:b/>
        <w:bCs/>
      </w:rPr>
      <w:tblPr/>
      <w:tcPr>
        <w:tcBorders>
          <w:top w:val="single" w:sz="4" w:space="0" w:color="72E3E0" w:themeColor="accent3" w:themeTint="99"/>
        </w:tcBorders>
      </w:tcPr>
    </w:tblStylePr>
    <w:tblStylePr w:type="firstCol">
      <w:rPr>
        <w:b/>
        <w:bCs/>
      </w:rPr>
    </w:tblStylePr>
    <w:tblStylePr w:type="lastCol">
      <w:rPr>
        <w:b/>
        <w:bCs/>
      </w:rPr>
    </w:tblStylePr>
    <w:tblStylePr w:type="band1Vert">
      <w:tblPr/>
      <w:tcPr>
        <w:shd w:val="clear" w:color="auto" w:fill="D0F5F4" w:themeFill="accent3" w:themeFillTint="33"/>
      </w:tcPr>
    </w:tblStylePr>
    <w:tblStylePr w:type="band1Horz">
      <w:tblPr/>
      <w:tcPr>
        <w:shd w:val="clear" w:color="auto" w:fill="D0F5F4" w:themeFill="accent3" w:themeFillTint="33"/>
      </w:tcPr>
    </w:tblStylePr>
  </w:style>
  <w:style w:type="table" w:styleId="ListTable1Light-Accent4">
    <w:name w:val="List Table 1 Light Accent 4"/>
    <w:basedOn w:val="TableNormal"/>
    <w:uiPriority w:val="46"/>
    <w:rsid w:val="0090719C"/>
    <w:tblPr>
      <w:tblStyleRowBandSize w:val="1"/>
      <w:tblStyleColBandSize w:val="1"/>
    </w:tblPr>
    <w:tblStylePr w:type="firstRow">
      <w:rPr>
        <w:b/>
        <w:bCs/>
      </w:rPr>
      <w:tblPr/>
      <w:tcPr>
        <w:tcBorders>
          <w:bottom w:val="single" w:sz="4" w:space="0" w:color="DC8EA7" w:themeColor="accent4" w:themeTint="99"/>
        </w:tcBorders>
      </w:tcPr>
    </w:tblStylePr>
    <w:tblStylePr w:type="lastRow">
      <w:rPr>
        <w:b/>
        <w:bCs/>
      </w:rPr>
      <w:tblPr/>
      <w:tcPr>
        <w:tcBorders>
          <w:top w:val="single" w:sz="4" w:space="0" w:color="DC8EA7" w:themeColor="accent4" w:themeTint="99"/>
        </w:tcBorders>
      </w:tcPr>
    </w:tblStylePr>
    <w:tblStylePr w:type="firstCol">
      <w:rPr>
        <w:b/>
        <w:bCs/>
      </w:rPr>
    </w:tblStylePr>
    <w:tblStylePr w:type="lastCol">
      <w:rPr>
        <w:b/>
        <w:bCs/>
      </w:rPr>
    </w:tblStylePr>
    <w:tblStylePr w:type="band1Vert">
      <w:tblPr/>
      <w:tcPr>
        <w:shd w:val="clear" w:color="auto" w:fill="F3D9E1" w:themeFill="accent4" w:themeFillTint="33"/>
      </w:tcPr>
    </w:tblStylePr>
    <w:tblStylePr w:type="band1Horz">
      <w:tblPr/>
      <w:tcPr>
        <w:shd w:val="clear" w:color="auto" w:fill="F3D9E1" w:themeFill="accent4" w:themeFillTint="33"/>
      </w:tcPr>
    </w:tblStylePr>
  </w:style>
  <w:style w:type="table" w:styleId="ListTable1Light-Accent5">
    <w:name w:val="List Table 1 Light Accent 5"/>
    <w:basedOn w:val="TableNormal"/>
    <w:uiPriority w:val="46"/>
    <w:rsid w:val="0090719C"/>
    <w:tblPr>
      <w:tblStyleRowBandSize w:val="1"/>
      <w:tblStyleColBandSize w:val="1"/>
    </w:tblPr>
    <w:tblStylePr w:type="firstRow">
      <w:rPr>
        <w:b/>
        <w:bCs/>
      </w:rPr>
      <w:tblPr/>
      <w:tcPr>
        <w:tcBorders>
          <w:bottom w:val="single" w:sz="4" w:space="0" w:color="2F85BD" w:themeColor="accent5" w:themeTint="99"/>
        </w:tcBorders>
      </w:tcPr>
    </w:tblStylePr>
    <w:tblStylePr w:type="lastRow">
      <w:rPr>
        <w:b/>
        <w:bCs/>
      </w:rPr>
      <w:tblPr/>
      <w:tcPr>
        <w:tcBorders>
          <w:top w:val="single" w:sz="4" w:space="0" w:color="2F85BD" w:themeColor="accent5" w:themeTint="99"/>
        </w:tcBorders>
      </w:tcPr>
    </w:tblStylePr>
    <w:tblStylePr w:type="firstCol">
      <w:rPr>
        <w:b/>
        <w:bCs/>
      </w:rPr>
    </w:tblStylePr>
    <w:tblStylePr w:type="lastCol">
      <w:rPr>
        <w:b/>
        <w:bCs/>
      </w:rPr>
    </w:tblStylePr>
    <w:tblStylePr w:type="band1Vert">
      <w:tblPr/>
      <w:tcPr>
        <w:shd w:val="clear" w:color="auto" w:fill="B6D7EC" w:themeFill="accent5" w:themeFillTint="33"/>
      </w:tcPr>
    </w:tblStylePr>
    <w:tblStylePr w:type="band1Horz">
      <w:tblPr/>
      <w:tcPr>
        <w:shd w:val="clear" w:color="auto" w:fill="B6D7EC" w:themeFill="accent5" w:themeFillTint="33"/>
      </w:tcPr>
    </w:tblStylePr>
  </w:style>
  <w:style w:type="table" w:styleId="ListTable1Light-Accent6">
    <w:name w:val="List Table 1 Light Accent 6"/>
    <w:basedOn w:val="TableNormal"/>
    <w:uiPriority w:val="46"/>
    <w:rsid w:val="0090719C"/>
    <w:tblPr>
      <w:tblStyleRowBandSize w:val="1"/>
      <w:tblStyleColBandSize w:val="1"/>
    </w:tblPr>
    <w:tblStylePr w:type="firstRow">
      <w:rPr>
        <w:b/>
        <w:bCs/>
      </w:rPr>
      <w:tblPr/>
      <w:tcPr>
        <w:tcBorders>
          <w:bottom w:val="single" w:sz="4" w:space="0" w:color="BCBCBC" w:themeColor="accent6" w:themeTint="99"/>
        </w:tcBorders>
      </w:tcPr>
    </w:tblStylePr>
    <w:tblStylePr w:type="lastRow">
      <w:rPr>
        <w:b/>
        <w:bCs/>
      </w:rPr>
      <w:tblPr/>
      <w:tcPr>
        <w:tcBorders>
          <w:top w:val="single" w:sz="4" w:space="0" w:color="BCBCBC" w:themeColor="accent6" w:themeTint="99"/>
        </w:tcBorders>
      </w:tcPr>
    </w:tblStylePr>
    <w:tblStylePr w:type="firstCol">
      <w:rPr>
        <w:b/>
        <w:bCs/>
      </w:rPr>
    </w:tblStylePr>
    <w:tblStylePr w:type="lastCol">
      <w:rPr>
        <w:b/>
        <w:bCs/>
      </w:rPr>
    </w:tblStylePr>
    <w:tblStylePr w:type="band1Vert">
      <w:tblPr/>
      <w:tcPr>
        <w:shd w:val="clear" w:color="auto" w:fill="E8E8E8" w:themeFill="accent6" w:themeFillTint="33"/>
      </w:tcPr>
    </w:tblStylePr>
    <w:tblStylePr w:type="band1Horz">
      <w:tblPr/>
      <w:tcPr>
        <w:shd w:val="clear" w:color="auto" w:fill="E8E8E8" w:themeFill="accent6" w:themeFillTint="33"/>
      </w:tcPr>
    </w:tblStylePr>
  </w:style>
  <w:style w:type="table" w:styleId="ListTable2">
    <w:name w:val="List Table 2"/>
    <w:basedOn w:val="TableNormal"/>
    <w:uiPriority w:val="47"/>
    <w:rsid w:val="0090719C"/>
    <w:tblPr>
      <w:tblStyleRowBandSize w:val="1"/>
      <w:tblStyleColBandSize w:val="1"/>
      <w:tblBorders>
        <w:top w:val="single" w:sz="4" w:space="0" w:color="2F85BD" w:themeColor="text1" w:themeTint="99"/>
        <w:bottom w:val="single" w:sz="4" w:space="0" w:color="2F85BD" w:themeColor="text1" w:themeTint="99"/>
        <w:insideH w:val="single" w:sz="4" w:space="0" w:color="2F85BD"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6D7EC" w:themeFill="text1" w:themeFillTint="33"/>
      </w:tcPr>
    </w:tblStylePr>
    <w:tblStylePr w:type="band1Horz">
      <w:tblPr/>
      <w:tcPr>
        <w:shd w:val="clear" w:color="auto" w:fill="B6D7EC" w:themeFill="text1" w:themeFillTint="33"/>
      </w:tcPr>
    </w:tblStylePr>
  </w:style>
  <w:style w:type="table" w:styleId="ListTable2-Accent1">
    <w:name w:val="List Table 2 Accent 1"/>
    <w:basedOn w:val="TableNormal"/>
    <w:uiPriority w:val="47"/>
    <w:rsid w:val="0090719C"/>
    <w:tblPr>
      <w:tblStyleRowBandSize w:val="1"/>
      <w:tblStyleColBandSize w:val="1"/>
      <w:tblBorders>
        <w:top w:val="single" w:sz="4" w:space="0" w:color="55CBFF" w:themeColor="accent1" w:themeTint="99"/>
        <w:bottom w:val="single" w:sz="4" w:space="0" w:color="55CBFF" w:themeColor="accent1" w:themeTint="99"/>
        <w:insideH w:val="single" w:sz="4" w:space="0" w:color="55CB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DFF" w:themeFill="accent1" w:themeFillTint="33"/>
      </w:tcPr>
    </w:tblStylePr>
    <w:tblStylePr w:type="band1Horz">
      <w:tblPr/>
      <w:tcPr>
        <w:shd w:val="clear" w:color="auto" w:fill="C6EDFF" w:themeFill="accent1" w:themeFillTint="33"/>
      </w:tcPr>
    </w:tblStylePr>
  </w:style>
  <w:style w:type="table" w:styleId="ListTable2-Accent2">
    <w:name w:val="List Table 2 Accent 2"/>
    <w:basedOn w:val="TableNormal"/>
    <w:uiPriority w:val="47"/>
    <w:rsid w:val="0090719C"/>
    <w:tblPr>
      <w:tblStyleRowBandSize w:val="1"/>
      <w:tblStyleColBandSize w:val="1"/>
      <w:tblBorders>
        <w:top w:val="single" w:sz="4" w:space="0" w:color="FF19FF" w:themeColor="accent2" w:themeTint="99"/>
        <w:bottom w:val="single" w:sz="4" w:space="0" w:color="FF19FF" w:themeColor="accent2" w:themeTint="99"/>
        <w:insideH w:val="single" w:sz="4" w:space="0" w:color="FF19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B2FF" w:themeFill="accent2" w:themeFillTint="33"/>
      </w:tcPr>
    </w:tblStylePr>
    <w:tblStylePr w:type="band1Horz">
      <w:tblPr/>
      <w:tcPr>
        <w:shd w:val="clear" w:color="auto" w:fill="FFB2FF" w:themeFill="accent2" w:themeFillTint="33"/>
      </w:tcPr>
    </w:tblStylePr>
  </w:style>
  <w:style w:type="table" w:styleId="ListTable2-Accent3">
    <w:name w:val="List Table 2 Accent 3"/>
    <w:basedOn w:val="TableNormal"/>
    <w:uiPriority w:val="47"/>
    <w:rsid w:val="0090719C"/>
    <w:tblPr>
      <w:tblStyleRowBandSize w:val="1"/>
      <w:tblStyleColBandSize w:val="1"/>
      <w:tblBorders>
        <w:top w:val="single" w:sz="4" w:space="0" w:color="72E3E0" w:themeColor="accent3" w:themeTint="99"/>
        <w:bottom w:val="single" w:sz="4" w:space="0" w:color="72E3E0" w:themeColor="accent3" w:themeTint="99"/>
        <w:insideH w:val="single" w:sz="4" w:space="0" w:color="72E3E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5F4" w:themeFill="accent3" w:themeFillTint="33"/>
      </w:tcPr>
    </w:tblStylePr>
    <w:tblStylePr w:type="band1Horz">
      <w:tblPr/>
      <w:tcPr>
        <w:shd w:val="clear" w:color="auto" w:fill="D0F5F4" w:themeFill="accent3" w:themeFillTint="33"/>
      </w:tcPr>
    </w:tblStylePr>
  </w:style>
  <w:style w:type="table" w:styleId="ListTable2-Accent4">
    <w:name w:val="List Table 2 Accent 4"/>
    <w:basedOn w:val="TableNormal"/>
    <w:uiPriority w:val="47"/>
    <w:rsid w:val="0090719C"/>
    <w:tblPr>
      <w:tblStyleRowBandSize w:val="1"/>
      <w:tblStyleColBandSize w:val="1"/>
      <w:tblBorders>
        <w:top w:val="single" w:sz="4" w:space="0" w:color="DC8EA7" w:themeColor="accent4" w:themeTint="99"/>
        <w:bottom w:val="single" w:sz="4" w:space="0" w:color="DC8EA7" w:themeColor="accent4" w:themeTint="99"/>
        <w:insideH w:val="single" w:sz="4" w:space="0" w:color="DC8E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9E1" w:themeFill="accent4" w:themeFillTint="33"/>
      </w:tcPr>
    </w:tblStylePr>
    <w:tblStylePr w:type="band1Horz">
      <w:tblPr/>
      <w:tcPr>
        <w:shd w:val="clear" w:color="auto" w:fill="F3D9E1" w:themeFill="accent4" w:themeFillTint="33"/>
      </w:tcPr>
    </w:tblStylePr>
  </w:style>
  <w:style w:type="table" w:styleId="ListTable2-Accent5">
    <w:name w:val="List Table 2 Accent 5"/>
    <w:basedOn w:val="TableNormal"/>
    <w:uiPriority w:val="47"/>
    <w:rsid w:val="0090719C"/>
    <w:tblPr>
      <w:tblStyleRowBandSize w:val="1"/>
      <w:tblStyleColBandSize w:val="1"/>
      <w:tblBorders>
        <w:top w:val="single" w:sz="4" w:space="0" w:color="2F85BD" w:themeColor="accent5" w:themeTint="99"/>
        <w:bottom w:val="single" w:sz="4" w:space="0" w:color="2F85BD" w:themeColor="accent5" w:themeTint="99"/>
        <w:insideH w:val="single" w:sz="4" w:space="0" w:color="2F85B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6D7EC" w:themeFill="accent5" w:themeFillTint="33"/>
      </w:tcPr>
    </w:tblStylePr>
    <w:tblStylePr w:type="band1Horz">
      <w:tblPr/>
      <w:tcPr>
        <w:shd w:val="clear" w:color="auto" w:fill="B6D7EC" w:themeFill="accent5" w:themeFillTint="33"/>
      </w:tcPr>
    </w:tblStylePr>
  </w:style>
  <w:style w:type="table" w:styleId="ListTable2-Accent6">
    <w:name w:val="List Table 2 Accent 6"/>
    <w:basedOn w:val="TableNormal"/>
    <w:uiPriority w:val="47"/>
    <w:rsid w:val="0090719C"/>
    <w:tblPr>
      <w:tblStyleRowBandSize w:val="1"/>
      <w:tblStyleColBandSize w:val="1"/>
      <w:tblBorders>
        <w:top w:val="single" w:sz="4" w:space="0" w:color="BCBCBC" w:themeColor="accent6" w:themeTint="99"/>
        <w:bottom w:val="single" w:sz="4" w:space="0" w:color="BCBCBC" w:themeColor="accent6" w:themeTint="99"/>
        <w:insideH w:val="single" w:sz="4" w:space="0" w:color="BCBCB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8E8" w:themeFill="accent6" w:themeFillTint="33"/>
      </w:tcPr>
    </w:tblStylePr>
    <w:tblStylePr w:type="band1Horz">
      <w:tblPr/>
      <w:tcPr>
        <w:shd w:val="clear" w:color="auto" w:fill="E8E8E8" w:themeFill="accent6" w:themeFillTint="33"/>
      </w:tcPr>
    </w:tblStylePr>
  </w:style>
  <w:style w:type="table" w:styleId="ListTable3">
    <w:name w:val="List Table 3"/>
    <w:basedOn w:val="TableNormal"/>
    <w:uiPriority w:val="48"/>
    <w:rsid w:val="0090719C"/>
    <w:tblPr>
      <w:tblStyleRowBandSize w:val="1"/>
      <w:tblStyleColBandSize w:val="1"/>
      <w:tblBorders>
        <w:top w:val="single" w:sz="4" w:space="0" w:color="0B1F2C" w:themeColor="text1"/>
        <w:left w:val="single" w:sz="4" w:space="0" w:color="0B1F2C" w:themeColor="text1"/>
        <w:bottom w:val="single" w:sz="4" w:space="0" w:color="0B1F2C" w:themeColor="text1"/>
        <w:right w:val="single" w:sz="4" w:space="0" w:color="0B1F2C" w:themeColor="text1"/>
      </w:tblBorders>
    </w:tblPr>
    <w:tblStylePr w:type="firstRow">
      <w:rPr>
        <w:b/>
        <w:bCs/>
        <w:color w:val="FFFFFF" w:themeColor="background1"/>
      </w:rPr>
      <w:tblPr/>
      <w:tcPr>
        <w:shd w:val="clear" w:color="auto" w:fill="0B1F2C" w:themeFill="text1"/>
      </w:tcPr>
    </w:tblStylePr>
    <w:tblStylePr w:type="lastRow">
      <w:rPr>
        <w:b/>
        <w:bCs/>
      </w:rPr>
      <w:tblPr/>
      <w:tcPr>
        <w:tcBorders>
          <w:top w:val="double" w:sz="4" w:space="0" w:color="0B1F2C"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1F2C" w:themeColor="text1"/>
          <w:right w:val="single" w:sz="4" w:space="0" w:color="0B1F2C" w:themeColor="text1"/>
        </w:tcBorders>
      </w:tcPr>
    </w:tblStylePr>
    <w:tblStylePr w:type="band1Horz">
      <w:tblPr/>
      <w:tcPr>
        <w:tcBorders>
          <w:top w:val="single" w:sz="4" w:space="0" w:color="0B1F2C" w:themeColor="text1"/>
          <w:bottom w:val="single" w:sz="4" w:space="0" w:color="0B1F2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1F2C" w:themeColor="text1"/>
          <w:left w:val="nil"/>
        </w:tcBorders>
      </w:tcPr>
    </w:tblStylePr>
    <w:tblStylePr w:type="swCell">
      <w:tblPr/>
      <w:tcPr>
        <w:tcBorders>
          <w:top w:val="double" w:sz="4" w:space="0" w:color="0B1F2C" w:themeColor="text1"/>
          <w:right w:val="nil"/>
        </w:tcBorders>
      </w:tcPr>
    </w:tblStylePr>
  </w:style>
  <w:style w:type="table" w:styleId="ListTable3-Accent1">
    <w:name w:val="List Table 3 Accent 1"/>
    <w:basedOn w:val="TableNormal"/>
    <w:uiPriority w:val="48"/>
    <w:rsid w:val="0090719C"/>
    <w:tblPr>
      <w:tblStyleRowBandSize w:val="1"/>
      <w:tblStyleColBandSize w:val="1"/>
      <w:tblBorders>
        <w:top w:val="single" w:sz="4" w:space="0" w:color="009FE3" w:themeColor="accent1"/>
        <w:left w:val="single" w:sz="4" w:space="0" w:color="009FE3" w:themeColor="accent1"/>
        <w:bottom w:val="single" w:sz="4" w:space="0" w:color="009FE3" w:themeColor="accent1"/>
        <w:right w:val="single" w:sz="4" w:space="0" w:color="009FE3" w:themeColor="accent1"/>
      </w:tblBorders>
    </w:tblPr>
    <w:tblStylePr w:type="firstRow">
      <w:rPr>
        <w:b/>
        <w:bCs/>
        <w:color w:val="FFFFFF" w:themeColor="background1"/>
      </w:rPr>
      <w:tblPr/>
      <w:tcPr>
        <w:shd w:val="clear" w:color="auto" w:fill="009FE3" w:themeFill="accent1"/>
      </w:tcPr>
    </w:tblStylePr>
    <w:tblStylePr w:type="lastRow">
      <w:rPr>
        <w:b/>
        <w:bCs/>
      </w:rPr>
      <w:tblPr/>
      <w:tcPr>
        <w:tcBorders>
          <w:top w:val="double" w:sz="4" w:space="0" w:color="009FE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FE3" w:themeColor="accent1"/>
          <w:right w:val="single" w:sz="4" w:space="0" w:color="009FE3" w:themeColor="accent1"/>
        </w:tcBorders>
      </w:tcPr>
    </w:tblStylePr>
    <w:tblStylePr w:type="band1Horz">
      <w:tblPr/>
      <w:tcPr>
        <w:tcBorders>
          <w:top w:val="single" w:sz="4" w:space="0" w:color="009FE3" w:themeColor="accent1"/>
          <w:bottom w:val="single" w:sz="4" w:space="0" w:color="009FE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FE3" w:themeColor="accent1"/>
          <w:left w:val="nil"/>
        </w:tcBorders>
      </w:tcPr>
    </w:tblStylePr>
    <w:tblStylePr w:type="swCell">
      <w:tblPr/>
      <w:tcPr>
        <w:tcBorders>
          <w:top w:val="double" w:sz="4" w:space="0" w:color="009FE3" w:themeColor="accent1"/>
          <w:right w:val="nil"/>
        </w:tcBorders>
      </w:tcPr>
    </w:tblStylePr>
  </w:style>
  <w:style w:type="table" w:styleId="ListTable3-Accent2">
    <w:name w:val="List Table 3 Accent 2"/>
    <w:basedOn w:val="TableNormal"/>
    <w:uiPriority w:val="48"/>
    <w:rsid w:val="0090719C"/>
    <w:tblPr>
      <w:tblStyleRowBandSize w:val="1"/>
      <w:tblStyleColBandSize w:val="1"/>
      <w:tblBorders>
        <w:top w:val="single" w:sz="4" w:space="0" w:color="800080" w:themeColor="accent2"/>
        <w:left w:val="single" w:sz="4" w:space="0" w:color="800080" w:themeColor="accent2"/>
        <w:bottom w:val="single" w:sz="4" w:space="0" w:color="800080" w:themeColor="accent2"/>
        <w:right w:val="single" w:sz="4" w:space="0" w:color="800080" w:themeColor="accent2"/>
      </w:tblBorders>
    </w:tblPr>
    <w:tblStylePr w:type="firstRow">
      <w:rPr>
        <w:b/>
        <w:bCs/>
        <w:color w:val="FFFFFF" w:themeColor="background1"/>
      </w:rPr>
      <w:tblPr/>
      <w:tcPr>
        <w:shd w:val="clear" w:color="auto" w:fill="800080" w:themeFill="accent2"/>
      </w:tcPr>
    </w:tblStylePr>
    <w:tblStylePr w:type="lastRow">
      <w:rPr>
        <w:b/>
        <w:bCs/>
      </w:rPr>
      <w:tblPr/>
      <w:tcPr>
        <w:tcBorders>
          <w:top w:val="double" w:sz="4" w:space="0" w:color="80008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0080" w:themeColor="accent2"/>
          <w:right w:val="single" w:sz="4" w:space="0" w:color="800080" w:themeColor="accent2"/>
        </w:tcBorders>
      </w:tcPr>
    </w:tblStylePr>
    <w:tblStylePr w:type="band1Horz">
      <w:tblPr/>
      <w:tcPr>
        <w:tcBorders>
          <w:top w:val="single" w:sz="4" w:space="0" w:color="800080" w:themeColor="accent2"/>
          <w:bottom w:val="single" w:sz="4" w:space="0" w:color="80008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0080" w:themeColor="accent2"/>
          <w:left w:val="nil"/>
        </w:tcBorders>
      </w:tcPr>
    </w:tblStylePr>
    <w:tblStylePr w:type="swCell">
      <w:tblPr/>
      <w:tcPr>
        <w:tcBorders>
          <w:top w:val="double" w:sz="4" w:space="0" w:color="800080" w:themeColor="accent2"/>
          <w:right w:val="nil"/>
        </w:tcBorders>
      </w:tcPr>
    </w:tblStylePr>
  </w:style>
  <w:style w:type="table" w:styleId="ListTable3-Accent3">
    <w:name w:val="List Table 3 Accent 3"/>
    <w:basedOn w:val="TableNormal"/>
    <w:uiPriority w:val="48"/>
    <w:rsid w:val="0090719C"/>
    <w:tblPr>
      <w:tblStyleRowBandSize w:val="1"/>
      <w:tblStyleColBandSize w:val="1"/>
      <w:tblBorders>
        <w:top w:val="single" w:sz="4" w:space="0" w:color="26C0BC" w:themeColor="accent3"/>
        <w:left w:val="single" w:sz="4" w:space="0" w:color="26C0BC" w:themeColor="accent3"/>
        <w:bottom w:val="single" w:sz="4" w:space="0" w:color="26C0BC" w:themeColor="accent3"/>
        <w:right w:val="single" w:sz="4" w:space="0" w:color="26C0BC" w:themeColor="accent3"/>
      </w:tblBorders>
    </w:tblPr>
    <w:tblStylePr w:type="firstRow">
      <w:rPr>
        <w:b/>
        <w:bCs/>
        <w:color w:val="FFFFFF" w:themeColor="background1"/>
      </w:rPr>
      <w:tblPr/>
      <w:tcPr>
        <w:shd w:val="clear" w:color="auto" w:fill="26C0BC" w:themeFill="accent3"/>
      </w:tcPr>
    </w:tblStylePr>
    <w:tblStylePr w:type="lastRow">
      <w:rPr>
        <w:b/>
        <w:bCs/>
      </w:rPr>
      <w:tblPr/>
      <w:tcPr>
        <w:tcBorders>
          <w:top w:val="double" w:sz="4" w:space="0" w:color="26C0B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C0BC" w:themeColor="accent3"/>
          <w:right w:val="single" w:sz="4" w:space="0" w:color="26C0BC" w:themeColor="accent3"/>
        </w:tcBorders>
      </w:tcPr>
    </w:tblStylePr>
    <w:tblStylePr w:type="band1Horz">
      <w:tblPr/>
      <w:tcPr>
        <w:tcBorders>
          <w:top w:val="single" w:sz="4" w:space="0" w:color="26C0BC" w:themeColor="accent3"/>
          <w:bottom w:val="single" w:sz="4" w:space="0" w:color="26C0B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C0BC" w:themeColor="accent3"/>
          <w:left w:val="nil"/>
        </w:tcBorders>
      </w:tcPr>
    </w:tblStylePr>
    <w:tblStylePr w:type="swCell">
      <w:tblPr/>
      <w:tcPr>
        <w:tcBorders>
          <w:top w:val="double" w:sz="4" w:space="0" w:color="26C0BC" w:themeColor="accent3"/>
          <w:right w:val="nil"/>
        </w:tcBorders>
      </w:tcPr>
    </w:tblStylePr>
  </w:style>
  <w:style w:type="table" w:styleId="ListTable3-Accent4">
    <w:name w:val="List Table 3 Accent 4"/>
    <w:basedOn w:val="TableNormal"/>
    <w:uiPriority w:val="48"/>
    <w:rsid w:val="0090719C"/>
    <w:tblPr>
      <w:tblStyleRowBandSize w:val="1"/>
      <w:tblStyleColBandSize w:val="1"/>
      <w:tblBorders>
        <w:top w:val="single" w:sz="4" w:space="0" w:color="C5446E" w:themeColor="accent4"/>
        <w:left w:val="single" w:sz="4" w:space="0" w:color="C5446E" w:themeColor="accent4"/>
        <w:bottom w:val="single" w:sz="4" w:space="0" w:color="C5446E" w:themeColor="accent4"/>
        <w:right w:val="single" w:sz="4" w:space="0" w:color="C5446E" w:themeColor="accent4"/>
      </w:tblBorders>
    </w:tblPr>
    <w:tblStylePr w:type="firstRow">
      <w:rPr>
        <w:b/>
        <w:bCs/>
        <w:color w:val="FFFFFF" w:themeColor="background1"/>
      </w:rPr>
      <w:tblPr/>
      <w:tcPr>
        <w:shd w:val="clear" w:color="auto" w:fill="C5446E" w:themeFill="accent4"/>
      </w:tcPr>
    </w:tblStylePr>
    <w:tblStylePr w:type="lastRow">
      <w:rPr>
        <w:b/>
        <w:bCs/>
      </w:rPr>
      <w:tblPr/>
      <w:tcPr>
        <w:tcBorders>
          <w:top w:val="double" w:sz="4" w:space="0" w:color="C544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5446E" w:themeColor="accent4"/>
          <w:right w:val="single" w:sz="4" w:space="0" w:color="C5446E" w:themeColor="accent4"/>
        </w:tcBorders>
      </w:tcPr>
    </w:tblStylePr>
    <w:tblStylePr w:type="band1Horz">
      <w:tblPr/>
      <w:tcPr>
        <w:tcBorders>
          <w:top w:val="single" w:sz="4" w:space="0" w:color="C5446E" w:themeColor="accent4"/>
          <w:bottom w:val="single" w:sz="4" w:space="0" w:color="C544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5446E" w:themeColor="accent4"/>
          <w:left w:val="nil"/>
        </w:tcBorders>
      </w:tcPr>
    </w:tblStylePr>
    <w:tblStylePr w:type="swCell">
      <w:tblPr/>
      <w:tcPr>
        <w:tcBorders>
          <w:top w:val="double" w:sz="4" w:space="0" w:color="C5446E" w:themeColor="accent4"/>
          <w:right w:val="nil"/>
        </w:tcBorders>
      </w:tcPr>
    </w:tblStylePr>
  </w:style>
  <w:style w:type="table" w:styleId="ListTable3-Accent5">
    <w:name w:val="List Table 3 Accent 5"/>
    <w:basedOn w:val="TableNormal"/>
    <w:uiPriority w:val="48"/>
    <w:rsid w:val="0090719C"/>
    <w:tblPr>
      <w:tblStyleRowBandSize w:val="1"/>
      <w:tblStyleColBandSize w:val="1"/>
      <w:tblBorders>
        <w:top w:val="single" w:sz="4" w:space="0" w:color="0B1F2C" w:themeColor="accent5"/>
        <w:left w:val="single" w:sz="4" w:space="0" w:color="0B1F2C" w:themeColor="accent5"/>
        <w:bottom w:val="single" w:sz="4" w:space="0" w:color="0B1F2C" w:themeColor="accent5"/>
        <w:right w:val="single" w:sz="4" w:space="0" w:color="0B1F2C" w:themeColor="accent5"/>
      </w:tblBorders>
    </w:tblPr>
    <w:tblStylePr w:type="firstRow">
      <w:rPr>
        <w:b/>
        <w:bCs/>
        <w:color w:val="FFFFFF" w:themeColor="background1"/>
      </w:rPr>
      <w:tblPr/>
      <w:tcPr>
        <w:shd w:val="clear" w:color="auto" w:fill="0B1F2C" w:themeFill="accent5"/>
      </w:tcPr>
    </w:tblStylePr>
    <w:tblStylePr w:type="lastRow">
      <w:rPr>
        <w:b/>
        <w:bCs/>
      </w:rPr>
      <w:tblPr/>
      <w:tcPr>
        <w:tcBorders>
          <w:top w:val="double" w:sz="4" w:space="0" w:color="0B1F2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1F2C" w:themeColor="accent5"/>
          <w:right w:val="single" w:sz="4" w:space="0" w:color="0B1F2C" w:themeColor="accent5"/>
        </w:tcBorders>
      </w:tcPr>
    </w:tblStylePr>
    <w:tblStylePr w:type="band1Horz">
      <w:tblPr/>
      <w:tcPr>
        <w:tcBorders>
          <w:top w:val="single" w:sz="4" w:space="0" w:color="0B1F2C" w:themeColor="accent5"/>
          <w:bottom w:val="single" w:sz="4" w:space="0" w:color="0B1F2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1F2C" w:themeColor="accent5"/>
          <w:left w:val="nil"/>
        </w:tcBorders>
      </w:tcPr>
    </w:tblStylePr>
    <w:tblStylePr w:type="swCell">
      <w:tblPr/>
      <w:tcPr>
        <w:tcBorders>
          <w:top w:val="double" w:sz="4" w:space="0" w:color="0B1F2C" w:themeColor="accent5"/>
          <w:right w:val="nil"/>
        </w:tcBorders>
      </w:tcPr>
    </w:tblStylePr>
  </w:style>
  <w:style w:type="table" w:styleId="ListTable3-Accent6">
    <w:name w:val="List Table 3 Accent 6"/>
    <w:basedOn w:val="TableNormal"/>
    <w:uiPriority w:val="48"/>
    <w:rsid w:val="0090719C"/>
    <w:tblPr>
      <w:tblStyleRowBandSize w:val="1"/>
      <w:tblStyleColBandSize w:val="1"/>
      <w:tblBorders>
        <w:top w:val="single" w:sz="4" w:space="0" w:color="909090" w:themeColor="accent6"/>
        <w:left w:val="single" w:sz="4" w:space="0" w:color="909090" w:themeColor="accent6"/>
        <w:bottom w:val="single" w:sz="4" w:space="0" w:color="909090" w:themeColor="accent6"/>
        <w:right w:val="single" w:sz="4" w:space="0" w:color="909090" w:themeColor="accent6"/>
      </w:tblBorders>
    </w:tblPr>
    <w:tblStylePr w:type="firstRow">
      <w:rPr>
        <w:b/>
        <w:bCs/>
        <w:color w:val="FFFFFF" w:themeColor="background1"/>
      </w:rPr>
      <w:tblPr/>
      <w:tcPr>
        <w:shd w:val="clear" w:color="auto" w:fill="909090" w:themeFill="accent6"/>
      </w:tcPr>
    </w:tblStylePr>
    <w:tblStylePr w:type="lastRow">
      <w:rPr>
        <w:b/>
        <w:bCs/>
      </w:rPr>
      <w:tblPr/>
      <w:tcPr>
        <w:tcBorders>
          <w:top w:val="double" w:sz="4" w:space="0" w:color="90909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9090" w:themeColor="accent6"/>
          <w:right w:val="single" w:sz="4" w:space="0" w:color="909090" w:themeColor="accent6"/>
        </w:tcBorders>
      </w:tcPr>
    </w:tblStylePr>
    <w:tblStylePr w:type="band1Horz">
      <w:tblPr/>
      <w:tcPr>
        <w:tcBorders>
          <w:top w:val="single" w:sz="4" w:space="0" w:color="909090" w:themeColor="accent6"/>
          <w:bottom w:val="single" w:sz="4" w:space="0" w:color="90909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9090" w:themeColor="accent6"/>
          <w:left w:val="nil"/>
        </w:tcBorders>
      </w:tcPr>
    </w:tblStylePr>
    <w:tblStylePr w:type="swCell">
      <w:tblPr/>
      <w:tcPr>
        <w:tcBorders>
          <w:top w:val="double" w:sz="4" w:space="0" w:color="909090" w:themeColor="accent6"/>
          <w:right w:val="nil"/>
        </w:tcBorders>
      </w:tcPr>
    </w:tblStylePr>
  </w:style>
  <w:style w:type="table" w:styleId="ListTable4">
    <w:name w:val="List Table 4"/>
    <w:basedOn w:val="TableNormal"/>
    <w:uiPriority w:val="49"/>
    <w:rsid w:val="0090719C"/>
    <w:tblPr>
      <w:tblStyleRowBandSize w:val="1"/>
      <w:tblStyleColBandSize w:val="1"/>
      <w:tblBorders>
        <w:top w:val="single" w:sz="4" w:space="0" w:color="2F85BD" w:themeColor="text1" w:themeTint="99"/>
        <w:left w:val="single" w:sz="4" w:space="0" w:color="2F85BD" w:themeColor="text1" w:themeTint="99"/>
        <w:bottom w:val="single" w:sz="4" w:space="0" w:color="2F85BD" w:themeColor="text1" w:themeTint="99"/>
        <w:right w:val="single" w:sz="4" w:space="0" w:color="2F85BD" w:themeColor="text1" w:themeTint="99"/>
        <w:insideH w:val="single" w:sz="4" w:space="0" w:color="2F85BD" w:themeColor="text1" w:themeTint="99"/>
      </w:tblBorders>
    </w:tblPr>
    <w:tblStylePr w:type="firstRow">
      <w:rPr>
        <w:b/>
        <w:bCs/>
        <w:color w:val="FFFFFF" w:themeColor="background1"/>
      </w:rPr>
      <w:tblPr/>
      <w:tcPr>
        <w:tcBorders>
          <w:top w:val="single" w:sz="4" w:space="0" w:color="0B1F2C" w:themeColor="text1"/>
          <w:left w:val="single" w:sz="4" w:space="0" w:color="0B1F2C" w:themeColor="text1"/>
          <w:bottom w:val="single" w:sz="4" w:space="0" w:color="0B1F2C" w:themeColor="text1"/>
          <w:right w:val="single" w:sz="4" w:space="0" w:color="0B1F2C" w:themeColor="text1"/>
          <w:insideH w:val="nil"/>
        </w:tcBorders>
        <w:shd w:val="clear" w:color="auto" w:fill="0B1F2C" w:themeFill="text1"/>
      </w:tcPr>
    </w:tblStylePr>
    <w:tblStylePr w:type="lastRow">
      <w:rPr>
        <w:b/>
        <w:bCs/>
      </w:rPr>
      <w:tblPr/>
      <w:tcPr>
        <w:tcBorders>
          <w:top w:val="double" w:sz="4" w:space="0" w:color="2F85BD" w:themeColor="text1" w:themeTint="99"/>
        </w:tcBorders>
      </w:tcPr>
    </w:tblStylePr>
    <w:tblStylePr w:type="firstCol">
      <w:rPr>
        <w:b/>
        <w:bCs/>
      </w:rPr>
    </w:tblStylePr>
    <w:tblStylePr w:type="lastCol">
      <w:rPr>
        <w:b/>
        <w:bCs/>
      </w:rPr>
    </w:tblStylePr>
    <w:tblStylePr w:type="band1Vert">
      <w:tblPr/>
      <w:tcPr>
        <w:shd w:val="clear" w:color="auto" w:fill="B6D7EC" w:themeFill="text1" w:themeFillTint="33"/>
      </w:tcPr>
    </w:tblStylePr>
    <w:tblStylePr w:type="band1Horz">
      <w:tblPr/>
      <w:tcPr>
        <w:shd w:val="clear" w:color="auto" w:fill="B6D7EC" w:themeFill="text1" w:themeFillTint="33"/>
      </w:tcPr>
    </w:tblStylePr>
  </w:style>
  <w:style w:type="table" w:styleId="ListTable4-Accent1">
    <w:name w:val="List Table 4 Accent 1"/>
    <w:basedOn w:val="TableNormal"/>
    <w:uiPriority w:val="49"/>
    <w:rsid w:val="0090719C"/>
    <w:tblPr>
      <w:tblStyleRowBandSize w:val="1"/>
      <w:tblStyleColBandSize w:val="1"/>
      <w:tblBorders>
        <w:top w:val="single" w:sz="4" w:space="0" w:color="55CBFF" w:themeColor="accent1" w:themeTint="99"/>
        <w:left w:val="single" w:sz="4" w:space="0" w:color="55CBFF" w:themeColor="accent1" w:themeTint="99"/>
        <w:bottom w:val="single" w:sz="4" w:space="0" w:color="55CBFF" w:themeColor="accent1" w:themeTint="99"/>
        <w:right w:val="single" w:sz="4" w:space="0" w:color="55CBFF" w:themeColor="accent1" w:themeTint="99"/>
        <w:insideH w:val="single" w:sz="4" w:space="0" w:color="55CBFF" w:themeColor="accent1" w:themeTint="99"/>
      </w:tblBorders>
    </w:tblPr>
    <w:tblStylePr w:type="firstRow">
      <w:rPr>
        <w:b/>
        <w:bCs/>
        <w:color w:val="FFFFFF" w:themeColor="background1"/>
      </w:rPr>
      <w:tblPr/>
      <w:tcPr>
        <w:tcBorders>
          <w:top w:val="single" w:sz="4" w:space="0" w:color="009FE3" w:themeColor="accent1"/>
          <w:left w:val="single" w:sz="4" w:space="0" w:color="009FE3" w:themeColor="accent1"/>
          <w:bottom w:val="single" w:sz="4" w:space="0" w:color="009FE3" w:themeColor="accent1"/>
          <w:right w:val="single" w:sz="4" w:space="0" w:color="009FE3" w:themeColor="accent1"/>
          <w:insideH w:val="nil"/>
        </w:tcBorders>
        <w:shd w:val="clear" w:color="auto" w:fill="009FE3" w:themeFill="accent1"/>
      </w:tcPr>
    </w:tblStylePr>
    <w:tblStylePr w:type="lastRow">
      <w:rPr>
        <w:b/>
        <w:bCs/>
      </w:rPr>
      <w:tblPr/>
      <w:tcPr>
        <w:tcBorders>
          <w:top w:val="double" w:sz="4" w:space="0" w:color="55CBFF" w:themeColor="accent1" w:themeTint="99"/>
        </w:tcBorders>
      </w:tcPr>
    </w:tblStylePr>
    <w:tblStylePr w:type="firstCol">
      <w:rPr>
        <w:b/>
        <w:bCs/>
      </w:rPr>
    </w:tblStylePr>
    <w:tblStylePr w:type="lastCol">
      <w:rPr>
        <w:b/>
        <w:bCs/>
      </w:rPr>
    </w:tblStylePr>
    <w:tblStylePr w:type="band1Vert">
      <w:tblPr/>
      <w:tcPr>
        <w:shd w:val="clear" w:color="auto" w:fill="C6EDFF" w:themeFill="accent1" w:themeFillTint="33"/>
      </w:tcPr>
    </w:tblStylePr>
    <w:tblStylePr w:type="band1Horz">
      <w:tblPr/>
      <w:tcPr>
        <w:shd w:val="clear" w:color="auto" w:fill="C6EDFF" w:themeFill="accent1" w:themeFillTint="33"/>
      </w:tcPr>
    </w:tblStylePr>
  </w:style>
  <w:style w:type="table" w:styleId="ListTable4-Accent2">
    <w:name w:val="List Table 4 Accent 2"/>
    <w:basedOn w:val="TableNormal"/>
    <w:uiPriority w:val="49"/>
    <w:rsid w:val="0090719C"/>
    <w:tblPr>
      <w:tblStyleRowBandSize w:val="1"/>
      <w:tblStyleColBandSize w:val="1"/>
      <w:tblBorders>
        <w:top w:val="single" w:sz="4" w:space="0" w:color="FF19FF" w:themeColor="accent2" w:themeTint="99"/>
        <w:left w:val="single" w:sz="4" w:space="0" w:color="FF19FF" w:themeColor="accent2" w:themeTint="99"/>
        <w:bottom w:val="single" w:sz="4" w:space="0" w:color="FF19FF" w:themeColor="accent2" w:themeTint="99"/>
        <w:right w:val="single" w:sz="4" w:space="0" w:color="FF19FF" w:themeColor="accent2" w:themeTint="99"/>
        <w:insideH w:val="single" w:sz="4" w:space="0" w:color="FF19FF" w:themeColor="accent2" w:themeTint="99"/>
      </w:tblBorders>
    </w:tblPr>
    <w:tblStylePr w:type="firstRow">
      <w:rPr>
        <w:b/>
        <w:bCs/>
        <w:color w:val="FFFFFF" w:themeColor="background1"/>
      </w:rPr>
      <w:tblPr/>
      <w:tcPr>
        <w:tcBorders>
          <w:top w:val="single" w:sz="4" w:space="0" w:color="800080" w:themeColor="accent2"/>
          <w:left w:val="single" w:sz="4" w:space="0" w:color="800080" w:themeColor="accent2"/>
          <w:bottom w:val="single" w:sz="4" w:space="0" w:color="800080" w:themeColor="accent2"/>
          <w:right w:val="single" w:sz="4" w:space="0" w:color="800080" w:themeColor="accent2"/>
          <w:insideH w:val="nil"/>
        </w:tcBorders>
        <w:shd w:val="clear" w:color="auto" w:fill="800080" w:themeFill="accent2"/>
      </w:tcPr>
    </w:tblStylePr>
    <w:tblStylePr w:type="lastRow">
      <w:rPr>
        <w:b/>
        <w:bCs/>
      </w:rPr>
      <w:tblPr/>
      <w:tcPr>
        <w:tcBorders>
          <w:top w:val="double" w:sz="4" w:space="0" w:color="FF19FF" w:themeColor="accent2" w:themeTint="99"/>
        </w:tcBorders>
      </w:tcPr>
    </w:tblStylePr>
    <w:tblStylePr w:type="firstCol">
      <w:rPr>
        <w:b/>
        <w:bCs/>
      </w:rPr>
    </w:tblStylePr>
    <w:tblStylePr w:type="lastCol">
      <w:rPr>
        <w:b/>
        <w:bCs/>
      </w:rPr>
    </w:tblStylePr>
    <w:tblStylePr w:type="band1Vert">
      <w:tblPr/>
      <w:tcPr>
        <w:shd w:val="clear" w:color="auto" w:fill="FFB2FF" w:themeFill="accent2" w:themeFillTint="33"/>
      </w:tcPr>
    </w:tblStylePr>
    <w:tblStylePr w:type="band1Horz">
      <w:tblPr/>
      <w:tcPr>
        <w:shd w:val="clear" w:color="auto" w:fill="FFB2FF" w:themeFill="accent2" w:themeFillTint="33"/>
      </w:tcPr>
    </w:tblStylePr>
  </w:style>
  <w:style w:type="table" w:styleId="ListTable4-Accent3">
    <w:name w:val="List Table 4 Accent 3"/>
    <w:basedOn w:val="TableNormal"/>
    <w:uiPriority w:val="49"/>
    <w:rsid w:val="0090719C"/>
    <w:tblPr>
      <w:tblStyleRowBandSize w:val="1"/>
      <w:tblStyleColBandSize w:val="1"/>
      <w:tblBorders>
        <w:top w:val="single" w:sz="4" w:space="0" w:color="72E3E0" w:themeColor="accent3" w:themeTint="99"/>
        <w:left w:val="single" w:sz="4" w:space="0" w:color="72E3E0" w:themeColor="accent3" w:themeTint="99"/>
        <w:bottom w:val="single" w:sz="4" w:space="0" w:color="72E3E0" w:themeColor="accent3" w:themeTint="99"/>
        <w:right w:val="single" w:sz="4" w:space="0" w:color="72E3E0" w:themeColor="accent3" w:themeTint="99"/>
        <w:insideH w:val="single" w:sz="4" w:space="0" w:color="72E3E0" w:themeColor="accent3" w:themeTint="99"/>
      </w:tblBorders>
    </w:tblPr>
    <w:tblStylePr w:type="firstRow">
      <w:rPr>
        <w:b/>
        <w:bCs/>
        <w:color w:val="FFFFFF" w:themeColor="background1"/>
      </w:rPr>
      <w:tblPr/>
      <w:tcPr>
        <w:tcBorders>
          <w:top w:val="single" w:sz="4" w:space="0" w:color="26C0BC" w:themeColor="accent3"/>
          <w:left w:val="single" w:sz="4" w:space="0" w:color="26C0BC" w:themeColor="accent3"/>
          <w:bottom w:val="single" w:sz="4" w:space="0" w:color="26C0BC" w:themeColor="accent3"/>
          <w:right w:val="single" w:sz="4" w:space="0" w:color="26C0BC" w:themeColor="accent3"/>
          <w:insideH w:val="nil"/>
        </w:tcBorders>
        <w:shd w:val="clear" w:color="auto" w:fill="26C0BC" w:themeFill="accent3"/>
      </w:tcPr>
    </w:tblStylePr>
    <w:tblStylePr w:type="lastRow">
      <w:rPr>
        <w:b/>
        <w:bCs/>
      </w:rPr>
      <w:tblPr/>
      <w:tcPr>
        <w:tcBorders>
          <w:top w:val="double" w:sz="4" w:space="0" w:color="72E3E0" w:themeColor="accent3" w:themeTint="99"/>
        </w:tcBorders>
      </w:tcPr>
    </w:tblStylePr>
    <w:tblStylePr w:type="firstCol">
      <w:rPr>
        <w:b/>
        <w:bCs/>
      </w:rPr>
    </w:tblStylePr>
    <w:tblStylePr w:type="lastCol">
      <w:rPr>
        <w:b/>
        <w:bCs/>
      </w:rPr>
    </w:tblStylePr>
    <w:tblStylePr w:type="band1Vert">
      <w:tblPr/>
      <w:tcPr>
        <w:shd w:val="clear" w:color="auto" w:fill="D0F5F4" w:themeFill="accent3" w:themeFillTint="33"/>
      </w:tcPr>
    </w:tblStylePr>
    <w:tblStylePr w:type="band1Horz">
      <w:tblPr/>
      <w:tcPr>
        <w:shd w:val="clear" w:color="auto" w:fill="D0F5F4" w:themeFill="accent3" w:themeFillTint="33"/>
      </w:tcPr>
    </w:tblStylePr>
  </w:style>
  <w:style w:type="table" w:styleId="ListTable4-Accent4">
    <w:name w:val="List Table 4 Accent 4"/>
    <w:basedOn w:val="TableNormal"/>
    <w:uiPriority w:val="49"/>
    <w:rsid w:val="0090719C"/>
    <w:tblPr>
      <w:tblStyleRowBandSize w:val="1"/>
      <w:tblStyleColBandSize w:val="1"/>
      <w:tblBorders>
        <w:top w:val="single" w:sz="4" w:space="0" w:color="DC8EA7" w:themeColor="accent4" w:themeTint="99"/>
        <w:left w:val="single" w:sz="4" w:space="0" w:color="DC8EA7" w:themeColor="accent4" w:themeTint="99"/>
        <w:bottom w:val="single" w:sz="4" w:space="0" w:color="DC8EA7" w:themeColor="accent4" w:themeTint="99"/>
        <w:right w:val="single" w:sz="4" w:space="0" w:color="DC8EA7" w:themeColor="accent4" w:themeTint="99"/>
        <w:insideH w:val="single" w:sz="4" w:space="0" w:color="DC8EA7" w:themeColor="accent4" w:themeTint="99"/>
      </w:tblBorders>
    </w:tblPr>
    <w:tblStylePr w:type="firstRow">
      <w:rPr>
        <w:b/>
        <w:bCs/>
        <w:color w:val="FFFFFF" w:themeColor="background1"/>
      </w:rPr>
      <w:tblPr/>
      <w:tcPr>
        <w:tcBorders>
          <w:top w:val="single" w:sz="4" w:space="0" w:color="C5446E" w:themeColor="accent4"/>
          <w:left w:val="single" w:sz="4" w:space="0" w:color="C5446E" w:themeColor="accent4"/>
          <w:bottom w:val="single" w:sz="4" w:space="0" w:color="C5446E" w:themeColor="accent4"/>
          <w:right w:val="single" w:sz="4" w:space="0" w:color="C5446E" w:themeColor="accent4"/>
          <w:insideH w:val="nil"/>
        </w:tcBorders>
        <w:shd w:val="clear" w:color="auto" w:fill="C5446E" w:themeFill="accent4"/>
      </w:tcPr>
    </w:tblStylePr>
    <w:tblStylePr w:type="lastRow">
      <w:rPr>
        <w:b/>
        <w:bCs/>
      </w:rPr>
      <w:tblPr/>
      <w:tcPr>
        <w:tcBorders>
          <w:top w:val="double" w:sz="4" w:space="0" w:color="DC8EA7" w:themeColor="accent4" w:themeTint="99"/>
        </w:tcBorders>
      </w:tcPr>
    </w:tblStylePr>
    <w:tblStylePr w:type="firstCol">
      <w:rPr>
        <w:b/>
        <w:bCs/>
      </w:rPr>
    </w:tblStylePr>
    <w:tblStylePr w:type="lastCol">
      <w:rPr>
        <w:b/>
        <w:bCs/>
      </w:rPr>
    </w:tblStylePr>
    <w:tblStylePr w:type="band1Vert">
      <w:tblPr/>
      <w:tcPr>
        <w:shd w:val="clear" w:color="auto" w:fill="F3D9E1" w:themeFill="accent4" w:themeFillTint="33"/>
      </w:tcPr>
    </w:tblStylePr>
    <w:tblStylePr w:type="band1Horz">
      <w:tblPr/>
      <w:tcPr>
        <w:shd w:val="clear" w:color="auto" w:fill="F3D9E1" w:themeFill="accent4" w:themeFillTint="33"/>
      </w:tcPr>
    </w:tblStylePr>
  </w:style>
  <w:style w:type="table" w:styleId="ListTable4-Accent5">
    <w:name w:val="List Table 4 Accent 5"/>
    <w:basedOn w:val="TableNormal"/>
    <w:uiPriority w:val="49"/>
    <w:rsid w:val="0090719C"/>
    <w:tblPr>
      <w:tblStyleRowBandSize w:val="1"/>
      <w:tblStyleColBandSize w:val="1"/>
      <w:tblBorders>
        <w:top w:val="single" w:sz="4" w:space="0" w:color="2F85BD" w:themeColor="accent5" w:themeTint="99"/>
        <w:left w:val="single" w:sz="4" w:space="0" w:color="2F85BD" w:themeColor="accent5" w:themeTint="99"/>
        <w:bottom w:val="single" w:sz="4" w:space="0" w:color="2F85BD" w:themeColor="accent5" w:themeTint="99"/>
        <w:right w:val="single" w:sz="4" w:space="0" w:color="2F85BD" w:themeColor="accent5" w:themeTint="99"/>
        <w:insideH w:val="single" w:sz="4" w:space="0" w:color="2F85BD" w:themeColor="accent5" w:themeTint="99"/>
      </w:tblBorders>
    </w:tblPr>
    <w:tblStylePr w:type="firstRow">
      <w:rPr>
        <w:b/>
        <w:bCs/>
        <w:color w:val="FFFFFF" w:themeColor="background1"/>
      </w:rPr>
      <w:tblPr/>
      <w:tcPr>
        <w:tcBorders>
          <w:top w:val="single" w:sz="4" w:space="0" w:color="0B1F2C" w:themeColor="accent5"/>
          <w:left w:val="single" w:sz="4" w:space="0" w:color="0B1F2C" w:themeColor="accent5"/>
          <w:bottom w:val="single" w:sz="4" w:space="0" w:color="0B1F2C" w:themeColor="accent5"/>
          <w:right w:val="single" w:sz="4" w:space="0" w:color="0B1F2C" w:themeColor="accent5"/>
          <w:insideH w:val="nil"/>
        </w:tcBorders>
        <w:shd w:val="clear" w:color="auto" w:fill="0B1F2C" w:themeFill="accent5"/>
      </w:tcPr>
    </w:tblStylePr>
    <w:tblStylePr w:type="lastRow">
      <w:rPr>
        <w:b/>
        <w:bCs/>
      </w:rPr>
      <w:tblPr/>
      <w:tcPr>
        <w:tcBorders>
          <w:top w:val="double" w:sz="4" w:space="0" w:color="2F85BD" w:themeColor="accent5" w:themeTint="99"/>
        </w:tcBorders>
      </w:tcPr>
    </w:tblStylePr>
    <w:tblStylePr w:type="firstCol">
      <w:rPr>
        <w:b/>
        <w:bCs/>
      </w:rPr>
    </w:tblStylePr>
    <w:tblStylePr w:type="lastCol">
      <w:rPr>
        <w:b/>
        <w:bCs/>
      </w:rPr>
    </w:tblStylePr>
    <w:tblStylePr w:type="band1Vert">
      <w:tblPr/>
      <w:tcPr>
        <w:shd w:val="clear" w:color="auto" w:fill="B6D7EC" w:themeFill="accent5" w:themeFillTint="33"/>
      </w:tcPr>
    </w:tblStylePr>
    <w:tblStylePr w:type="band1Horz">
      <w:tblPr/>
      <w:tcPr>
        <w:shd w:val="clear" w:color="auto" w:fill="B6D7EC" w:themeFill="accent5" w:themeFillTint="33"/>
      </w:tcPr>
    </w:tblStylePr>
  </w:style>
  <w:style w:type="table" w:styleId="ListTable4-Accent6">
    <w:name w:val="List Table 4 Accent 6"/>
    <w:basedOn w:val="TableNormal"/>
    <w:uiPriority w:val="49"/>
    <w:rsid w:val="0090719C"/>
    <w:tblPr>
      <w:tblStyleRowBandSize w:val="1"/>
      <w:tblStyleColBandSize w:val="1"/>
      <w:tblBorders>
        <w:top w:val="single" w:sz="4" w:space="0" w:color="BCBCBC" w:themeColor="accent6" w:themeTint="99"/>
        <w:left w:val="single" w:sz="4" w:space="0" w:color="BCBCBC" w:themeColor="accent6" w:themeTint="99"/>
        <w:bottom w:val="single" w:sz="4" w:space="0" w:color="BCBCBC" w:themeColor="accent6" w:themeTint="99"/>
        <w:right w:val="single" w:sz="4" w:space="0" w:color="BCBCBC" w:themeColor="accent6" w:themeTint="99"/>
        <w:insideH w:val="single" w:sz="4" w:space="0" w:color="BCBCBC" w:themeColor="accent6" w:themeTint="99"/>
      </w:tblBorders>
    </w:tblPr>
    <w:tblStylePr w:type="firstRow">
      <w:rPr>
        <w:b/>
        <w:bCs/>
        <w:color w:val="FFFFFF" w:themeColor="background1"/>
      </w:rPr>
      <w:tblPr/>
      <w:tcPr>
        <w:tcBorders>
          <w:top w:val="single" w:sz="4" w:space="0" w:color="909090" w:themeColor="accent6"/>
          <w:left w:val="single" w:sz="4" w:space="0" w:color="909090" w:themeColor="accent6"/>
          <w:bottom w:val="single" w:sz="4" w:space="0" w:color="909090" w:themeColor="accent6"/>
          <w:right w:val="single" w:sz="4" w:space="0" w:color="909090" w:themeColor="accent6"/>
          <w:insideH w:val="nil"/>
        </w:tcBorders>
        <w:shd w:val="clear" w:color="auto" w:fill="909090" w:themeFill="accent6"/>
      </w:tcPr>
    </w:tblStylePr>
    <w:tblStylePr w:type="lastRow">
      <w:rPr>
        <w:b/>
        <w:bCs/>
      </w:rPr>
      <w:tblPr/>
      <w:tcPr>
        <w:tcBorders>
          <w:top w:val="double" w:sz="4" w:space="0" w:color="BCBCBC" w:themeColor="accent6" w:themeTint="99"/>
        </w:tcBorders>
      </w:tcPr>
    </w:tblStylePr>
    <w:tblStylePr w:type="firstCol">
      <w:rPr>
        <w:b/>
        <w:bCs/>
      </w:rPr>
    </w:tblStylePr>
    <w:tblStylePr w:type="lastCol">
      <w:rPr>
        <w:b/>
        <w:bCs/>
      </w:rPr>
    </w:tblStylePr>
    <w:tblStylePr w:type="band1Vert">
      <w:tblPr/>
      <w:tcPr>
        <w:shd w:val="clear" w:color="auto" w:fill="E8E8E8" w:themeFill="accent6" w:themeFillTint="33"/>
      </w:tcPr>
    </w:tblStylePr>
    <w:tblStylePr w:type="band1Horz">
      <w:tblPr/>
      <w:tcPr>
        <w:shd w:val="clear" w:color="auto" w:fill="E8E8E8" w:themeFill="accent6" w:themeFillTint="33"/>
      </w:tcPr>
    </w:tblStylePr>
  </w:style>
  <w:style w:type="table" w:styleId="ListTable5Dark">
    <w:name w:val="List Table 5 Dark"/>
    <w:basedOn w:val="TableNormal"/>
    <w:uiPriority w:val="50"/>
    <w:rsid w:val="0090719C"/>
    <w:rPr>
      <w:color w:val="FFFFFF" w:themeColor="background1"/>
    </w:rPr>
    <w:tblPr>
      <w:tblStyleRowBandSize w:val="1"/>
      <w:tblStyleColBandSize w:val="1"/>
      <w:tblBorders>
        <w:top w:val="single" w:sz="24" w:space="0" w:color="0B1F2C" w:themeColor="text1"/>
        <w:left w:val="single" w:sz="24" w:space="0" w:color="0B1F2C" w:themeColor="text1"/>
        <w:bottom w:val="single" w:sz="24" w:space="0" w:color="0B1F2C" w:themeColor="text1"/>
        <w:right w:val="single" w:sz="24" w:space="0" w:color="0B1F2C" w:themeColor="text1"/>
      </w:tblBorders>
    </w:tblPr>
    <w:tcPr>
      <w:shd w:val="clear" w:color="auto" w:fill="0B1F2C"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0719C"/>
    <w:rPr>
      <w:color w:val="FFFFFF" w:themeColor="background1"/>
    </w:rPr>
    <w:tblPr>
      <w:tblStyleRowBandSize w:val="1"/>
      <w:tblStyleColBandSize w:val="1"/>
      <w:tblBorders>
        <w:top w:val="single" w:sz="24" w:space="0" w:color="009FE3" w:themeColor="accent1"/>
        <w:left w:val="single" w:sz="24" w:space="0" w:color="009FE3" w:themeColor="accent1"/>
        <w:bottom w:val="single" w:sz="24" w:space="0" w:color="009FE3" w:themeColor="accent1"/>
        <w:right w:val="single" w:sz="24" w:space="0" w:color="009FE3" w:themeColor="accent1"/>
      </w:tblBorders>
    </w:tblPr>
    <w:tcPr>
      <w:shd w:val="clear" w:color="auto" w:fill="009FE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0719C"/>
    <w:rPr>
      <w:color w:val="FFFFFF" w:themeColor="background1"/>
    </w:rPr>
    <w:tblPr>
      <w:tblStyleRowBandSize w:val="1"/>
      <w:tblStyleColBandSize w:val="1"/>
      <w:tblBorders>
        <w:top w:val="single" w:sz="24" w:space="0" w:color="800080" w:themeColor="accent2"/>
        <w:left w:val="single" w:sz="24" w:space="0" w:color="800080" w:themeColor="accent2"/>
        <w:bottom w:val="single" w:sz="24" w:space="0" w:color="800080" w:themeColor="accent2"/>
        <w:right w:val="single" w:sz="24" w:space="0" w:color="800080" w:themeColor="accent2"/>
      </w:tblBorders>
    </w:tblPr>
    <w:tcPr>
      <w:shd w:val="clear" w:color="auto" w:fill="80008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0719C"/>
    <w:rPr>
      <w:color w:val="FFFFFF" w:themeColor="background1"/>
    </w:rPr>
    <w:tblPr>
      <w:tblStyleRowBandSize w:val="1"/>
      <w:tblStyleColBandSize w:val="1"/>
      <w:tblBorders>
        <w:top w:val="single" w:sz="24" w:space="0" w:color="26C0BC" w:themeColor="accent3"/>
        <w:left w:val="single" w:sz="24" w:space="0" w:color="26C0BC" w:themeColor="accent3"/>
        <w:bottom w:val="single" w:sz="24" w:space="0" w:color="26C0BC" w:themeColor="accent3"/>
        <w:right w:val="single" w:sz="24" w:space="0" w:color="26C0BC" w:themeColor="accent3"/>
      </w:tblBorders>
    </w:tblPr>
    <w:tcPr>
      <w:shd w:val="clear" w:color="auto" w:fill="26C0B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0719C"/>
    <w:rPr>
      <w:color w:val="FFFFFF" w:themeColor="background1"/>
    </w:rPr>
    <w:tblPr>
      <w:tblStyleRowBandSize w:val="1"/>
      <w:tblStyleColBandSize w:val="1"/>
      <w:tblBorders>
        <w:top w:val="single" w:sz="24" w:space="0" w:color="C5446E" w:themeColor="accent4"/>
        <w:left w:val="single" w:sz="24" w:space="0" w:color="C5446E" w:themeColor="accent4"/>
        <w:bottom w:val="single" w:sz="24" w:space="0" w:color="C5446E" w:themeColor="accent4"/>
        <w:right w:val="single" w:sz="24" w:space="0" w:color="C5446E" w:themeColor="accent4"/>
      </w:tblBorders>
    </w:tblPr>
    <w:tcPr>
      <w:shd w:val="clear" w:color="auto" w:fill="C544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0719C"/>
    <w:rPr>
      <w:color w:val="FFFFFF" w:themeColor="background1"/>
    </w:rPr>
    <w:tblPr>
      <w:tblStyleRowBandSize w:val="1"/>
      <w:tblStyleColBandSize w:val="1"/>
      <w:tblBorders>
        <w:top w:val="single" w:sz="24" w:space="0" w:color="0B1F2C" w:themeColor="accent5"/>
        <w:left w:val="single" w:sz="24" w:space="0" w:color="0B1F2C" w:themeColor="accent5"/>
        <w:bottom w:val="single" w:sz="24" w:space="0" w:color="0B1F2C" w:themeColor="accent5"/>
        <w:right w:val="single" w:sz="24" w:space="0" w:color="0B1F2C" w:themeColor="accent5"/>
      </w:tblBorders>
    </w:tblPr>
    <w:tcPr>
      <w:shd w:val="clear" w:color="auto" w:fill="0B1F2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0719C"/>
    <w:rPr>
      <w:color w:val="FFFFFF" w:themeColor="background1"/>
    </w:rPr>
    <w:tblPr>
      <w:tblStyleRowBandSize w:val="1"/>
      <w:tblStyleColBandSize w:val="1"/>
      <w:tblBorders>
        <w:top w:val="single" w:sz="24" w:space="0" w:color="909090" w:themeColor="accent6"/>
        <w:left w:val="single" w:sz="24" w:space="0" w:color="909090" w:themeColor="accent6"/>
        <w:bottom w:val="single" w:sz="24" w:space="0" w:color="909090" w:themeColor="accent6"/>
        <w:right w:val="single" w:sz="24" w:space="0" w:color="909090" w:themeColor="accent6"/>
      </w:tblBorders>
    </w:tblPr>
    <w:tcPr>
      <w:shd w:val="clear" w:color="auto" w:fill="90909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90719C"/>
    <w:rPr>
      <w:color w:val="0B1F2C" w:themeColor="text1"/>
    </w:rPr>
    <w:tblPr>
      <w:tblStyleRowBandSize w:val="1"/>
      <w:tblStyleColBandSize w:val="1"/>
      <w:tblBorders>
        <w:top w:val="single" w:sz="4" w:space="0" w:color="0B1F2C" w:themeColor="text1"/>
        <w:bottom w:val="single" w:sz="4" w:space="0" w:color="0B1F2C" w:themeColor="text1"/>
      </w:tblBorders>
    </w:tblPr>
    <w:tblStylePr w:type="firstRow">
      <w:rPr>
        <w:b/>
        <w:bCs/>
      </w:rPr>
      <w:tblPr/>
      <w:tcPr>
        <w:tcBorders>
          <w:bottom w:val="single" w:sz="4" w:space="0" w:color="0B1F2C" w:themeColor="text1"/>
        </w:tcBorders>
      </w:tcPr>
    </w:tblStylePr>
    <w:tblStylePr w:type="lastRow">
      <w:rPr>
        <w:b/>
        <w:bCs/>
      </w:rPr>
      <w:tblPr/>
      <w:tcPr>
        <w:tcBorders>
          <w:top w:val="double" w:sz="4" w:space="0" w:color="0B1F2C" w:themeColor="text1"/>
        </w:tcBorders>
      </w:tcPr>
    </w:tblStylePr>
    <w:tblStylePr w:type="firstCol">
      <w:rPr>
        <w:b/>
        <w:bCs/>
      </w:rPr>
    </w:tblStylePr>
    <w:tblStylePr w:type="lastCol">
      <w:rPr>
        <w:b/>
        <w:bCs/>
      </w:rPr>
    </w:tblStylePr>
    <w:tblStylePr w:type="band1Vert">
      <w:tblPr/>
      <w:tcPr>
        <w:shd w:val="clear" w:color="auto" w:fill="B6D7EC" w:themeFill="text1" w:themeFillTint="33"/>
      </w:tcPr>
    </w:tblStylePr>
    <w:tblStylePr w:type="band1Horz">
      <w:tblPr/>
      <w:tcPr>
        <w:shd w:val="clear" w:color="auto" w:fill="B6D7EC" w:themeFill="text1" w:themeFillTint="33"/>
      </w:tcPr>
    </w:tblStylePr>
  </w:style>
  <w:style w:type="table" w:styleId="ListTable6ColourfulAccent1">
    <w:name w:val="List Table 6 Colorful Accent 1"/>
    <w:basedOn w:val="TableNormal"/>
    <w:uiPriority w:val="51"/>
    <w:rsid w:val="0090719C"/>
    <w:rPr>
      <w:color w:val="0076AA" w:themeColor="accent1" w:themeShade="BF"/>
    </w:rPr>
    <w:tblPr>
      <w:tblStyleRowBandSize w:val="1"/>
      <w:tblStyleColBandSize w:val="1"/>
      <w:tblBorders>
        <w:top w:val="single" w:sz="4" w:space="0" w:color="009FE3" w:themeColor="accent1"/>
        <w:bottom w:val="single" w:sz="4" w:space="0" w:color="009FE3" w:themeColor="accent1"/>
      </w:tblBorders>
    </w:tblPr>
    <w:tblStylePr w:type="firstRow">
      <w:rPr>
        <w:b/>
        <w:bCs/>
      </w:rPr>
      <w:tblPr/>
      <w:tcPr>
        <w:tcBorders>
          <w:bottom w:val="single" w:sz="4" w:space="0" w:color="009FE3" w:themeColor="accent1"/>
        </w:tcBorders>
      </w:tcPr>
    </w:tblStylePr>
    <w:tblStylePr w:type="lastRow">
      <w:rPr>
        <w:b/>
        <w:bCs/>
      </w:rPr>
      <w:tblPr/>
      <w:tcPr>
        <w:tcBorders>
          <w:top w:val="double" w:sz="4" w:space="0" w:color="009FE3" w:themeColor="accent1"/>
        </w:tcBorders>
      </w:tcPr>
    </w:tblStylePr>
    <w:tblStylePr w:type="firstCol">
      <w:rPr>
        <w:b/>
        <w:bCs/>
      </w:rPr>
    </w:tblStylePr>
    <w:tblStylePr w:type="lastCol">
      <w:rPr>
        <w:b/>
        <w:bCs/>
      </w:rPr>
    </w:tblStylePr>
    <w:tblStylePr w:type="band1Vert">
      <w:tblPr/>
      <w:tcPr>
        <w:shd w:val="clear" w:color="auto" w:fill="C6EDFF" w:themeFill="accent1" w:themeFillTint="33"/>
      </w:tcPr>
    </w:tblStylePr>
    <w:tblStylePr w:type="band1Horz">
      <w:tblPr/>
      <w:tcPr>
        <w:shd w:val="clear" w:color="auto" w:fill="C6EDFF" w:themeFill="accent1" w:themeFillTint="33"/>
      </w:tcPr>
    </w:tblStylePr>
  </w:style>
  <w:style w:type="table" w:styleId="ListTable6ColourfulAccent2">
    <w:name w:val="List Table 6 Colorful Accent 2"/>
    <w:basedOn w:val="TableNormal"/>
    <w:uiPriority w:val="51"/>
    <w:rsid w:val="0090719C"/>
    <w:rPr>
      <w:color w:val="5F005F" w:themeColor="accent2" w:themeShade="BF"/>
    </w:rPr>
    <w:tblPr>
      <w:tblStyleRowBandSize w:val="1"/>
      <w:tblStyleColBandSize w:val="1"/>
      <w:tblBorders>
        <w:top w:val="single" w:sz="4" w:space="0" w:color="800080" w:themeColor="accent2"/>
        <w:bottom w:val="single" w:sz="4" w:space="0" w:color="800080" w:themeColor="accent2"/>
      </w:tblBorders>
    </w:tblPr>
    <w:tblStylePr w:type="firstRow">
      <w:rPr>
        <w:b/>
        <w:bCs/>
      </w:rPr>
      <w:tblPr/>
      <w:tcPr>
        <w:tcBorders>
          <w:bottom w:val="single" w:sz="4" w:space="0" w:color="800080" w:themeColor="accent2"/>
        </w:tcBorders>
      </w:tcPr>
    </w:tblStylePr>
    <w:tblStylePr w:type="lastRow">
      <w:rPr>
        <w:b/>
        <w:bCs/>
      </w:rPr>
      <w:tblPr/>
      <w:tcPr>
        <w:tcBorders>
          <w:top w:val="double" w:sz="4" w:space="0" w:color="800080" w:themeColor="accent2"/>
        </w:tcBorders>
      </w:tcPr>
    </w:tblStylePr>
    <w:tblStylePr w:type="firstCol">
      <w:rPr>
        <w:b/>
        <w:bCs/>
      </w:rPr>
    </w:tblStylePr>
    <w:tblStylePr w:type="lastCol">
      <w:rPr>
        <w:b/>
        <w:bCs/>
      </w:rPr>
    </w:tblStylePr>
    <w:tblStylePr w:type="band1Vert">
      <w:tblPr/>
      <w:tcPr>
        <w:shd w:val="clear" w:color="auto" w:fill="FFB2FF" w:themeFill="accent2" w:themeFillTint="33"/>
      </w:tcPr>
    </w:tblStylePr>
    <w:tblStylePr w:type="band1Horz">
      <w:tblPr/>
      <w:tcPr>
        <w:shd w:val="clear" w:color="auto" w:fill="FFB2FF" w:themeFill="accent2" w:themeFillTint="33"/>
      </w:tcPr>
    </w:tblStylePr>
  </w:style>
  <w:style w:type="table" w:styleId="ListTable6ColourfulAccent3">
    <w:name w:val="List Table 6 Colorful Accent 3"/>
    <w:basedOn w:val="TableNormal"/>
    <w:uiPriority w:val="51"/>
    <w:rsid w:val="0090719C"/>
    <w:rPr>
      <w:color w:val="1C8F8C" w:themeColor="accent3" w:themeShade="BF"/>
    </w:rPr>
    <w:tblPr>
      <w:tblStyleRowBandSize w:val="1"/>
      <w:tblStyleColBandSize w:val="1"/>
      <w:tblBorders>
        <w:top w:val="single" w:sz="4" w:space="0" w:color="26C0BC" w:themeColor="accent3"/>
        <w:bottom w:val="single" w:sz="4" w:space="0" w:color="26C0BC" w:themeColor="accent3"/>
      </w:tblBorders>
    </w:tblPr>
    <w:tblStylePr w:type="firstRow">
      <w:rPr>
        <w:b/>
        <w:bCs/>
      </w:rPr>
      <w:tblPr/>
      <w:tcPr>
        <w:tcBorders>
          <w:bottom w:val="single" w:sz="4" w:space="0" w:color="26C0BC" w:themeColor="accent3"/>
        </w:tcBorders>
      </w:tcPr>
    </w:tblStylePr>
    <w:tblStylePr w:type="lastRow">
      <w:rPr>
        <w:b/>
        <w:bCs/>
      </w:rPr>
      <w:tblPr/>
      <w:tcPr>
        <w:tcBorders>
          <w:top w:val="double" w:sz="4" w:space="0" w:color="26C0BC" w:themeColor="accent3"/>
        </w:tcBorders>
      </w:tcPr>
    </w:tblStylePr>
    <w:tblStylePr w:type="firstCol">
      <w:rPr>
        <w:b/>
        <w:bCs/>
      </w:rPr>
    </w:tblStylePr>
    <w:tblStylePr w:type="lastCol">
      <w:rPr>
        <w:b/>
        <w:bCs/>
      </w:rPr>
    </w:tblStylePr>
    <w:tblStylePr w:type="band1Vert">
      <w:tblPr/>
      <w:tcPr>
        <w:shd w:val="clear" w:color="auto" w:fill="D0F5F4" w:themeFill="accent3" w:themeFillTint="33"/>
      </w:tcPr>
    </w:tblStylePr>
    <w:tblStylePr w:type="band1Horz">
      <w:tblPr/>
      <w:tcPr>
        <w:shd w:val="clear" w:color="auto" w:fill="D0F5F4" w:themeFill="accent3" w:themeFillTint="33"/>
      </w:tcPr>
    </w:tblStylePr>
  </w:style>
  <w:style w:type="table" w:styleId="ListTable6ColourfulAccent4">
    <w:name w:val="List Table 6 Colorful Accent 4"/>
    <w:basedOn w:val="TableNormal"/>
    <w:uiPriority w:val="51"/>
    <w:rsid w:val="0090719C"/>
    <w:rPr>
      <w:color w:val="972F50" w:themeColor="accent4" w:themeShade="BF"/>
    </w:rPr>
    <w:tblPr>
      <w:tblStyleRowBandSize w:val="1"/>
      <w:tblStyleColBandSize w:val="1"/>
      <w:tblBorders>
        <w:top w:val="single" w:sz="4" w:space="0" w:color="C5446E" w:themeColor="accent4"/>
        <w:bottom w:val="single" w:sz="4" w:space="0" w:color="C5446E" w:themeColor="accent4"/>
      </w:tblBorders>
    </w:tblPr>
    <w:tblStylePr w:type="firstRow">
      <w:rPr>
        <w:b/>
        <w:bCs/>
      </w:rPr>
      <w:tblPr/>
      <w:tcPr>
        <w:tcBorders>
          <w:bottom w:val="single" w:sz="4" w:space="0" w:color="C5446E" w:themeColor="accent4"/>
        </w:tcBorders>
      </w:tcPr>
    </w:tblStylePr>
    <w:tblStylePr w:type="lastRow">
      <w:rPr>
        <w:b/>
        <w:bCs/>
      </w:rPr>
      <w:tblPr/>
      <w:tcPr>
        <w:tcBorders>
          <w:top w:val="double" w:sz="4" w:space="0" w:color="C5446E" w:themeColor="accent4"/>
        </w:tcBorders>
      </w:tcPr>
    </w:tblStylePr>
    <w:tblStylePr w:type="firstCol">
      <w:rPr>
        <w:b/>
        <w:bCs/>
      </w:rPr>
    </w:tblStylePr>
    <w:tblStylePr w:type="lastCol">
      <w:rPr>
        <w:b/>
        <w:bCs/>
      </w:rPr>
    </w:tblStylePr>
    <w:tblStylePr w:type="band1Vert">
      <w:tblPr/>
      <w:tcPr>
        <w:shd w:val="clear" w:color="auto" w:fill="F3D9E1" w:themeFill="accent4" w:themeFillTint="33"/>
      </w:tcPr>
    </w:tblStylePr>
    <w:tblStylePr w:type="band1Horz">
      <w:tblPr/>
      <w:tcPr>
        <w:shd w:val="clear" w:color="auto" w:fill="F3D9E1" w:themeFill="accent4" w:themeFillTint="33"/>
      </w:tcPr>
    </w:tblStylePr>
  </w:style>
  <w:style w:type="table" w:styleId="ListTable6ColourfulAccent5">
    <w:name w:val="List Table 6 Colorful Accent 5"/>
    <w:basedOn w:val="TableNormal"/>
    <w:uiPriority w:val="51"/>
    <w:rsid w:val="0090719C"/>
    <w:rPr>
      <w:color w:val="081720" w:themeColor="accent5" w:themeShade="BF"/>
    </w:rPr>
    <w:tblPr>
      <w:tblStyleRowBandSize w:val="1"/>
      <w:tblStyleColBandSize w:val="1"/>
      <w:tblBorders>
        <w:top w:val="single" w:sz="4" w:space="0" w:color="0B1F2C" w:themeColor="accent5"/>
        <w:bottom w:val="single" w:sz="4" w:space="0" w:color="0B1F2C" w:themeColor="accent5"/>
      </w:tblBorders>
    </w:tblPr>
    <w:tblStylePr w:type="firstRow">
      <w:rPr>
        <w:b/>
        <w:bCs/>
      </w:rPr>
      <w:tblPr/>
      <w:tcPr>
        <w:tcBorders>
          <w:bottom w:val="single" w:sz="4" w:space="0" w:color="0B1F2C" w:themeColor="accent5"/>
        </w:tcBorders>
      </w:tcPr>
    </w:tblStylePr>
    <w:tblStylePr w:type="lastRow">
      <w:rPr>
        <w:b/>
        <w:bCs/>
      </w:rPr>
      <w:tblPr/>
      <w:tcPr>
        <w:tcBorders>
          <w:top w:val="double" w:sz="4" w:space="0" w:color="0B1F2C" w:themeColor="accent5"/>
        </w:tcBorders>
      </w:tcPr>
    </w:tblStylePr>
    <w:tblStylePr w:type="firstCol">
      <w:rPr>
        <w:b/>
        <w:bCs/>
      </w:rPr>
    </w:tblStylePr>
    <w:tblStylePr w:type="lastCol">
      <w:rPr>
        <w:b/>
        <w:bCs/>
      </w:rPr>
    </w:tblStylePr>
    <w:tblStylePr w:type="band1Vert">
      <w:tblPr/>
      <w:tcPr>
        <w:shd w:val="clear" w:color="auto" w:fill="B6D7EC" w:themeFill="accent5" w:themeFillTint="33"/>
      </w:tcPr>
    </w:tblStylePr>
    <w:tblStylePr w:type="band1Horz">
      <w:tblPr/>
      <w:tcPr>
        <w:shd w:val="clear" w:color="auto" w:fill="B6D7EC" w:themeFill="accent5" w:themeFillTint="33"/>
      </w:tcPr>
    </w:tblStylePr>
  </w:style>
  <w:style w:type="table" w:styleId="ListTable6ColourfulAccent6">
    <w:name w:val="List Table 6 Colorful Accent 6"/>
    <w:basedOn w:val="TableNormal"/>
    <w:uiPriority w:val="51"/>
    <w:rsid w:val="0090719C"/>
    <w:rPr>
      <w:color w:val="6B6B6B" w:themeColor="accent6" w:themeShade="BF"/>
    </w:rPr>
    <w:tblPr>
      <w:tblStyleRowBandSize w:val="1"/>
      <w:tblStyleColBandSize w:val="1"/>
      <w:tblBorders>
        <w:top w:val="single" w:sz="4" w:space="0" w:color="909090" w:themeColor="accent6"/>
        <w:bottom w:val="single" w:sz="4" w:space="0" w:color="909090" w:themeColor="accent6"/>
      </w:tblBorders>
    </w:tblPr>
    <w:tblStylePr w:type="firstRow">
      <w:rPr>
        <w:b/>
        <w:bCs/>
      </w:rPr>
      <w:tblPr/>
      <w:tcPr>
        <w:tcBorders>
          <w:bottom w:val="single" w:sz="4" w:space="0" w:color="909090" w:themeColor="accent6"/>
        </w:tcBorders>
      </w:tcPr>
    </w:tblStylePr>
    <w:tblStylePr w:type="lastRow">
      <w:rPr>
        <w:b/>
        <w:bCs/>
      </w:rPr>
      <w:tblPr/>
      <w:tcPr>
        <w:tcBorders>
          <w:top w:val="double" w:sz="4" w:space="0" w:color="909090" w:themeColor="accent6"/>
        </w:tcBorders>
      </w:tcPr>
    </w:tblStylePr>
    <w:tblStylePr w:type="firstCol">
      <w:rPr>
        <w:b/>
        <w:bCs/>
      </w:rPr>
    </w:tblStylePr>
    <w:tblStylePr w:type="lastCol">
      <w:rPr>
        <w:b/>
        <w:bCs/>
      </w:rPr>
    </w:tblStylePr>
    <w:tblStylePr w:type="band1Vert">
      <w:tblPr/>
      <w:tcPr>
        <w:shd w:val="clear" w:color="auto" w:fill="E8E8E8" w:themeFill="accent6" w:themeFillTint="33"/>
      </w:tcPr>
    </w:tblStylePr>
    <w:tblStylePr w:type="band1Horz">
      <w:tblPr/>
      <w:tcPr>
        <w:shd w:val="clear" w:color="auto" w:fill="E8E8E8" w:themeFill="accent6" w:themeFillTint="33"/>
      </w:tcPr>
    </w:tblStylePr>
  </w:style>
  <w:style w:type="table" w:styleId="ListTable7Colourful">
    <w:name w:val="List Table 7 Colorful"/>
    <w:basedOn w:val="TableNormal"/>
    <w:uiPriority w:val="52"/>
    <w:rsid w:val="0090719C"/>
    <w:rPr>
      <w:color w:val="0B1F2C"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B1F2C"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B1F2C"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B1F2C"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B1F2C" w:themeColor="text1"/>
        </w:tcBorders>
        <w:shd w:val="clear" w:color="auto" w:fill="FFFFFF" w:themeFill="background1"/>
      </w:tcPr>
    </w:tblStylePr>
    <w:tblStylePr w:type="band1Vert">
      <w:tblPr/>
      <w:tcPr>
        <w:shd w:val="clear" w:color="auto" w:fill="B6D7EC" w:themeFill="text1" w:themeFillTint="33"/>
      </w:tcPr>
    </w:tblStylePr>
    <w:tblStylePr w:type="band1Horz">
      <w:tblPr/>
      <w:tcPr>
        <w:shd w:val="clear" w:color="auto" w:fill="B6D7E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90719C"/>
    <w:rPr>
      <w:color w:val="0076A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FE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FE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FE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FE3" w:themeColor="accent1"/>
        </w:tcBorders>
        <w:shd w:val="clear" w:color="auto" w:fill="FFFFFF" w:themeFill="background1"/>
      </w:tcPr>
    </w:tblStylePr>
    <w:tblStylePr w:type="band1Vert">
      <w:tblPr/>
      <w:tcPr>
        <w:shd w:val="clear" w:color="auto" w:fill="C6EDFF" w:themeFill="accent1" w:themeFillTint="33"/>
      </w:tcPr>
    </w:tblStylePr>
    <w:tblStylePr w:type="band1Horz">
      <w:tblPr/>
      <w:tcPr>
        <w:shd w:val="clear" w:color="auto" w:fill="C6E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90719C"/>
    <w:rPr>
      <w:color w:val="5F005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008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008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008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0080" w:themeColor="accent2"/>
        </w:tcBorders>
        <w:shd w:val="clear" w:color="auto" w:fill="FFFFFF" w:themeFill="background1"/>
      </w:tcPr>
    </w:tblStylePr>
    <w:tblStylePr w:type="band1Vert">
      <w:tblPr/>
      <w:tcPr>
        <w:shd w:val="clear" w:color="auto" w:fill="FFB2FF" w:themeFill="accent2" w:themeFillTint="33"/>
      </w:tcPr>
    </w:tblStylePr>
    <w:tblStylePr w:type="band1Horz">
      <w:tblPr/>
      <w:tcPr>
        <w:shd w:val="clear" w:color="auto" w:fill="FFB2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90719C"/>
    <w:rPr>
      <w:color w:val="1C8F8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C0B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C0B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C0B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C0BC" w:themeColor="accent3"/>
        </w:tcBorders>
        <w:shd w:val="clear" w:color="auto" w:fill="FFFFFF" w:themeFill="background1"/>
      </w:tcPr>
    </w:tblStylePr>
    <w:tblStylePr w:type="band1Vert">
      <w:tblPr/>
      <w:tcPr>
        <w:shd w:val="clear" w:color="auto" w:fill="D0F5F4" w:themeFill="accent3" w:themeFillTint="33"/>
      </w:tcPr>
    </w:tblStylePr>
    <w:tblStylePr w:type="band1Horz">
      <w:tblPr/>
      <w:tcPr>
        <w:shd w:val="clear" w:color="auto" w:fill="D0F5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90719C"/>
    <w:rPr>
      <w:color w:val="972F5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544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544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544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5446E" w:themeColor="accent4"/>
        </w:tcBorders>
        <w:shd w:val="clear" w:color="auto" w:fill="FFFFFF" w:themeFill="background1"/>
      </w:tcPr>
    </w:tblStylePr>
    <w:tblStylePr w:type="band1Vert">
      <w:tblPr/>
      <w:tcPr>
        <w:shd w:val="clear" w:color="auto" w:fill="F3D9E1" w:themeFill="accent4" w:themeFillTint="33"/>
      </w:tcPr>
    </w:tblStylePr>
    <w:tblStylePr w:type="band1Horz">
      <w:tblPr/>
      <w:tcPr>
        <w:shd w:val="clear" w:color="auto" w:fill="F3D9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90719C"/>
    <w:rPr>
      <w:color w:val="08172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B1F2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B1F2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B1F2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B1F2C" w:themeColor="accent5"/>
        </w:tcBorders>
        <w:shd w:val="clear" w:color="auto" w:fill="FFFFFF" w:themeFill="background1"/>
      </w:tcPr>
    </w:tblStylePr>
    <w:tblStylePr w:type="band1Vert">
      <w:tblPr/>
      <w:tcPr>
        <w:shd w:val="clear" w:color="auto" w:fill="B6D7EC" w:themeFill="accent5" w:themeFillTint="33"/>
      </w:tcPr>
    </w:tblStylePr>
    <w:tblStylePr w:type="band1Horz">
      <w:tblPr/>
      <w:tcPr>
        <w:shd w:val="clear" w:color="auto" w:fill="B6D7E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90719C"/>
    <w:rPr>
      <w:color w:val="6B6B6B"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909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909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909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9090" w:themeColor="accent6"/>
        </w:tcBorders>
        <w:shd w:val="clear" w:color="auto" w:fill="FFFFFF" w:themeFill="background1"/>
      </w:tcPr>
    </w:tblStylePr>
    <w:tblStylePr w:type="band1Vert">
      <w:tblPr/>
      <w:tcPr>
        <w:shd w:val="clear" w:color="auto" w:fill="E8E8E8" w:themeFill="accent6" w:themeFillTint="33"/>
      </w:tcPr>
    </w:tblStylePr>
    <w:tblStylePr w:type="band1Horz">
      <w:tblPr/>
      <w:tcPr>
        <w:shd w:val="clear" w:color="auto" w:fill="E8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0719C"/>
    <w:pPr>
      <w:tabs>
        <w:tab w:val="left" w:pos="480"/>
        <w:tab w:val="left" w:pos="960"/>
        <w:tab w:val="left" w:pos="1440"/>
        <w:tab w:val="left" w:pos="1920"/>
        <w:tab w:val="left" w:pos="2400"/>
        <w:tab w:val="left" w:pos="2880"/>
        <w:tab w:val="left" w:pos="3360"/>
        <w:tab w:val="left" w:pos="3840"/>
        <w:tab w:val="left" w:pos="4320"/>
      </w:tabs>
    </w:pPr>
    <w:rPr>
      <w:rFonts w:ascii="Consolas" w:eastAsia="Arial" w:hAnsi="Consolas" w:cs="Arial"/>
      <w:lang w:val="en-GB"/>
    </w:rPr>
  </w:style>
  <w:style w:type="character" w:customStyle="1" w:styleId="MacroTextChar">
    <w:name w:val="Macro Text Char"/>
    <w:basedOn w:val="DefaultParagraphFont"/>
    <w:link w:val="MacroText"/>
    <w:uiPriority w:val="99"/>
    <w:semiHidden/>
    <w:rsid w:val="0090719C"/>
    <w:rPr>
      <w:rFonts w:ascii="Consolas" w:eastAsia="Arial" w:hAnsi="Consolas" w:cs="Arial"/>
      <w:sz w:val="20"/>
      <w:szCs w:val="20"/>
      <w:lang w:val="en-GB"/>
    </w:rPr>
  </w:style>
  <w:style w:type="table" w:styleId="MediumGrid1">
    <w:name w:val="Medium Grid 1"/>
    <w:basedOn w:val="TableNormal"/>
    <w:uiPriority w:val="67"/>
    <w:semiHidden/>
    <w:unhideWhenUsed/>
    <w:rsid w:val="0090719C"/>
    <w:tblPr>
      <w:tblStyleRowBandSize w:val="1"/>
      <w:tblStyleColBandSize w:val="1"/>
      <w:tblBorders>
        <w:top w:val="single" w:sz="8" w:space="0" w:color="215F87" w:themeColor="text1" w:themeTint="BF"/>
        <w:left w:val="single" w:sz="8" w:space="0" w:color="215F87" w:themeColor="text1" w:themeTint="BF"/>
        <w:bottom w:val="single" w:sz="8" w:space="0" w:color="215F87" w:themeColor="text1" w:themeTint="BF"/>
        <w:right w:val="single" w:sz="8" w:space="0" w:color="215F87" w:themeColor="text1" w:themeTint="BF"/>
        <w:insideH w:val="single" w:sz="8" w:space="0" w:color="215F87" w:themeColor="text1" w:themeTint="BF"/>
        <w:insideV w:val="single" w:sz="8" w:space="0" w:color="215F87" w:themeColor="text1" w:themeTint="BF"/>
      </w:tblBorders>
    </w:tblPr>
    <w:tcPr>
      <w:shd w:val="clear" w:color="auto" w:fill="A4CDE8" w:themeFill="text1" w:themeFillTint="3F"/>
    </w:tcPr>
    <w:tblStylePr w:type="firstRow">
      <w:rPr>
        <w:b/>
        <w:bCs/>
      </w:rPr>
    </w:tblStylePr>
    <w:tblStylePr w:type="lastRow">
      <w:rPr>
        <w:b/>
        <w:bCs/>
      </w:rPr>
      <w:tblPr/>
      <w:tcPr>
        <w:tcBorders>
          <w:top w:val="single" w:sz="18" w:space="0" w:color="215F87" w:themeColor="text1" w:themeTint="BF"/>
        </w:tcBorders>
      </w:tcPr>
    </w:tblStylePr>
    <w:tblStylePr w:type="firstCol">
      <w:rPr>
        <w:b/>
        <w:bCs/>
      </w:rPr>
    </w:tblStylePr>
    <w:tblStylePr w:type="lastCol">
      <w:rPr>
        <w:b/>
        <w:bCs/>
      </w:rPr>
    </w:tblStylePr>
    <w:tblStylePr w:type="band1Vert">
      <w:tblPr/>
      <w:tcPr>
        <w:shd w:val="clear" w:color="auto" w:fill="499BD1" w:themeFill="text1" w:themeFillTint="7F"/>
      </w:tcPr>
    </w:tblStylePr>
    <w:tblStylePr w:type="band1Horz">
      <w:tblPr/>
      <w:tcPr>
        <w:shd w:val="clear" w:color="auto" w:fill="499BD1" w:themeFill="text1" w:themeFillTint="7F"/>
      </w:tcPr>
    </w:tblStylePr>
  </w:style>
  <w:style w:type="table" w:styleId="MediumGrid1-Accent1">
    <w:name w:val="Medium Grid 1 Accent 1"/>
    <w:basedOn w:val="TableNormal"/>
    <w:uiPriority w:val="67"/>
    <w:semiHidden/>
    <w:unhideWhenUsed/>
    <w:rsid w:val="0090719C"/>
    <w:tblPr>
      <w:tblStyleRowBandSize w:val="1"/>
      <w:tblStyleColBandSize w:val="1"/>
      <w:tblBorders>
        <w:top w:val="single" w:sz="8" w:space="0" w:color="2BBEFF" w:themeColor="accent1" w:themeTint="BF"/>
        <w:left w:val="single" w:sz="8" w:space="0" w:color="2BBEFF" w:themeColor="accent1" w:themeTint="BF"/>
        <w:bottom w:val="single" w:sz="8" w:space="0" w:color="2BBEFF" w:themeColor="accent1" w:themeTint="BF"/>
        <w:right w:val="single" w:sz="8" w:space="0" w:color="2BBEFF" w:themeColor="accent1" w:themeTint="BF"/>
        <w:insideH w:val="single" w:sz="8" w:space="0" w:color="2BBEFF" w:themeColor="accent1" w:themeTint="BF"/>
        <w:insideV w:val="single" w:sz="8" w:space="0" w:color="2BBEFF" w:themeColor="accent1" w:themeTint="BF"/>
      </w:tblBorders>
    </w:tblPr>
    <w:tcPr>
      <w:shd w:val="clear" w:color="auto" w:fill="B9E9FF" w:themeFill="accent1" w:themeFillTint="3F"/>
    </w:tcPr>
    <w:tblStylePr w:type="firstRow">
      <w:rPr>
        <w:b/>
        <w:bCs/>
      </w:rPr>
    </w:tblStylePr>
    <w:tblStylePr w:type="lastRow">
      <w:rPr>
        <w:b/>
        <w:bCs/>
      </w:rPr>
      <w:tblPr/>
      <w:tcPr>
        <w:tcBorders>
          <w:top w:val="single" w:sz="18" w:space="0" w:color="2BBEFF" w:themeColor="accent1" w:themeTint="BF"/>
        </w:tcBorders>
      </w:tcPr>
    </w:tblStylePr>
    <w:tblStylePr w:type="firstCol">
      <w:rPr>
        <w:b/>
        <w:bCs/>
      </w:rPr>
    </w:tblStylePr>
    <w:tblStylePr w:type="lastCol">
      <w:rPr>
        <w:b/>
        <w:bCs/>
      </w:rPr>
    </w:tblStylePr>
    <w:tblStylePr w:type="band1Vert">
      <w:tblPr/>
      <w:tcPr>
        <w:shd w:val="clear" w:color="auto" w:fill="72D4FF" w:themeFill="accent1" w:themeFillTint="7F"/>
      </w:tcPr>
    </w:tblStylePr>
    <w:tblStylePr w:type="band1Horz">
      <w:tblPr/>
      <w:tcPr>
        <w:shd w:val="clear" w:color="auto" w:fill="72D4FF" w:themeFill="accent1" w:themeFillTint="7F"/>
      </w:tcPr>
    </w:tblStylePr>
  </w:style>
  <w:style w:type="table" w:styleId="MediumGrid1-Accent2">
    <w:name w:val="Medium Grid 1 Accent 2"/>
    <w:basedOn w:val="TableNormal"/>
    <w:uiPriority w:val="67"/>
    <w:semiHidden/>
    <w:unhideWhenUsed/>
    <w:rsid w:val="0090719C"/>
    <w:tblPr>
      <w:tblStyleRowBandSize w:val="1"/>
      <w:tblStyleColBandSize w:val="1"/>
      <w:tblBorders>
        <w:top w:val="single" w:sz="8" w:space="0" w:color="DF00DF" w:themeColor="accent2" w:themeTint="BF"/>
        <w:left w:val="single" w:sz="8" w:space="0" w:color="DF00DF" w:themeColor="accent2" w:themeTint="BF"/>
        <w:bottom w:val="single" w:sz="8" w:space="0" w:color="DF00DF" w:themeColor="accent2" w:themeTint="BF"/>
        <w:right w:val="single" w:sz="8" w:space="0" w:color="DF00DF" w:themeColor="accent2" w:themeTint="BF"/>
        <w:insideH w:val="single" w:sz="8" w:space="0" w:color="DF00DF" w:themeColor="accent2" w:themeTint="BF"/>
        <w:insideV w:val="single" w:sz="8" w:space="0" w:color="DF00DF" w:themeColor="accent2" w:themeTint="BF"/>
      </w:tblBorders>
    </w:tblPr>
    <w:tcPr>
      <w:shd w:val="clear" w:color="auto" w:fill="FFA0FF" w:themeFill="accent2" w:themeFillTint="3F"/>
    </w:tcPr>
    <w:tblStylePr w:type="firstRow">
      <w:rPr>
        <w:b/>
        <w:bCs/>
      </w:rPr>
    </w:tblStylePr>
    <w:tblStylePr w:type="lastRow">
      <w:rPr>
        <w:b/>
        <w:bCs/>
      </w:rPr>
      <w:tblPr/>
      <w:tcPr>
        <w:tcBorders>
          <w:top w:val="single" w:sz="18" w:space="0" w:color="DF00DF" w:themeColor="accent2" w:themeTint="BF"/>
        </w:tcBorders>
      </w:tcPr>
    </w:tblStylePr>
    <w:tblStylePr w:type="firstCol">
      <w:rPr>
        <w:b/>
        <w:bCs/>
      </w:rPr>
    </w:tblStylePr>
    <w:tblStylePr w:type="lastCol">
      <w:rPr>
        <w:b/>
        <w:bCs/>
      </w:rPr>
    </w:tblStylePr>
    <w:tblStylePr w:type="band1Vert">
      <w:tblPr/>
      <w:tcPr>
        <w:shd w:val="clear" w:color="auto" w:fill="FF40FF" w:themeFill="accent2" w:themeFillTint="7F"/>
      </w:tcPr>
    </w:tblStylePr>
    <w:tblStylePr w:type="band1Horz">
      <w:tblPr/>
      <w:tcPr>
        <w:shd w:val="clear" w:color="auto" w:fill="FF40FF" w:themeFill="accent2" w:themeFillTint="7F"/>
      </w:tcPr>
    </w:tblStylePr>
  </w:style>
  <w:style w:type="table" w:styleId="MediumGrid1-Accent3">
    <w:name w:val="Medium Grid 1 Accent 3"/>
    <w:basedOn w:val="TableNormal"/>
    <w:uiPriority w:val="67"/>
    <w:semiHidden/>
    <w:unhideWhenUsed/>
    <w:rsid w:val="0090719C"/>
    <w:tblPr>
      <w:tblStyleRowBandSize w:val="1"/>
      <w:tblStyleColBandSize w:val="1"/>
      <w:tblBorders>
        <w:top w:val="single" w:sz="8" w:space="0" w:color="4FDCD8" w:themeColor="accent3" w:themeTint="BF"/>
        <w:left w:val="single" w:sz="8" w:space="0" w:color="4FDCD8" w:themeColor="accent3" w:themeTint="BF"/>
        <w:bottom w:val="single" w:sz="8" w:space="0" w:color="4FDCD8" w:themeColor="accent3" w:themeTint="BF"/>
        <w:right w:val="single" w:sz="8" w:space="0" w:color="4FDCD8" w:themeColor="accent3" w:themeTint="BF"/>
        <w:insideH w:val="single" w:sz="8" w:space="0" w:color="4FDCD8" w:themeColor="accent3" w:themeTint="BF"/>
        <w:insideV w:val="single" w:sz="8" w:space="0" w:color="4FDCD8" w:themeColor="accent3" w:themeTint="BF"/>
      </w:tblBorders>
    </w:tblPr>
    <w:tcPr>
      <w:shd w:val="clear" w:color="auto" w:fill="C5F3F2" w:themeFill="accent3" w:themeFillTint="3F"/>
    </w:tcPr>
    <w:tblStylePr w:type="firstRow">
      <w:rPr>
        <w:b/>
        <w:bCs/>
      </w:rPr>
    </w:tblStylePr>
    <w:tblStylePr w:type="lastRow">
      <w:rPr>
        <w:b/>
        <w:bCs/>
      </w:rPr>
      <w:tblPr/>
      <w:tcPr>
        <w:tcBorders>
          <w:top w:val="single" w:sz="18" w:space="0" w:color="4FDCD8" w:themeColor="accent3" w:themeTint="BF"/>
        </w:tcBorders>
      </w:tcPr>
    </w:tblStylePr>
    <w:tblStylePr w:type="firstCol">
      <w:rPr>
        <w:b/>
        <w:bCs/>
      </w:rPr>
    </w:tblStylePr>
    <w:tblStylePr w:type="lastCol">
      <w:rPr>
        <w:b/>
        <w:bCs/>
      </w:rPr>
    </w:tblStylePr>
    <w:tblStylePr w:type="band1Vert">
      <w:tblPr/>
      <w:tcPr>
        <w:shd w:val="clear" w:color="auto" w:fill="8AE8E5" w:themeFill="accent3" w:themeFillTint="7F"/>
      </w:tcPr>
    </w:tblStylePr>
    <w:tblStylePr w:type="band1Horz">
      <w:tblPr/>
      <w:tcPr>
        <w:shd w:val="clear" w:color="auto" w:fill="8AE8E5" w:themeFill="accent3" w:themeFillTint="7F"/>
      </w:tcPr>
    </w:tblStylePr>
  </w:style>
  <w:style w:type="table" w:styleId="MediumGrid1-Accent4">
    <w:name w:val="Medium Grid 1 Accent 4"/>
    <w:basedOn w:val="TableNormal"/>
    <w:uiPriority w:val="67"/>
    <w:semiHidden/>
    <w:unhideWhenUsed/>
    <w:rsid w:val="0090719C"/>
    <w:tblPr>
      <w:tblStyleRowBandSize w:val="1"/>
      <w:tblStyleColBandSize w:val="1"/>
      <w:tblBorders>
        <w:top w:val="single" w:sz="8" w:space="0" w:color="D37292" w:themeColor="accent4" w:themeTint="BF"/>
        <w:left w:val="single" w:sz="8" w:space="0" w:color="D37292" w:themeColor="accent4" w:themeTint="BF"/>
        <w:bottom w:val="single" w:sz="8" w:space="0" w:color="D37292" w:themeColor="accent4" w:themeTint="BF"/>
        <w:right w:val="single" w:sz="8" w:space="0" w:color="D37292" w:themeColor="accent4" w:themeTint="BF"/>
        <w:insideH w:val="single" w:sz="8" w:space="0" w:color="D37292" w:themeColor="accent4" w:themeTint="BF"/>
        <w:insideV w:val="single" w:sz="8" w:space="0" w:color="D37292" w:themeColor="accent4" w:themeTint="BF"/>
      </w:tblBorders>
    </w:tblPr>
    <w:tcPr>
      <w:shd w:val="clear" w:color="auto" w:fill="F0D0DB" w:themeFill="accent4" w:themeFillTint="3F"/>
    </w:tcPr>
    <w:tblStylePr w:type="firstRow">
      <w:rPr>
        <w:b/>
        <w:bCs/>
      </w:rPr>
    </w:tblStylePr>
    <w:tblStylePr w:type="lastRow">
      <w:rPr>
        <w:b/>
        <w:bCs/>
      </w:rPr>
      <w:tblPr/>
      <w:tcPr>
        <w:tcBorders>
          <w:top w:val="single" w:sz="18" w:space="0" w:color="D37292" w:themeColor="accent4" w:themeTint="BF"/>
        </w:tcBorders>
      </w:tcPr>
    </w:tblStylePr>
    <w:tblStylePr w:type="firstCol">
      <w:rPr>
        <w:b/>
        <w:bCs/>
      </w:rPr>
    </w:tblStylePr>
    <w:tblStylePr w:type="lastCol">
      <w:rPr>
        <w:b/>
        <w:bCs/>
      </w:rPr>
    </w:tblStylePr>
    <w:tblStylePr w:type="band1Vert">
      <w:tblPr/>
      <w:tcPr>
        <w:shd w:val="clear" w:color="auto" w:fill="E2A1B6" w:themeFill="accent4" w:themeFillTint="7F"/>
      </w:tcPr>
    </w:tblStylePr>
    <w:tblStylePr w:type="band1Horz">
      <w:tblPr/>
      <w:tcPr>
        <w:shd w:val="clear" w:color="auto" w:fill="E2A1B6" w:themeFill="accent4" w:themeFillTint="7F"/>
      </w:tcPr>
    </w:tblStylePr>
  </w:style>
  <w:style w:type="table" w:styleId="MediumGrid1-Accent5">
    <w:name w:val="Medium Grid 1 Accent 5"/>
    <w:basedOn w:val="TableNormal"/>
    <w:uiPriority w:val="67"/>
    <w:semiHidden/>
    <w:unhideWhenUsed/>
    <w:rsid w:val="0090719C"/>
    <w:tblPr>
      <w:tblStyleRowBandSize w:val="1"/>
      <w:tblStyleColBandSize w:val="1"/>
      <w:tblBorders>
        <w:top w:val="single" w:sz="8" w:space="0" w:color="215F87" w:themeColor="accent5" w:themeTint="BF"/>
        <w:left w:val="single" w:sz="8" w:space="0" w:color="215F87" w:themeColor="accent5" w:themeTint="BF"/>
        <w:bottom w:val="single" w:sz="8" w:space="0" w:color="215F87" w:themeColor="accent5" w:themeTint="BF"/>
        <w:right w:val="single" w:sz="8" w:space="0" w:color="215F87" w:themeColor="accent5" w:themeTint="BF"/>
        <w:insideH w:val="single" w:sz="8" w:space="0" w:color="215F87" w:themeColor="accent5" w:themeTint="BF"/>
        <w:insideV w:val="single" w:sz="8" w:space="0" w:color="215F87" w:themeColor="accent5" w:themeTint="BF"/>
      </w:tblBorders>
    </w:tblPr>
    <w:tcPr>
      <w:shd w:val="clear" w:color="auto" w:fill="A4CDE8" w:themeFill="accent5" w:themeFillTint="3F"/>
    </w:tcPr>
    <w:tblStylePr w:type="firstRow">
      <w:rPr>
        <w:b/>
        <w:bCs/>
      </w:rPr>
    </w:tblStylePr>
    <w:tblStylePr w:type="lastRow">
      <w:rPr>
        <w:b/>
        <w:bCs/>
      </w:rPr>
      <w:tblPr/>
      <w:tcPr>
        <w:tcBorders>
          <w:top w:val="single" w:sz="18" w:space="0" w:color="215F87" w:themeColor="accent5" w:themeTint="BF"/>
        </w:tcBorders>
      </w:tcPr>
    </w:tblStylePr>
    <w:tblStylePr w:type="firstCol">
      <w:rPr>
        <w:b/>
        <w:bCs/>
      </w:rPr>
    </w:tblStylePr>
    <w:tblStylePr w:type="lastCol">
      <w:rPr>
        <w:b/>
        <w:bCs/>
      </w:rPr>
    </w:tblStylePr>
    <w:tblStylePr w:type="band1Vert">
      <w:tblPr/>
      <w:tcPr>
        <w:shd w:val="clear" w:color="auto" w:fill="499BD1" w:themeFill="accent5" w:themeFillTint="7F"/>
      </w:tcPr>
    </w:tblStylePr>
    <w:tblStylePr w:type="band1Horz">
      <w:tblPr/>
      <w:tcPr>
        <w:shd w:val="clear" w:color="auto" w:fill="499BD1" w:themeFill="accent5" w:themeFillTint="7F"/>
      </w:tcPr>
    </w:tblStylePr>
  </w:style>
  <w:style w:type="table" w:styleId="MediumGrid1-Accent6">
    <w:name w:val="Medium Grid 1 Accent 6"/>
    <w:basedOn w:val="TableNormal"/>
    <w:uiPriority w:val="67"/>
    <w:semiHidden/>
    <w:unhideWhenUsed/>
    <w:rsid w:val="0090719C"/>
    <w:tblPr>
      <w:tblStyleRowBandSize w:val="1"/>
      <w:tblStyleColBandSize w:val="1"/>
      <w:tblBorders>
        <w:top w:val="single" w:sz="8" w:space="0" w:color="ABABAB" w:themeColor="accent6" w:themeTint="BF"/>
        <w:left w:val="single" w:sz="8" w:space="0" w:color="ABABAB" w:themeColor="accent6" w:themeTint="BF"/>
        <w:bottom w:val="single" w:sz="8" w:space="0" w:color="ABABAB" w:themeColor="accent6" w:themeTint="BF"/>
        <w:right w:val="single" w:sz="8" w:space="0" w:color="ABABAB" w:themeColor="accent6" w:themeTint="BF"/>
        <w:insideH w:val="single" w:sz="8" w:space="0" w:color="ABABAB" w:themeColor="accent6" w:themeTint="BF"/>
        <w:insideV w:val="single" w:sz="8" w:space="0" w:color="ABABAB" w:themeColor="accent6" w:themeTint="BF"/>
      </w:tblBorders>
    </w:tblPr>
    <w:tcPr>
      <w:shd w:val="clear" w:color="auto" w:fill="E3E3E3" w:themeFill="accent6" w:themeFillTint="3F"/>
    </w:tcPr>
    <w:tblStylePr w:type="firstRow">
      <w:rPr>
        <w:b/>
        <w:bCs/>
      </w:rPr>
    </w:tblStylePr>
    <w:tblStylePr w:type="lastRow">
      <w:rPr>
        <w:b/>
        <w:bCs/>
      </w:rPr>
      <w:tblPr/>
      <w:tcPr>
        <w:tcBorders>
          <w:top w:val="single" w:sz="18" w:space="0" w:color="ABABAB" w:themeColor="accent6" w:themeTint="BF"/>
        </w:tcBorders>
      </w:tcPr>
    </w:tblStylePr>
    <w:tblStylePr w:type="firstCol">
      <w:rPr>
        <w:b/>
        <w:bCs/>
      </w:rPr>
    </w:tblStylePr>
    <w:tblStylePr w:type="lastCol">
      <w:rPr>
        <w:b/>
        <w:bCs/>
      </w:rPr>
    </w:tblStylePr>
    <w:tblStylePr w:type="band1Vert">
      <w:tblPr/>
      <w:tcPr>
        <w:shd w:val="clear" w:color="auto" w:fill="C7C7C7" w:themeFill="accent6" w:themeFillTint="7F"/>
      </w:tcPr>
    </w:tblStylePr>
    <w:tblStylePr w:type="band1Horz">
      <w:tblPr/>
      <w:tcPr>
        <w:shd w:val="clear" w:color="auto" w:fill="C7C7C7" w:themeFill="accent6" w:themeFillTint="7F"/>
      </w:tcPr>
    </w:tblStylePr>
  </w:style>
  <w:style w:type="table" w:styleId="MediumGrid2">
    <w:name w:val="Medium Grid 2"/>
    <w:basedOn w:val="TableNormal"/>
    <w:uiPriority w:val="68"/>
    <w:semiHidden/>
    <w:unhideWhenUsed/>
    <w:rsid w:val="0090719C"/>
    <w:rPr>
      <w:rFonts w:asciiTheme="majorHAnsi" w:eastAsiaTheme="majorEastAsia" w:hAnsiTheme="majorHAnsi" w:cstheme="majorBidi"/>
      <w:color w:val="0B1F2C" w:themeColor="text1"/>
    </w:rPr>
    <w:tblPr>
      <w:tblStyleRowBandSize w:val="1"/>
      <w:tblStyleColBandSize w:val="1"/>
      <w:tblBorders>
        <w:top w:val="single" w:sz="8" w:space="0" w:color="0B1F2C" w:themeColor="text1"/>
        <w:left w:val="single" w:sz="8" w:space="0" w:color="0B1F2C" w:themeColor="text1"/>
        <w:bottom w:val="single" w:sz="8" w:space="0" w:color="0B1F2C" w:themeColor="text1"/>
        <w:right w:val="single" w:sz="8" w:space="0" w:color="0B1F2C" w:themeColor="text1"/>
        <w:insideH w:val="single" w:sz="8" w:space="0" w:color="0B1F2C" w:themeColor="text1"/>
        <w:insideV w:val="single" w:sz="8" w:space="0" w:color="0B1F2C" w:themeColor="text1"/>
      </w:tblBorders>
    </w:tblPr>
    <w:tcPr>
      <w:shd w:val="clear" w:color="auto" w:fill="A4CDE8" w:themeFill="text1" w:themeFillTint="3F"/>
    </w:tcPr>
    <w:tblStylePr w:type="firstRow">
      <w:rPr>
        <w:b/>
        <w:bCs/>
        <w:color w:val="0B1F2C" w:themeColor="text1"/>
      </w:rPr>
      <w:tblPr/>
      <w:tcPr>
        <w:shd w:val="clear" w:color="auto" w:fill="DBEBF6" w:themeFill="text1" w:themeFillTint="19"/>
      </w:tcPr>
    </w:tblStylePr>
    <w:tblStylePr w:type="lastRow">
      <w:rPr>
        <w:b/>
        <w:bCs/>
        <w:color w:val="0B1F2C" w:themeColor="text1"/>
      </w:rPr>
      <w:tblPr/>
      <w:tcPr>
        <w:tcBorders>
          <w:top w:val="single" w:sz="12" w:space="0" w:color="0B1F2C" w:themeColor="text1"/>
          <w:left w:val="nil"/>
          <w:bottom w:val="nil"/>
          <w:right w:val="nil"/>
          <w:insideH w:val="nil"/>
          <w:insideV w:val="nil"/>
        </w:tcBorders>
        <w:shd w:val="clear" w:color="auto" w:fill="FFFFFF" w:themeFill="background1"/>
      </w:tcPr>
    </w:tblStylePr>
    <w:tblStylePr w:type="firstCol">
      <w:rPr>
        <w:b/>
        <w:bCs/>
        <w:color w:val="0B1F2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B1F2C" w:themeColor="text1"/>
      </w:rPr>
      <w:tblPr/>
      <w:tcPr>
        <w:tcBorders>
          <w:top w:val="nil"/>
          <w:left w:val="nil"/>
          <w:bottom w:val="nil"/>
          <w:right w:val="nil"/>
          <w:insideH w:val="nil"/>
          <w:insideV w:val="nil"/>
        </w:tcBorders>
        <w:shd w:val="clear" w:color="auto" w:fill="B6D7EC" w:themeFill="text1" w:themeFillTint="33"/>
      </w:tcPr>
    </w:tblStylePr>
    <w:tblStylePr w:type="band1Vert">
      <w:tblPr/>
      <w:tcPr>
        <w:shd w:val="clear" w:color="auto" w:fill="499BD1" w:themeFill="text1" w:themeFillTint="7F"/>
      </w:tcPr>
    </w:tblStylePr>
    <w:tblStylePr w:type="band1Horz">
      <w:tblPr/>
      <w:tcPr>
        <w:tcBorders>
          <w:insideH w:val="single" w:sz="6" w:space="0" w:color="0B1F2C" w:themeColor="text1"/>
          <w:insideV w:val="single" w:sz="6" w:space="0" w:color="0B1F2C" w:themeColor="text1"/>
        </w:tcBorders>
        <w:shd w:val="clear" w:color="auto" w:fill="499BD1"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0719C"/>
    <w:rPr>
      <w:rFonts w:asciiTheme="majorHAnsi" w:eastAsiaTheme="majorEastAsia" w:hAnsiTheme="majorHAnsi" w:cstheme="majorBidi"/>
      <w:color w:val="0B1F2C" w:themeColor="text1"/>
    </w:rPr>
    <w:tblPr>
      <w:tblStyleRowBandSize w:val="1"/>
      <w:tblStyleColBandSize w:val="1"/>
      <w:tblBorders>
        <w:top w:val="single" w:sz="8" w:space="0" w:color="009FE3" w:themeColor="accent1"/>
        <w:left w:val="single" w:sz="8" w:space="0" w:color="009FE3" w:themeColor="accent1"/>
        <w:bottom w:val="single" w:sz="8" w:space="0" w:color="009FE3" w:themeColor="accent1"/>
        <w:right w:val="single" w:sz="8" w:space="0" w:color="009FE3" w:themeColor="accent1"/>
        <w:insideH w:val="single" w:sz="8" w:space="0" w:color="009FE3" w:themeColor="accent1"/>
        <w:insideV w:val="single" w:sz="8" w:space="0" w:color="009FE3" w:themeColor="accent1"/>
      </w:tblBorders>
    </w:tblPr>
    <w:tcPr>
      <w:shd w:val="clear" w:color="auto" w:fill="B9E9FF" w:themeFill="accent1" w:themeFillTint="3F"/>
    </w:tcPr>
    <w:tblStylePr w:type="firstRow">
      <w:rPr>
        <w:b/>
        <w:bCs/>
        <w:color w:val="0B1F2C" w:themeColor="text1"/>
      </w:rPr>
      <w:tblPr/>
      <w:tcPr>
        <w:shd w:val="clear" w:color="auto" w:fill="E3F6FF" w:themeFill="accent1" w:themeFillTint="19"/>
      </w:tcPr>
    </w:tblStylePr>
    <w:tblStylePr w:type="lastRow">
      <w:rPr>
        <w:b/>
        <w:bCs/>
        <w:color w:val="0B1F2C" w:themeColor="text1"/>
      </w:rPr>
      <w:tblPr/>
      <w:tcPr>
        <w:tcBorders>
          <w:top w:val="single" w:sz="12" w:space="0" w:color="0B1F2C" w:themeColor="text1"/>
          <w:left w:val="nil"/>
          <w:bottom w:val="nil"/>
          <w:right w:val="nil"/>
          <w:insideH w:val="nil"/>
          <w:insideV w:val="nil"/>
        </w:tcBorders>
        <w:shd w:val="clear" w:color="auto" w:fill="FFFFFF" w:themeFill="background1"/>
      </w:tcPr>
    </w:tblStylePr>
    <w:tblStylePr w:type="firstCol">
      <w:rPr>
        <w:b/>
        <w:bCs/>
        <w:color w:val="0B1F2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B1F2C" w:themeColor="text1"/>
      </w:rPr>
      <w:tblPr/>
      <w:tcPr>
        <w:tcBorders>
          <w:top w:val="nil"/>
          <w:left w:val="nil"/>
          <w:bottom w:val="nil"/>
          <w:right w:val="nil"/>
          <w:insideH w:val="nil"/>
          <w:insideV w:val="nil"/>
        </w:tcBorders>
        <w:shd w:val="clear" w:color="auto" w:fill="C6EDFF" w:themeFill="accent1" w:themeFillTint="33"/>
      </w:tcPr>
    </w:tblStylePr>
    <w:tblStylePr w:type="band1Vert">
      <w:tblPr/>
      <w:tcPr>
        <w:shd w:val="clear" w:color="auto" w:fill="72D4FF" w:themeFill="accent1" w:themeFillTint="7F"/>
      </w:tcPr>
    </w:tblStylePr>
    <w:tblStylePr w:type="band1Horz">
      <w:tblPr/>
      <w:tcPr>
        <w:tcBorders>
          <w:insideH w:val="single" w:sz="6" w:space="0" w:color="009FE3" w:themeColor="accent1"/>
          <w:insideV w:val="single" w:sz="6" w:space="0" w:color="009FE3" w:themeColor="accent1"/>
        </w:tcBorders>
        <w:shd w:val="clear" w:color="auto" w:fill="72D4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0719C"/>
    <w:rPr>
      <w:rFonts w:asciiTheme="majorHAnsi" w:eastAsiaTheme="majorEastAsia" w:hAnsiTheme="majorHAnsi" w:cstheme="majorBidi"/>
      <w:color w:val="0B1F2C" w:themeColor="text1"/>
    </w:rPr>
    <w:tblPr>
      <w:tblStyleRowBandSize w:val="1"/>
      <w:tblStyleColBandSize w:val="1"/>
      <w:tblBorders>
        <w:top w:val="single" w:sz="8" w:space="0" w:color="800080" w:themeColor="accent2"/>
        <w:left w:val="single" w:sz="8" w:space="0" w:color="800080" w:themeColor="accent2"/>
        <w:bottom w:val="single" w:sz="8" w:space="0" w:color="800080" w:themeColor="accent2"/>
        <w:right w:val="single" w:sz="8" w:space="0" w:color="800080" w:themeColor="accent2"/>
        <w:insideH w:val="single" w:sz="8" w:space="0" w:color="800080" w:themeColor="accent2"/>
        <w:insideV w:val="single" w:sz="8" w:space="0" w:color="800080" w:themeColor="accent2"/>
      </w:tblBorders>
    </w:tblPr>
    <w:tcPr>
      <w:shd w:val="clear" w:color="auto" w:fill="FFA0FF" w:themeFill="accent2" w:themeFillTint="3F"/>
    </w:tcPr>
    <w:tblStylePr w:type="firstRow">
      <w:rPr>
        <w:b/>
        <w:bCs/>
        <w:color w:val="0B1F2C" w:themeColor="text1"/>
      </w:rPr>
      <w:tblPr/>
      <w:tcPr>
        <w:shd w:val="clear" w:color="auto" w:fill="FFD9FF" w:themeFill="accent2" w:themeFillTint="19"/>
      </w:tcPr>
    </w:tblStylePr>
    <w:tblStylePr w:type="lastRow">
      <w:rPr>
        <w:b/>
        <w:bCs/>
        <w:color w:val="0B1F2C" w:themeColor="text1"/>
      </w:rPr>
      <w:tblPr/>
      <w:tcPr>
        <w:tcBorders>
          <w:top w:val="single" w:sz="12" w:space="0" w:color="0B1F2C" w:themeColor="text1"/>
          <w:left w:val="nil"/>
          <w:bottom w:val="nil"/>
          <w:right w:val="nil"/>
          <w:insideH w:val="nil"/>
          <w:insideV w:val="nil"/>
        </w:tcBorders>
        <w:shd w:val="clear" w:color="auto" w:fill="FFFFFF" w:themeFill="background1"/>
      </w:tcPr>
    </w:tblStylePr>
    <w:tblStylePr w:type="firstCol">
      <w:rPr>
        <w:b/>
        <w:bCs/>
        <w:color w:val="0B1F2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B1F2C" w:themeColor="text1"/>
      </w:rPr>
      <w:tblPr/>
      <w:tcPr>
        <w:tcBorders>
          <w:top w:val="nil"/>
          <w:left w:val="nil"/>
          <w:bottom w:val="nil"/>
          <w:right w:val="nil"/>
          <w:insideH w:val="nil"/>
          <w:insideV w:val="nil"/>
        </w:tcBorders>
        <w:shd w:val="clear" w:color="auto" w:fill="FFB2FF" w:themeFill="accent2" w:themeFillTint="33"/>
      </w:tcPr>
    </w:tblStylePr>
    <w:tblStylePr w:type="band1Vert">
      <w:tblPr/>
      <w:tcPr>
        <w:shd w:val="clear" w:color="auto" w:fill="FF40FF" w:themeFill="accent2" w:themeFillTint="7F"/>
      </w:tcPr>
    </w:tblStylePr>
    <w:tblStylePr w:type="band1Horz">
      <w:tblPr/>
      <w:tcPr>
        <w:tcBorders>
          <w:insideH w:val="single" w:sz="6" w:space="0" w:color="800080" w:themeColor="accent2"/>
          <w:insideV w:val="single" w:sz="6" w:space="0" w:color="800080" w:themeColor="accent2"/>
        </w:tcBorders>
        <w:shd w:val="clear" w:color="auto" w:fill="FF4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0719C"/>
    <w:rPr>
      <w:rFonts w:asciiTheme="majorHAnsi" w:eastAsiaTheme="majorEastAsia" w:hAnsiTheme="majorHAnsi" w:cstheme="majorBidi"/>
      <w:color w:val="0B1F2C" w:themeColor="text1"/>
    </w:rPr>
    <w:tblPr>
      <w:tblStyleRowBandSize w:val="1"/>
      <w:tblStyleColBandSize w:val="1"/>
      <w:tblBorders>
        <w:top w:val="single" w:sz="8" w:space="0" w:color="26C0BC" w:themeColor="accent3"/>
        <w:left w:val="single" w:sz="8" w:space="0" w:color="26C0BC" w:themeColor="accent3"/>
        <w:bottom w:val="single" w:sz="8" w:space="0" w:color="26C0BC" w:themeColor="accent3"/>
        <w:right w:val="single" w:sz="8" w:space="0" w:color="26C0BC" w:themeColor="accent3"/>
        <w:insideH w:val="single" w:sz="8" w:space="0" w:color="26C0BC" w:themeColor="accent3"/>
        <w:insideV w:val="single" w:sz="8" w:space="0" w:color="26C0BC" w:themeColor="accent3"/>
      </w:tblBorders>
    </w:tblPr>
    <w:tcPr>
      <w:shd w:val="clear" w:color="auto" w:fill="C5F3F2" w:themeFill="accent3" w:themeFillTint="3F"/>
    </w:tcPr>
    <w:tblStylePr w:type="firstRow">
      <w:rPr>
        <w:b/>
        <w:bCs/>
        <w:color w:val="0B1F2C" w:themeColor="text1"/>
      </w:rPr>
      <w:tblPr/>
      <w:tcPr>
        <w:shd w:val="clear" w:color="auto" w:fill="E7FAF9" w:themeFill="accent3" w:themeFillTint="19"/>
      </w:tcPr>
    </w:tblStylePr>
    <w:tblStylePr w:type="lastRow">
      <w:rPr>
        <w:b/>
        <w:bCs/>
        <w:color w:val="0B1F2C" w:themeColor="text1"/>
      </w:rPr>
      <w:tblPr/>
      <w:tcPr>
        <w:tcBorders>
          <w:top w:val="single" w:sz="12" w:space="0" w:color="0B1F2C" w:themeColor="text1"/>
          <w:left w:val="nil"/>
          <w:bottom w:val="nil"/>
          <w:right w:val="nil"/>
          <w:insideH w:val="nil"/>
          <w:insideV w:val="nil"/>
        </w:tcBorders>
        <w:shd w:val="clear" w:color="auto" w:fill="FFFFFF" w:themeFill="background1"/>
      </w:tcPr>
    </w:tblStylePr>
    <w:tblStylePr w:type="firstCol">
      <w:rPr>
        <w:b/>
        <w:bCs/>
        <w:color w:val="0B1F2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B1F2C" w:themeColor="text1"/>
      </w:rPr>
      <w:tblPr/>
      <w:tcPr>
        <w:tcBorders>
          <w:top w:val="nil"/>
          <w:left w:val="nil"/>
          <w:bottom w:val="nil"/>
          <w:right w:val="nil"/>
          <w:insideH w:val="nil"/>
          <w:insideV w:val="nil"/>
        </w:tcBorders>
        <w:shd w:val="clear" w:color="auto" w:fill="D0F5F4" w:themeFill="accent3" w:themeFillTint="33"/>
      </w:tcPr>
    </w:tblStylePr>
    <w:tblStylePr w:type="band1Vert">
      <w:tblPr/>
      <w:tcPr>
        <w:shd w:val="clear" w:color="auto" w:fill="8AE8E5" w:themeFill="accent3" w:themeFillTint="7F"/>
      </w:tcPr>
    </w:tblStylePr>
    <w:tblStylePr w:type="band1Horz">
      <w:tblPr/>
      <w:tcPr>
        <w:tcBorders>
          <w:insideH w:val="single" w:sz="6" w:space="0" w:color="26C0BC" w:themeColor="accent3"/>
          <w:insideV w:val="single" w:sz="6" w:space="0" w:color="26C0BC" w:themeColor="accent3"/>
        </w:tcBorders>
        <w:shd w:val="clear" w:color="auto" w:fill="8AE8E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0719C"/>
    <w:rPr>
      <w:rFonts w:asciiTheme="majorHAnsi" w:eastAsiaTheme="majorEastAsia" w:hAnsiTheme="majorHAnsi" w:cstheme="majorBidi"/>
      <w:color w:val="0B1F2C" w:themeColor="text1"/>
    </w:rPr>
    <w:tblPr>
      <w:tblStyleRowBandSize w:val="1"/>
      <w:tblStyleColBandSize w:val="1"/>
      <w:tblBorders>
        <w:top w:val="single" w:sz="8" w:space="0" w:color="C5446E" w:themeColor="accent4"/>
        <w:left w:val="single" w:sz="8" w:space="0" w:color="C5446E" w:themeColor="accent4"/>
        <w:bottom w:val="single" w:sz="8" w:space="0" w:color="C5446E" w:themeColor="accent4"/>
        <w:right w:val="single" w:sz="8" w:space="0" w:color="C5446E" w:themeColor="accent4"/>
        <w:insideH w:val="single" w:sz="8" w:space="0" w:color="C5446E" w:themeColor="accent4"/>
        <w:insideV w:val="single" w:sz="8" w:space="0" w:color="C5446E" w:themeColor="accent4"/>
      </w:tblBorders>
    </w:tblPr>
    <w:tcPr>
      <w:shd w:val="clear" w:color="auto" w:fill="F0D0DB" w:themeFill="accent4" w:themeFillTint="3F"/>
    </w:tcPr>
    <w:tblStylePr w:type="firstRow">
      <w:rPr>
        <w:b/>
        <w:bCs/>
        <w:color w:val="0B1F2C" w:themeColor="text1"/>
      </w:rPr>
      <w:tblPr/>
      <w:tcPr>
        <w:shd w:val="clear" w:color="auto" w:fill="F9ECF0" w:themeFill="accent4" w:themeFillTint="19"/>
      </w:tcPr>
    </w:tblStylePr>
    <w:tblStylePr w:type="lastRow">
      <w:rPr>
        <w:b/>
        <w:bCs/>
        <w:color w:val="0B1F2C" w:themeColor="text1"/>
      </w:rPr>
      <w:tblPr/>
      <w:tcPr>
        <w:tcBorders>
          <w:top w:val="single" w:sz="12" w:space="0" w:color="0B1F2C" w:themeColor="text1"/>
          <w:left w:val="nil"/>
          <w:bottom w:val="nil"/>
          <w:right w:val="nil"/>
          <w:insideH w:val="nil"/>
          <w:insideV w:val="nil"/>
        </w:tcBorders>
        <w:shd w:val="clear" w:color="auto" w:fill="FFFFFF" w:themeFill="background1"/>
      </w:tcPr>
    </w:tblStylePr>
    <w:tblStylePr w:type="firstCol">
      <w:rPr>
        <w:b/>
        <w:bCs/>
        <w:color w:val="0B1F2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B1F2C" w:themeColor="text1"/>
      </w:rPr>
      <w:tblPr/>
      <w:tcPr>
        <w:tcBorders>
          <w:top w:val="nil"/>
          <w:left w:val="nil"/>
          <w:bottom w:val="nil"/>
          <w:right w:val="nil"/>
          <w:insideH w:val="nil"/>
          <w:insideV w:val="nil"/>
        </w:tcBorders>
        <w:shd w:val="clear" w:color="auto" w:fill="F3D9E1" w:themeFill="accent4" w:themeFillTint="33"/>
      </w:tcPr>
    </w:tblStylePr>
    <w:tblStylePr w:type="band1Vert">
      <w:tblPr/>
      <w:tcPr>
        <w:shd w:val="clear" w:color="auto" w:fill="E2A1B6" w:themeFill="accent4" w:themeFillTint="7F"/>
      </w:tcPr>
    </w:tblStylePr>
    <w:tblStylePr w:type="band1Horz">
      <w:tblPr/>
      <w:tcPr>
        <w:tcBorders>
          <w:insideH w:val="single" w:sz="6" w:space="0" w:color="C5446E" w:themeColor="accent4"/>
          <w:insideV w:val="single" w:sz="6" w:space="0" w:color="C5446E" w:themeColor="accent4"/>
        </w:tcBorders>
        <w:shd w:val="clear" w:color="auto" w:fill="E2A1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0719C"/>
    <w:rPr>
      <w:rFonts w:asciiTheme="majorHAnsi" w:eastAsiaTheme="majorEastAsia" w:hAnsiTheme="majorHAnsi" w:cstheme="majorBidi"/>
      <w:color w:val="0B1F2C" w:themeColor="text1"/>
    </w:rPr>
    <w:tblPr>
      <w:tblStyleRowBandSize w:val="1"/>
      <w:tblStyleColBandSize w:val="1"/>
      <w:tblBorders>
        <w:top w:val="single" w:sz="8" w:space="0" w:color="0B1F2C" w:themeColor="accent5"/>
        <w:left w:val="single" w:sz="8" w:space="0" w:color="0B1F2C" w:themeColor="accent5"/>
        <w:bottom w:val="single" w:sz="8" w:space="0" w:color="0B1F2C" w:themeColor="accent5"/>
        <w:right w:val="single" w:sz="8" w:space="0" w:color="0B1F2C" w:themeColor="accent5"/>
        <w:insideH w:val="single" w:sz="8" w:space="0" w:color="0B1F2C" w:themeColor="accent5"/>
        <w:insideV w:val="single" w:sz="8" w:space="0" w:color="0B1F2C" w:themeColor="accent5"/>
      </w:tblBorders>
    </w:tblPr>
    <w:tcPr>
      <w:shd w:val="clear" w:color="auto" w:fill="A4CDE8" w:themeFill="accent5" w:themeFillTint="3F"/>
    </w:tcPr>
    <w:tblStylePr w:type="firstRow">
      <w:rPr>
        <w:b/>
        <w:bCs/>
        <w:color w:val="0B1F2C" w:themeColor="text1"/>
      </w:rPr>
      <w:tblPr/>
      <w:tcPr>
        <w:shd w:val="clear" w:color="auto" w:fill="DBEBF6" w:themeFill="accent5" w:themeFillTint="19"/>
      </w:tcPr>
    </w:tblStylePr>
    <w:tblStylePr w:type="lastRow">
      <w:rPr>
        <w:b/>
        <w:bCs/>
        <w:color w:val="0B1F2C" w:themeColor="text1"/>
      </w:rPr>
      <w:tblPr/>
      <w:tcPr>
        <w:tcBorders>
          <w:top w:val="single" w:sz="12" w:space="0" w:color="0B1F2C" w:themeColor="text1"/>
          <w:left w:val="nil"/>
          <w:bottom w:val="nil"/>
          <w:right w:val="nil"/>
          <w:insideH w:val="nil"/>
          <w:insideV w:val="nil"/>
        </w:tcBorders>
        <w:shd w:val="clear" w:color="auto" w:fill="FFFFFF" w:themeFill="background1"/>
      </w:tcPr>
    </w:tblStylePr>
    <w:tblStylePr w:type="firstCol">
      <w:rPr>
        <w:b/>
        <w:bCs/>
        <w:color w:val="0B1F2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B1F2C" w:themeColor="text1"/>
      </w:rPr>
      <w:tblPr/>
      <w:tcPr>
        <w:tcBorders>
          <w:top w:val="nil"/>
          <w:left w:val="nil"/>
          <w:bottom w:val="nil"/>
          <w:right w:val="nil"/>
          <w:insideH w:val="nil"/>
          <w:insideV w:val="nil"/>
        </w:tcBorders>
        <w:shd w:val="clear" w:color="auto" w:fill="B6D7EC" w:themeFill="accent5" w:themeFillTint="33"/>
      </w:tcPr>
    </w:tblStylePr>
    <w:tblStylePr w:type="band1Vert">
      <w:tblPr/>
      <w:tcPr>
        <w:shd w:val="clear" w:color="auto" w:fill="499BD1" w:themeFill="accent5" w:themeFillTint="7F"/>
      </w:tcPr>
    </w:tblStylePr>
    <w:tblStylePr w:type="band1Horz">
      <w:tblPr/>
      <w:tcPr>
        <w:tcBorders>
          <w:insideH w:val="single" w:sz="6" w:space="0" w:color="0B1F2C" w:themeColor="accent5"/>
          <w:insideV w:val="single" w:sz="6" w:space="0" w:color="0B1F2C" w:themeColor="accent5"/>
        </w:tcBorders>
        <w:shd w:val="clear" w:color="auto" w:fill="499BD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0719C"/>
    <w:rPr>
      <w:rFonts w:asciiTheme="majorHAnsi" w:eastAsiaTheme="majorEastAsia" w:hAnsiTheme="majorHAnsi" w:cstheme="majorBidi"/>
      <w:color w:val="0B1F2C" w:themeColor="text1"/>
    </w:rPr>
    <w:tblPr>
      <w:tblStyleRowBandSize w:val="1"/>
      <w:tblStyleColBandSize w:val="1"/>
      <w:tblBorders>
        <w:top w:val="single" w:sz="8" w:space="0" w:color="909090" w:themeColor="accent6"/>
        <w:left w:val="single" w:sz="8" w:space="0" w:color="909090" w:themeColor="accent6"/>
        <w:bottom w:val="single" w:sz="8" w:space="0" w:color="909090" w:themeColor="accent6"/>
        <w:right w:val="single" w:sz="8" w:space="0" w:color="909090" w:themeColor="accent6"/>
        <w:insideH w:val="single" w:sz="8" w:space="0" w:color="909090" w:themeColor="accent6"/>
        <w:insideV w:val="single" w:sz="8" w:space="0" w:color="909090" w:themeColor="accent6"/>
      </w:tblBorders>
    </w:tblPr>
    <w:tcPr>
      <w:shd w:val="clear" w:color="auto" w:fill="E3E3E3" w:themeFill="accent6" w:themeFillTint="3F"/>
    </w:tcPr>
    <w:tblStylePr w:type="firstRow">
      <w:rPr>
        <w:b/>
        <w:bCs/>
        <w:color w:val="0B1F2C" w:themeColor="text1"/>
      </w:rPr>
      <w:tblPr/>
      <w:tcPr>
        <w:shd w:val="clear" w:color="auto" w:fill="F4F4F4" w:themeFill="accent6" w:themeFillTint="19"/>
      </w:tcPr>
    </w:tblStylePr>
    <w:tblStylePr w:type="lastRow">
      <w:rPr>
        <w:b/>
        <w:bCs/>
        <w:color w:val="0B1F2C" w:themeColor="text1"/>
      </w:rPr>
      <w:tblPr/>
      <w:tcPr>
        <w:tcBorders>
          <w:top w:val="single" w:sz="12" w:space="0" w:color="0B1F2C" w:themeColor="text1"/>
          <w:left w:val="nil"/>
          <w:bottom w:val="nil"/>
          <w:right w:val="nil"/>
          <w:insideH w:val="nil"/>
          <w:insideV w:val="nil"/>
        </w:tcBorders>
        <w:shd w:val="clear" w:color="auto" w:fill="FFFFFF" w:themeFill="background1"/>
      </w:tcPr>
    </w:tblStylePr>
    <w:tblStylePr w:type="firstCol">
      <w:rPr>
        <w:b/>
        <w:bCs/>
        <w:color w:val="0B1F2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B1F2C" w:themeColor="text1"/>
      </w:rPr>
      <w:tblPr/>
      <w:tcPr>
        <w:tcBorders>
          <w:top w:val="nil"/>
          <w:left w:val="nil"/>
          <w:bottom w:val="nil"/>
          <w:right w:val="nil"/>
          <w:insideH w:val="nil"/>
          <w:insideV w:val="nil"/>
        </w:tcBorders>
        <w:shd w:val="clear" w:color="auto" w:fill="E8E8E8" w:themeFill="accent6" w:themeFillTint="33"/>
      </w:tcPr>
    </w:tblStylePr>
    <w:tblStylePr w:type="band1Vert">
      <w:tblPr/>
      <w:tcPr>
        <w:shd w:val="clear" w:color="auto" w:fill="C7C7C7" w:themeFill="accent6" w:themeFillTint="7F"/>
      </w:tcPr>
    </w:tblStylePr>
    <w:tblStylePr w:type="band1Horz">
      <w:tblPr/>
      <w:tcPr>
        <w:tcBorders>
          <w:insideH w:val="single" w:sz="6" w:space="0" w:color="909090" w:themeColor="accent6"/>
          <w:insideV w:val="single" w:sz="6" w:space="0" w:color="909090" w:themeColor="accent6"/>
        </w:tcBorders>
        <w:shd w:val="clear" w:color="auto" w:fill="C7C7C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0719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CDE8"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B1F2C"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B1F2C"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B1F2C"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B1F2C"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99BD1"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99BD1" w:themeFill="text1" w:themeFillTint="7F"/>
      </w:tcPr>
    </w:tblStylePr>
  </w:style>
  <w:style w:type="table" w:styleId="MediumGrid3-Accent1">
    <w:name w:val="Medium Grid 3 Accent 1"/>
    <w:basedOn w:val="TableNormal"/>
    <w:uiPriority w:val="69"/>
    <w:semiHidden/>
    <w:unhideWhenUsed/>
    <w:rsid w:val="0090719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9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FE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FE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FE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FE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2D4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2D4FF" w:themeFill="accent1" w:themeFillTint="7F"/>
      </w:tcPr>
    </w:tblStylePr>
  </w:style>
  <w:style w:type="table" w:styleId="MediumGrid3-Accent2">
    <w:name w:val="Medium Grid 3 Accent 2"/>
    <w:basedOn w:val="TableNormal"/>
    <w:uiPriority w:val="69"/>
    <w:semiHidden/>
    <w:unhideWhenUsed/>
    <w:rsid w:val="0090719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0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008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008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008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008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4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40FF" w:themeFill="accent2" w:themeFillTint="7F"/>
      </w:tcPr>
    </w:tblStylePr>
  </w:style>
  <w:style w:type="table" w:styleId="MediumGrid3-Accent3">
    <w:name w:val="Medium Grid 3 Accent 3"/>
    <w:basedOn w:val="TableNormal"/>
    <w:uiPriority w:val="69"/>
    <w:semiHidden/>
    <w:unhideWhenUsed/>
    <w:rsid w:val="0090719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3F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C0B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C0B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C0B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C0B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AE8E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AE8E5" w:themeFill="accent3" w:themeFillTint="7F"/>
      </w:tcPr>
    </w:tblStylePr>
  </w:style>
  <w:style w:type="table" w:styleId="MediumGrid3-Accent4">
    <w:name w:val="Medium Grid 3 Accent 4"/>
    <w:basedOn w:val="TableNormal"/>
    <w:uiPriority w:val="69"/>
    <w:semiHidden/>
    <w:unhideWhenUsed/>
    <w:rsid w:val="0090719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D0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544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544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544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544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1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1B6" w:themeFill="accent4" w:themeFillTint="7F"/>
      </w:tcPr>
    </w:tblStylePr>
  </w:style>
  <w:style w:type="table" w:styleId="MediumGrid3-Accent5">
    <w:name w:val="Medium Grid 3 Accent 5"/>
    <w:basedOn w:val="TableNormal"/>
    <w:uiPriority w:val="69"/>
    <w:semiHidden/>
    <w:unhideWhenUsed/>
    <w:rsid w:val="0090719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CDE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B1F2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B1F2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B1F2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B1F2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99BD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99BD1" w:themeFill="accent5" w:themeFillTint="7F"/>
      </w:tcPr>
    </w:tblStylePr>
  </w:style>
  <w:style w:type="table" w:styleId="MediumGrid3-Accent6">
    <w:name w:val="Medium Grid 3 Accent 6"/>
    <w:basedOn w:val="TableNormal"/>
    <w:uiPriority w:val="69"/>
    <w:semiHidden/>
    <w:unhideWhenUsed/>
    <w:rsid w:val="0090719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3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909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909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909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909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C7C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C7C7" w:themeFill="accent6" w:themeFillTint="7F"/>
      </w:tcPr>
    </w:tblStylePr>
  </w:style>
  <w:style w:type="table" w:styleId="MediumList1">
    <w:name w:val="Medium List 1"/>
    <w:basedOn w:val="TableNormal"/>
    <w:uiPriority w:val="65"/>
    <w:semiHidden/>
    <w:unhideWhenUsed/>
    <w:rsid w:val="0090719C"/>
    <w:rPr>
      <w:color w:val="0B1F2C" w:themeColor="text1"/>
    </w:rPr>
    <w:tblPr>
      <w:tblStyleRowBandSize w:val="1"/>
      <w:tblStyleColBandSize w:val="1"/>
      <w:tblBorders>
        <w:top w:val="single" w:sz="8" w:space="0" w:color="0B1F2C" w:themeColor="text1"/>
        <w:bottom w:val="single" w:sz="8" w:space="0" w:color="0B1F2C" w:themeColor="text1"/>
      </w:tblBorders>
    </w:tblPr>
    <w:tblStylePr w:type="firstRow">
      <w:rPr>
        <w:rFonts w:asciiTheme="majorHAnsi" w:eastAsiaTheme="majorEastAsia" w:hAnsiTheme="majorHAnsi" w:cstheme="majorBidi"/>
      </w:rPr>
      <w:tblPr/>
      <w:tcPr>
        <w:tcBorders>
          <w:top w:val="nil"/>
          <w:bottom w:val="single" w:sz="8" w:space="0" w:color="0B1F2C" w:themeColor="text1"/>
        </w:tcBorders>
      </w:tcPr>
    </w:tblStylePr>
    <w:tblStylePr w:type="lastRow">
      <w:rPr>
        <w:b/>
        <w:bCs/>
        <w:color w:val="0070C0" w:themeColor="text2"/>
      </w:rPr>
      <w:tblPr/>
      <w:tcPr>
        <w:tcBorders>
          <w:top w:val="single" w:sz="8" w:space="0" w:color="0B1F2C" w:themeColor="text1"/>
          <w:bottom w:val="single" w:sz="8" w:space="0" w:color="0B1F2C" w:themeColor="text1"/>
        </w:tcBorders>
      </w:tcPr>
    </w:tblStylePr>
    <w:tblStylePr w:type="firstCol">
      <w:rPr>
        <w:b/>
        <w:bCs/>
      </w:rPr>
    </w:tblStylePr>
    <w:tblStylePr w:type="lastCol">
      <w:rPr>
        <w:b/>
        <w:bCs/>
      </w:rPr>
      <w:tblPr/>
      <w:tcPr>
        <w:tcBorders>
          <w:top w:val="single" w:sz="8" w:space="0" w:color="0B1F2C" w:themeColor="text1"/>
          <w:bottom w:val="single" w:sz="8" w:space="0" w:color="0B1F2C" w:themeColor="text1"/>
        </w:tcBorders>
      </w:tcPr>
    </w:tblStylePr>
    <w:tblStylePr w:type="band1Vert">
      <w:tblPr/>
      <w:tcPr>
        <w:shd w:val="clear" w:color="auto" w:fill="A4CDE8" w:themeFill="text1" w:themeFillTint="3F"/>
      </w:tcPr>
    </w:tblStylePr>
    <w:tblStylePr w:type="band1Horz">
      <w:tblPr/>
      <w:tcPr>
        <w:shd w:val="clear" w:color="auto" w:fill="A4CDE8" w:themeFill="text1" w:themeFillTint="3F"/>
      </w:tcPr>
    </w:tblStylePr>
  </w:style>
  <w:style w:type="table" w:styleId="MediumList1-Accent1">
    <w:name w:val="Medium List 1 Accent 1"/>
    <w:basedOn w:val="TableNormal"/>
    <w:uiPriority w:val="65"/>
    <w:semiHidden/>
    <w:unhideWhenUsed/>
    <w:rsid w:val="0090719C"/>
    <w:rPr>
      <w:color w:val="0B1F2C" w:themeColor="text1"/>
    </w:rPr>
    <w:tblPr>
      <w:tblStyleRowBandSize w:val="1"/>
      <w:tblStyleColBandSize w:val="1"/>
      <w:tblBorders>
        <w:top w:val="single" w:sz="8" w:space="0" w:color="009FE3" w:themeColor="accent1"/>
        <w:bottom w:val="single" w:sz="8" w:space="0" w:color="009FE3" w:themeColor="accent1"/>
      </w:tblBorders>
    </w:tblPr>
    <w:tblStylePr w:type="firstRow">
      <w:rPr>
        <w:rFonts w:asciiTheme="majorHAnsi" w:eastAsiaTheme="majorEastAsia" w:hAnsiTheme="majorHAnsi" w:cstheme="majorBidi"/>
      </w:rPr>
      <w:tblPr/>
      <w:tcPr>
        <w:tcBorders>
          <w:top w:val="nil"/>
          <w:bottom w:val="single" w:sz="8" w:space="0" w:color="009FE3" w:themeColor="accent1"/>
        </w:tcBorders>
      </w:tcPr>
    </w:tblStylePr>
    <w:tblStylePr w:type="lastRow">
      <w:rPr>
        <w:b/>
        <w:bCs/>
        <w:color w:val="0070C0" w:themeColor="text2"/>
      </w:rPr>
      <w:tblPr/>
      <w:tcPr>
        <w:tcBorders>
          <w:top w:val="single" w:sz="8" w:space="0" w:color="009FE3" w:themeColor="accent1"/>
          <w:bottom w:val="single" w:sz="8" w:space="0" w:color="009FE3" w:themeColor="accent1"/>
        </w:tcBorders>
      </w:tcPr>
    </w:tblStylePr>
    <w:tblStylePr w:type="firstCol">
      <w:rPr>
        <w:b/>
        <w:bCs/>
      </w:rPr>
    </w:tblStylePr>
    <w:tblStylePr w:type="lastCol">
      <w:rPr>
        <w:b/>
        <w:bCs/>
      </w:rPr>
      <w:tblPr/>
      <w:tcPr>
        <w:tcBorders>
          <w:top w:val="single" w:sz="8" w:space="0" w:color="009FE3" w:themeColor="accent1"/>
          <w:bottom w:val="single" w:sz="8" w:space="0" w:color="009FE3" w:themeColor="accent1"/>
        </w:tcBorders>
      </w:tcPr>
    </w:tblStylePr>
    <w:tblStylePr w:type="band1Vert">
      <w:tblPr/>
      <w:tcPr>
        <w:shd w:val="clear" w:color="auto" w:fill="B9E9FF" w:themeFill="accent1" w:themeFillTint="3F"/>
      </w:tcPr>
    </w:tblStylePr>
    <w:tblStylePr w:type="band1Horz">
      <w:tblPr/>
      <w:tcPr>
        <w:shd w:val="clear" w:color="auto" w:fill="B9E9FF" w:themeFill="accent1" w:themeFillTint="3F"/>
      </w:tcPr>
    </w:tblStylePr>
  </w:style>
  <w:style w:type="table" w:styleId="MediumList1-Accent2">
    <w:name w:val="Medium List 1 Accent 2"/>
    <w:basedOn w:val="TableNormal"/>
    <w:uiPriority w:val="65"/>
    <w:semiHidden/>
    <w:unhideWhenUsed/>
    <w:rsid w:val="0090719C"/>
    <w:rPr>
      <w:color w:val="0B1F2C" w:themeColor="text1"/>
    </w:rPr>
    <w:tblPr>
      <w:tblStyleRowBandSize w:val="1"/>
      <w:tblStyleColBandSize w:val="1"/>
      <w:tblBorders>
        <w:top w:val="single" w:sz="8" w:space="0" w:color="800080" w:themeColor="accent2"/>
        <w:bottom w:val="single" w:sz="8" w:space="0" w:color="800080" w:themeColor="accent2"/>
      </w:tblBorders>
    </w:tblPr>
    <w:tblStylePr w:type="firstRow">
      <w:rPr>
        <w:rFonts w:asciiTheme="majorHAnsi" w:eastAsiaTheme="majorEastAsia" w:hAnsiTheme="majorHAnsi" w:cstheme="majorBidi"/>
      </w:rPr>
      <w:tblPr/>
      <w:tcPr>
        <w:tcBorders>
          <w:top w:val="nil"/>
          <w:bottom w:val="single" w:sz="8" w:space="0" w:color="800080" w:themeColor="accent2"/>
        </w:tcBorders>
      </w:tcPr>
    </w:tblStylePr>
    <w:tblStylePr w:type="lastRow">
      <w:rPr>
        <w:b/>
        <w:bCs/>
        <w:color w:val="0070C0" w:themeColor="text2"/>
      </w:rPr>
      <w:tblPr/>
      <w:tcPr>
        <w:tcBorders>
          <w:top w:val="single" w:sz="8" w:space="0" w:color="800080" w:themeColor="accent2"/>
          <w:bottom w:val="single" w:sz="8" w:space="0" w:color="800080" w:themeColor="accent2"/>
        </w:tcBorders>
      </w:tcPr>
    </w:tblStylePr>
    <w:tblStylePr w:type="firstCol">
      <w:rPr>
        <w:b/>
        <w:bCs/>
      </w:rPr>
    </w:tblStylePr>
    <w:tblStylePr w:type="lastCol">
      <w:rPr>
        <w:b/>
        <w:bCs/>
      </w:rPr>
      <w:tblPr/>
      <w:tcPr>
        <w:tcBorders>
          <w:top w:val="single" w:sz="8" w:space="0" w:color="800080" w:themeColor="accent2"/>
          <w:bottom w:val="single" w:sz="8" w:space="0" w:color="800080" w:themeColor="accent2"/>
        </w:tcBorders>
      </w:tcPr>
    </w:tblStylePr>
    <w:tblStylePr w:type="band1Vert">
      <w:tblPr/>
      <w:tcPr>
        <w:shd w:val="clear" w:color="auto" w:fill="FFA0FF" w:themeFill="accent2" w:themeFillTint="3F"/>
      </w:tcPr>
    </w:tblStylePr>
    <w:tblStylePr w:type="band1Horz">
      <w:tblPr/>
      <w:tcPr>
        <w:shd w:val="clear" w:color="auto" w:fill="FFA0FF" w:themeFill="accent2" w:themeFillTint="3F"/>
      </w:tcPr>
    </w:tblStylePr>
  </w:style>
  <w:style w:type="table" w:styleId="MediumList1-Accent3">
    <w:name w:val="Medium List 1 Accent 3"/>
    <w:basedOn w:val="TableNormal"/>
    <w:uiPriority w:val="65"/>
    <w:semiHidden/>
    <w:unhideWhenUsed/>
    <w:rsid w:val="0090719C"/>
    <w:rPr>
      <w:color w:val="0B1F2C" w:themeColor="text1"/>
    </w:rPr>
    <w:tblPr>
      <w:tblStyleRowBandSize w:val="1"/>
      <w:tblStyleColBandSize w:val="1"/>
      <w:tblBorders>
        <w:top w:val="single" w:sz="8" w:space="0" w:color="26C0BC" w:themeColor="accent3"/>
        <w:bottom w:val="single" w:sz="8" w:space="0" w:color="26C0BC" w:themeColor="accent3"/>
      </w:tblBorders>
    </w:tblPr>
    <w:tblStylePr w:type="firstRow">
      <w:rPr>
        <w:rFonts w:asciiTheme="majorHAnsi" w:eastAsiaTheme="majorEastAsia" w:hAnsiTheme="majorHAnsi" w:cstheme="majorBidi"/>
      </w:rPr>
      <w:tblPr/>
      <w:tcPr>
        <w:tcBorders>
          <w:top w:val="nil"/>
          <w:bottom w:val="single" w:sz="8" w:space="0" w:color="26C0BC" w:themeColor="accent3"/>
        </w:tcBorders>
      </w:tcPr>
    </w:tblStylePr>
    <w:tblStylePr w:type="lastRow">
      <w:rPr>
        <w:b/>
        <w:bCs/>
        <w:color w:val="0070C0" w:themeColor="text2"/>
      </w:rPr>
      <w:tblPr/>
      <w:tcPr>
        <w:tcBorders>
          <w:top w:val="single" w:sz="8" w:space="0" w:color="26C0BC" w:themeColor="accent3"/>
          <w:bottom w:val="single" w:sz="8" w:space="0" w:color="26C0BC" w:themeColor="accent3"/>
        </w:tcBorders>
      </w:tcPr>
    </w:tblStylePr>
    <w:tblStylePr w:type="firstCol">
      <w:rPr>
        <w:b/>
        <w:bCs/>
      </w:rPr>
    </w:tblStylePr>
    <w:tblStylePr w:type="lastCol">
      <w:rPr>
        <w:b/>
        <w:bCs/>
      </w:rPr>
      <w:tblPr/>
      <w:tcPr>
        <w:tcBorders>
          <w:top w:val="single" w:sz="8" w:space="0" w:color="26C0BC" w:themeColor="accent3"/>
          <w:bottom w:val="single" w:sz="8" w:space="0" w:color="26C0BC" w:themeColor="accent3"/>
        </w:tcBorders>
      </w:tcPr>
    </w:tblStylePr>
    <w:tblStylePr w:type="band1Vert">
      <w:tblPr/>
      <w:tcPr>
        <w:shd w:val="clear" w:color="auto" w:fill="C5F3F2" w:themeFill="accent3" w:themeFillTint="3F"/>
      </w:tcPr>
    </w:tblStylePr>
    <w:tblStylePr w:type="band1Horz">
      <w:tblPr/>
      <w:tcPr>
        <w:shd w:val="clear" w:color="auto" w:fill="C5F3F2" w:themeFill="accent3" w:themeFillTint="3F"/>
      </w:tcPr>
    </w:tblStylePr>
  </w:style>
  <w:style w:type="table" w:styleId="MediumList1-Accent4">
    <w:name w:val="Medium List 1 Accent 4"/>
    <w:basedOn w:val="TableNormal"/>
    <w:uiPriority w:val="65"/>
    <w:semiHidden/>
    <w:unhideWhenUsed/>
    <w:rsid w:val="0090719C"/>
    <w:rPr>
      <w:color w:val="0B1F2C" w:themeColor="text1"/>
    </w:rPr>
    <w:tblPr>
      <w:tblStyleRowBandSize w:val="1"/>
      <w:tblStyleColBandSize w:val="1"/>
      <w:tblBorders>
        <w:top w:val="single" w:sz="8" w:space="0" w:color="C5446E" w:themeColor="accent4"/>
        <w:bottom w:val="single" w:sz="8" w:space="0" w:color="C5446E" w:themeColor="accent4"/>
      </w:tblBorders>
    </w:tblPr>
    <w:tblStylePr w:type="firstRow">
      <w:rPr>
        <w:rFonts w:asciiTheme="majorHAnsi" w:eastAsiaTheme="majorEastAsia" w:hAnsiTheme="majorHAnsi" w:cstheme="majorBidi"/>
      </w:rPr>
      <w:tblPr/>
      <w:tcPr>
        <w:tcBorders>
          <w:top w:val="nil"/>
          <w:bottom w:val="single" w:sz="8" w:space="0" w:color="C5446E" w:themeColor="accent4"/>
        </w:tcBorders>
      </w:tcPr>
    </w:tblStylePr>
    <w:tblStylePr w:type="lastRow">
      <w:rPr>
        <w:b/>
        <w:bCs/>
        <w:color w:val="0070C0" w:themeColor="text2"/>
      </w:rPr>
      <w:tblPr/>
      <w:tcPr>
        <w:tcBorders>
          <w:top w:val="single" w:sz="8" w:space="0" w:color="C5446E" w:themeColor="accent4"/>
          <w:bottom w:val="single" w:sz="8" w:space="0" w:color="C5446E" w:themeColor="accent4"/>
        </w:tcBorders>
      </w:tcPr>
    </w:tblStylePr>
    <w:tblStylePr w:type="firstCol">
      <w:rPr>
        <w:b/>
        <w:bCs/>
      </w:rPr>
    </w:tblStylePr>
    <w:tblStylePr w:type="lastCol">
      <w:rPr>
        <w:b/>
        <w:bCs/>
      </w:rPr>
      <w:tblPr/>
      <w:tcPr>
        <w:tcBorders>
          <w:top w:val="single" w:sz="8" w:space="0" w:color="C5446E" w:themeColor="accent4"/>
          <w:bottom w:val="single" w:sz="8" w:space="0" w:color="C5446E" w:themeColor="accent4"/>
        </w:tcBorders>
      </w:tcPr>
    </w:tblStylePr>
    <w:tblStylePr w:type="band1Vert">
      <w:tblPr/>
      <w:tcPr>
        <w:shd w:val="clear" w:color="auto" w:fill="F0D0DB" w:themeFill="accent4" w:themeFillTint="3F"/>
      </w:tcPr>
    </w:tblStylePr>
    <w:tblStylePr w:type="band1Horz">
      <w:tblPr/>
      <w:tcPr>
        <w:shd w:val="clear" w:color="auto" w:fill="F0D0DB" w:themeFill="accent4" w:themeFillTint="3F"/>
      </w:tcPr>
    </w:tblStylePr>
  </w:style>
  <w:style w:type="table" w:styleId="MediumList1-Accent5">
    <w:name w:val="Medium List 1 Accent 5"/>
    <w:basedOn w:val="TableNormal"/>
    <w:uiPriority w:val="65"/>
    <w:semiHidden/>
    <w:unhideWhenUsed/>
    <w:rsid w:val="0090719C"/>
    <w:rPr>
      <w:color w:val="0B1F2C" w:themeColor="text1"/>
    </w:rPr>
    <w:tblPr>
      <w:tblStyleRowBandSize w:val="1"/>
      <w:tblStyleColBandSize w:val="1"/>
      <w:tblBorders>
        <w:top w:val="single" w:sz="8" w:space="0" w:color="0B1F2C" w:themeColor="accent5"/>
        <w:bottom w:val="single" w:sz="8" w:space="0" w:color="0B1F2C" w:themeColor="accent5"/>
      </w:tblBorders>
    </w:tblPr>
    <w:tblStylePr w:type="firstRow">
      <w:rPr>
        <w:rFonts w:asciiTheme="majorHAnsi" w:eastAsiaTheme="majorEastAsia" w:hAnsiTheme="majorHAnsi" w:cstheme="majorBidi"/>
      </w:rPr>
      <w:tblPr/>
      <w:tcPr>
        <w:tcBorders>
          <w:top w:val="nil"/>
          <w:bottom w:val="single" w:sz="8" w:space="0" w:color="0B1F2C" w:themeColor="accent5"/>
        </w:tcBorders>
      </w:tcPr>
    </w:tblStylePr>
    <w:tblStylePr w:type="lastRow">
      <w:rPr>
        <w:b/>
        <w:bCs/>
        <w:color w:val="0070C0" w:themeColor="text2"/>
      </w:rPr>
      <w:tblPr/>
      <w:tcPr>
        <w:tcBorders>
          <w:top w:val="single" w:sz="8" w:space="0" w:color="0B1F2C" w:themeColor="accent5"/>
          <w:bottom w:val="single" w:sz="8" w:space="0" w:color="0B1F2C" w:themeColor="accent5"/>
        </w:tcBorders>
      </w:tcPr>
    </w:tblStylePr>
    <w:tblStylePr w:type="firstCol">
      <w:rPr>
        <w:b/>
        <w:bCs/>
      </w:rPr>
    </w:tblStylePr>
    <w:tblStylePr w:type="lastCol">
      <w:rPr>
        <w:b/>
        <w:bCs/>
      </w:rPr>
      <w:tblPr/>
      <w:tcPr>
        <w:tcBorders>
          <w:top w:val="single" w:sz="8" w:space="0" w:color="0B1F2C" w:themeColor="accent5"/>
          <w:bottom w:val="single" w:sz="8" w:space="0" w:color="0B1F2C" w:themeColor="accent5"/>
        </w:tcBorders>
      </w:tcPr>
    </w:tblStylePr>
    <w:tblStylePr w:type="band1Vert">
      <w:tblPr/>
      <w:tcPr>
        <w:shd w:val="clear" w:color="auto" w:fill="A4CDE8" w:themeFill="accent5" w:themeFillTint="3F"/>
      </w:tcPr>
    </w:tblStylePr>
    <w:tblStylePr w:type="band1Horz">
      <w:tblPr/>
      <w:tcPr>
        <w:shd w:val="clear" w:color="auto" w:fill="A4CDE8" w:themeFill="accent5" w:themeFillTint="3F"/>
      </w:tcPr>
    </w:tblStylePr>
  </w:style>
  <w:style w:type="table" w:styleId="MediumList1-Accent6">
    <w:name w:val="Medium List 1 Accent 6"/>
    <w:basedOn w:val="TableNormal"/>
    <w:uiPriority w:val="65"/>
    <w:semiHidden/>
    <w:unhideWhenUsed/>
    <w:rsid w:val="0090719C"/>
    <w:rPr>
      <w:color w:val="0B1F2C" w:themeColor="text1"/>
    </w:rPr>
    <w:tblPr>
      <w:tblStyleRowBandSize w:val="1"/>
      <w:tblStyleColBandSize w:val="1"/>
      <w:tblBorders>
        <w:top w:val="single" w:sz="8" w:space="0" w:color="909090" w:themeColor="accent6"/>
        <w:bottom w:val="single" w:sz="8" w:space="0" w:color="909090" w:themeColor="accent6"/>
      </w:tblBorders>
    </w:tblPr>
    <w:tblStylePr w:type="firstRow">
      <w:rPr>
        <w:rFonts w:asciiTheme="majorHAnsi" w:eastAsiaTheme="majorEastAsia" w:hAnsiTheme="majorHAnsi" w:cstheme="majorBidi"/>
      </w:rPr>
      <w:tblPr/>
      <w:tcPr>
        <w:tcBorders>
          <w:top w:val="nil"/>
          <w:bottom w:val="single" w:sz="8" w:space="0" w:color="909090" w:themeColor="accent6"/>
        </w:tcBorders>
      </w:tcPr>
    </w:tblStylePr>
    <w:tblStylePr w:type="lastRow">
      <w:rPr>
        <w:b/>
        <w:bCs/>
        <w:color w:val="0070C0" w:themeColor="text2"/>
      </w:rPr>
      <w:tblPr/>
      <w:tcPr>
        <w:tcBorders>
          <w:top w:val="single" w:sz="8" w:space="0" w:color="909090" w:themeColor="accent6"/>
          <w:bottom w:val="single" w:sz="8" w:space="0" w:color="909090" w:themeColor="accent6"/>
        </w:tcBorders>
      </w:tcPr>
    </w:tblStylePr>
    <w:tblStylePr w:type="firstCol">
      <w:rPr>
        <w:b/>
        <w:bCs/>
      </w:rPr>
    </w:tblStylePr>
    <w:tblStylePr w:type="lastCol">
      <w:rPr>
        <w:b/>
        <w:bCs/>
      </w:rPr>
      <w:tblPr/>
      <w:tcPr>
        <w:tcBorders>
          <w:top w:val="single" w:sz="8" w:space="0" w:color="909090" w:themeColor="accent6"/>
          <w:bottom w:val="single" w:sz="8" w:space="0" w:color="909090" w:themeColor="accent6"/>
        </w:tcBorders>
      </w:tcPr>
    </w:tblStylePr>
    <w:tblStylePr w:type="band1Vert">
      <w:tblPr/>
      <w:tcPr>
        <w:shd w:val="clear" w:color="auto" w:fill="E3E3E3" w:themeFill="accent6" w:themeFillTint="3F"/>
      </w:tcPr>
    </w:tblStylePr>
    <w:tblStylePr w:type="band1Horz">
      <w:tblPr/>
      <w:tcPr>
        <w:shd w:val="clear" w:color="auto" w:fill="E3E3E3" w:themeFill="accent6" w:themeFillTint="3F"/>
      </w:tcPr>
    </w:tblStylePr>
  </w:style>
  <w:style w:type="table" w:styleId="MediumList2">
    <w:name w:val="Medium List 2"/>
    <w:basedOn w:val="TableNormal"/>
    <w:uiPriority w:val="66"/>
    <w:semiHidden/>
    <w:unhideWhenUsed/>
    <w:rsid w:val="0090719C"/>
    <w:rPr>
      <w:rFonts w:asciiTheme="majorHAnsi" w:eastAsiaTheme="majorEastAsia" w:hAnsiTheme="majorHAnsi" w:cstheme="majorBidi"/>
      <w:color w:val="0B1F2C" w:themeColor="text1"/>
    </w:rPr>
    <w:tblPr>
      <w:tblStyleRowBandSize w:val="1"/>
      <w:tblStyleColBandSize w:val="1"/>
      <w:tblBorders>
        <w:top w:val="single" w:sz="8" w:space="0" w:color="0B1F2C" w:themeColor="text1"/>
        <w:left w:val="single" w:sz="8" w:space="0" w:color="0B1F2C" w:themeColor="text1"/>
        <w:bottom w:val="single" w:sz="8" w:space="0" w:color="0B1F2C" w:themeColor="text1"/>
        <w:right w:val="single" w:sz="8" w:space="0" w:color="0B1F2C" w:themeColor="text1"/>
      </w:tblBorders>
    </w:tblPr>
    <w:tblStylePr w:type="firstRow">
      <w:rPr>
        <w:sz w:val="24"/>
        <w:szCs w:val="24"/>
      </w:rPr>
      <w:tblPr/>
      <w:tcPr>
        <w:tcBorders>
          <w:top w:val="nil"/>
          <w:left w:val="nil"/>
          <w:bottom w:val="single" w:sz="24" w:space="0" w:color="0B1F2C" w:themeColor="text1"/>
          <w:right w:val="nil"/>
          <w:insideH w:val="nil"/>
          <w:insideV w:val="nil"/>
        </w:tcBorders>
        <w:shd w:val="clear" w:color="auto" w:fill="FFFFFF" w:themeFill="background1"/>
      </w:tcPr>
    </w:tblStylePr>
    <w:tblStylePr w:type="lastRow">
      <w:tblPr/>
      <w:tcPr>
        <w:tcBorders>
          <w:top w:val="single" w:sz="8" w:space="0" w:color="0B1F2C"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B1F2C" w:themeColor="text1"/>
          <w:insideH w:val="nil"/>
          <w:insideV w:val="nil"/>
        </w:tcBorders>
        <w:shd w:val="clear" w:color="auto" w:fill="FFFFFF" w:themeFill="background1"/>
      </w:tcPr>
    </w:tblStylePr>
    <w:tblStylePr w:type="lastCol">
      <w:tblPr/>
      <w:tcPr>
        <w:tcBorders>
          <w:top w:val="nil"/>
          <w:left w:val="single" w:sz="8" w:space="0" w:color="0B1F2C"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CDE8" w:themeFill="text1" w:themeFillTint="3F"/>
      </w:tcPr>
    </w:tblStylePr>
    <w:tblStylePr w:type="band1Horz">
      <w:tblPr/>
      <w:tcPr>
        <w:tcBorders>
          <w:top w:val="nil"/>
          <w:bottom w:val="nil"/>
          <w:insideH w:val="nil"/>
          <w:insideV w:val="nil"/>
        </w:tcBorders>
        <w:shd w:val="clear" w:color="auto" w:fill="A4CDE8"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0719C"/>
    <w:rPr>
      <w:rFonts w:asciiTheme="majorHAnsi" w:eastAsiaTheme="majorEastAsia" w:hAnsiTheme="majorHAnsi" w:cstheme="majorBidi"/>
      <w:color w:val="0B1F2C" w:themeColor="text1"/>
    </w:rPr>
    <w:tblPr>
      <w:tblStyleRowBandSize w:val="1"/>
      <w:tblStyleColBandSize w:val="1"/>
      <w:tblBorders>
        <w:top w:val="single" w:sz="8" w:space="0" w:color="009FE3" w:themeColor="accent1"/>
        <w:left w:val="single" w:sz="8" w:space="0" w:color="009FE3" w:themeColor="accent1"/>
        <w:bottom w:val="single" w:sz="8" w:space="0" w:color="009FE3" w:themeColor="accent1"/>
        <w:right w:val="single" w:sz="8" w:space="0" w:color="009FE3" w:themeColor="accent1"/>
      </w:tblBorders>
    </w:tblPr>
    <w:tblStylePr w:type="firstRow">
      <w:rPr>
        <w:sz w:val="24"/>
        <w:szCs w:val="24"/>
      </w:rPr>
      <w:tblPr/>
      <w:tcPr>
        <w:tcBorders>
          <w:top w:val="nil"/>
          <w:left w:val="nil"/>
          <w:bottom w:val="single" w:sz="24" w:space="0" w:color="009FE3" w:themeColor="accent1"/>
          <w:right w:val="nil"/>
          <w:insideH w:val="nil"/>
          <w:insideV w:val="nil"/>
        </w:tcBorders>
        <w:shd w:val="clear" w:color="auto" w:fill="FFFFFF" w:themeFill="background1"/>
      </w:tcPr>
    </w:tblStylePr>
    <w:tblStylePr w:type="lastRow">
      <w:tblPr/>
      <w:tcPr>
        <w:tcBorders>
          <w:top w:val="single" w:sz="8" w:space="0" w:color="009FE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FE3" w:themeColor="accent1"/>
          <w:insideH w:val="nil"/>
          <w:insideV w:val="nil"/>
        </w:tcBorders>
        <w:shd w:val="clear" w:color="auto" w:fill="FFFFFF" w:themeFill="background1"/>
      </w:tcPr>
    </w:tblStylePr>
    <w:tblStylePr w:type="lastCol">
      <w:tblPr/>
      <w:tcPr>
        <w:tcBorders>
          <w:top w:val="nil"/>
          <w:left w:val="single" w:sz="8" w:space="0" w:color="009FE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9FF" w:themeFill="accent1" w:themeFillTint="3F"/>
      </w:tcPr>
    </w:tblStylePr>
    <w:tblStylePr w:type="band1Horz">
      <w:tblPr/>
      <w:tcPr>
        <w:tcBorders>
          <w:top w:val="nil"/>
          <w:bottom w:val="nil"/>
          <w:insideH w:val="nil"/>
          <w:insideV w:val="nil"/>
        </w:tcBorders>
        <w:shd w:val="clear" w:color="auto" w:fill="B9E9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0719C"/>
    <w:rPr>
      <w:rFonts w:asciiTheme="majorHAnsi" w:eastAsiaTheme="majorEastAsia" w:hAnsiTheme="majorHAnsi" w:cstheme="majorBidi"/>
      <w:color w:val="0B1F2C" w:themeColor="text1"/>
    </w:rPr>
    <w:tblPr>
      <w:tblStyleRowBandSize w:val="1"/>
      <w:tblStyleColBandSize w:val="1"/>
      <w:tblBorders>
        <w:top w:val="single" w:sz="8" w:space="0" w:color="800080" w:themeColor="accent2"/>
        <w:left w:val="single" w:sz="8" w:space="0" w:color="800080" w:themeColor="accent2"/>
        <w:bottom w:val="single" w:sz="8" w:space="0" w:color="800080" w:themeColor="accent2"/>
        <w:right w:val="single" w:sz="8" w:space="0" w:color="800080" w:themeColor="accent2"/>
      </w:tblBorders>
    </w:tblPr>
    <w:tblStylePr w:type="firstRow">
      <w:rPr>
        <w:sz w:val="24"/>
        <w:szCs w:val="24"/>
      </w:rPr>
      <w:tblPr/>
      <w:tcPr>
        <w:tcBorders>
          <w:top w:val="nil"/>
          <w:left w:val="nil"/>
          <w:bottom w:val="single" w:sz="24" w:space="0" w:color="800080" w:themeColor="accent2"/>
          <w:right w:val="nil"/>
          <w:insideH w:val="nil"/>
          <w:insideV w:val="nil"/>
        </w:tcBorders>
        <w:shd w:val="clear" w:color="auto" w:fill="FFFFFF" w:themeFill="background1"/>
      </w:tcPr>
    </w:tblStylePr>
    <w:tblStylePr w:type="lastRow">
      <w:tblPr/>
      <w:tcPr>
        <w:tcBorders>
          <w:top w:val="single" w:sz="8" w:space="0" w:color="800080"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800080" w:themeColor="accent2"/>
          <w:insideH w:val="nil"/>
          <w:insideV w:val="nil"/>
        </w:tcBorders>
        <w:shd w:val="clear" w:color="auto" w:fill="FFFFFF" w:themeFill="background1"/>
      </w:tcPr>
    </w:tblStylePr>
    <w:tblStylePr w:type="lastCol">
      <w:tblPr/>
      <w:tcPr>
        <w:tcBorders>
          <w:top w:val="nil"/>
          <w:left w:val="single" w:sz="8" w:space="0" w:color="80008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0FF" w:themeFill="accent2" w:themeFillTint="3F"/>
      </w:tcPr>
    </w:tblStylePr>
    <w:tblStylePr w:type="band1Horz">
      <w:tblPr/>
      <w:tcPr>
        <w:tcBorders>
          <w:top w:val="nil"/>
          <w:bottom w:val="nil"/>
          <w:insideH w:val="nil"/>
          <w:insideV w:val="nil"/>
        </w:tcBorders>
        <w:shd w:val="clear" w:color="auto" w:fill="FFA0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0719C"/>
    <w:rPr>
      <w:rFonts w:asciiTheme="majorHAnsi" w:eastAsiaTheme="majorEastAsia" w:hAnsiTheme="majorHAnsi" w:cstheme="majorBidi"/>
      <w:color w:val="0B1F2C" w:themeColor="text1"/>
    </w:rPr>
    <w:tblPr>
      <w:tblStyleRowBandSize w:val="1"/>
      <w:tblStyleColBandSize w:val="1"/>
      <w:tblBorders>
        <w:top w:val="single" w:sz="8" w:space="0" w:color="26C0BC" w:themeColor="accent3"/>
        <w:left w:val="single" w:sz="8" w:space="0" w:color="26C0BC" w:themeColor="accent3"/>
        <w:bottom w:val="single" w:sz="8" w:space="0" w:color="26C0BC" w:themeColor="accent3"/>
        <w:right w:val="single" w:sz="8" w:space="0" w:color="26C0BC" w:themeColor="accent3"/>
      </w:tblBorders>
    </w:tblPr>
    <w:tblStylePr w:type="firstRow">
      <w:rPr>
        <w:sz w:val="24"/>
        <w:szCs w:val="24"/>
      </w:rPr>
      <w:tblPr/>
      <w:tcPr>
        <w:tcBorders>
          <w:top w:val="nil"/>
          <w:left w:val="nil"/>
          <w:bottom w:val="single" w:sz="24" w:space="0" w:color="26C0BC" w:themeColor="accent3"/>
          <w:right w:val="nil"/>
          <w:insideH w:val="nil"/>
          <w:insideV w:val="nil"/>
        </w:tcBorders>
        <w:shd w:val="clear" w:color="auto" w:fill="FFFFFF" w:themeFill="background1"/>
      </w:tcPr>
    </w:tblStylePr>
    <w:tblStylePr w:type="lastRow">
      <w:tblPr/>
      <w:tcPr>
        <w:tcBorders>
          <w:top w:val="single" w:sz="8" w:space="0" w:color="26C0B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C0BC" w:themeColor="accent3"/>
          <w:insideH w:val="nil"/>
          <w:insideV w:val="nil"/>
        </w:tcBorders>
        <w:shd w:val="clear" w:color="auto" w:fill="FFFFFF" w:themeFill="background1"/>
      </w:tcPr>
    </w:tblStylePr>
    <w:tblStylePr w:type="lastCol">
      <w:tblPr/>
      <w:tcPr>
        <w:tcBorders>
          <w:top w:val="nil"/>
          <w:left w:val="single" w:sz="8" w:space="0" w:color="26C0B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3F2" w:themeFill="accent3" w:themeFillTint="3F"/>
      </w:tcPr>
    </w:tblStylePr>
    <w:tblStylePr w:type="band1Horz">
      <w:tblPr/>
      <w:tcPr>
        <w:tcBorders>
          <w:top w:val="nil"/>
          <w:bottom w:val="nil"/>
          <w:insideH w:val="nil"/>
          <w:insideV w:val="nil"/>
        </w:tcBorders>
        <w:shd w:val="clear" w:color="auto" w:fill="C5F3F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0719C"/>
    <w:rPr>
      <w:rFonts w:asciiTheme="majorHAnsi" w:eastAsiaTheme="majorEastAsia" w:hAnsiTheme="majorHAnsi" w:cstheme="majorBidi"/>
      <w:color w:val="0B1F2C" w:themeColor="text1"/>
    </w:rPr>
    <w:tblPr>
      <w:tblStyleRowBandSize w:val="1"/>
      <w:tblStyleColBandSize w:val="1"/>
      <w:tblBorders>
        <w:top w:val="single" w:sz="8" w:space="0" w:color="C5446E" w:themeColor="accent4"/>
        <w:left w:val="single" w:sz="8" w:space="0" w:color="C5446E" w:themeColor="accent4"/>
        <w:bottom w:val="single" w:sz="8" w:space="0" w:color="C5446E" w:themeColor="accent4"/>
        <w:right w:val="single" w:sz="8" w:space="0" w:color="C5446E" w:themeColor="accent4"/>
      </w:tblBorders>
    </w:tblPr>
    <w:tblStylePr w:type="firstRow">
      <w:rPr>
        <w:sz w:val="24"/>
        <w:szCs w:val="24"/>
      </w:rPr>
      <w:tblPr/>
      <w:tcPr>
        <w:tcBorders>
          <w:top w:val="nil"/>
          <w:left w:val="nil"/>
          <w:bottom w:val="single" w:sz="24" w:space="0" w:color="C5446E" w:themeColor="accent4"/>
          <w:right w:val="nil"/>
          <w:insideH w:val="nil"/>
          <w:insideV w:val="nil"/>
        </w:tcBorders>
        <w:shd w:val="clear" w:color="auto" w:fill="FFFFFF" w:themeFill="background1"/>
      </w:tcPr>
    </w:tblStylePr>
    <w:tblStylePr w:type="lastRow">
      <w:tblPr/>
      <w:tcPr>
        <w:tcBorders>
          <w:top w:val="single" w:sz="8" w:space="0" w:color="C5446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5446E" w:themeColor="accent4"/>
          <w:insideH w:val="nil"/>
          <w:insideV w:val="nil"/>
        </w:tcBorders>
        <w:shd w:val="clear" w:color="auto" w:fill="FFFFFF" w:themeFill="background1"/>
      </w:tcPr>
    </w:tblStylePr>
    <w:tblStylePr w:type="lastCol">
      <w:tblPr/>
      <w:tcPr>
        <w:tcBorders>
          <w:top w:val="nil"/>
          <w:left w:val="single" w:sz="8" w:space="0" w:color="C544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D0DB" w:themeFill="accent4" w:themeFillTint="3F"/>
      </w:tcPr>
    </w:tblStylePr>
    <w:tblStylePr w:type="band1Horz">
      <w:tblPr/>
      <w:tcPr>
        <w:tcBorders>
          <w:top w:val="nil"/>
          <w:bottom w:val="nil"/>
          <w:insideH w:val="nil"/>
          <w:insideV w:val="nil"/>
        </w:tcBorders>
        <w:shd w:val="clear" w:color="auto" w:fill="F0D0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0719C"/>
    <w:rPr>
      <w:rFonts w:asciiTheme="majorHAnsi" w:eastAsiaTheme="majorEastAsia" w:hAnsiTheme="majorHAnsi" w:cstheme="majorBidi"/>
      <w:color w:val="0B1F2C" w:themeColor="text1"/>
    </w:rPr>
    <w:tblPr>
      <w:tblStyleRowBandSize w:val="1"/>
      <w:tblStyleColBandSize w:val="1"/>
      <w:tblBorders>
        <w:top w:val="single" w:sz="8" w:space="0" w:color="0B1F2C" w:themeColor="accent5"/>
        <w:left w:val="single" w:sz="8" w:space="0" w:color="0B1F2C" w:themeColor="accent5"/>
        <w:bottom w:val="single" w:sz="8" w:space="0" w:color="0B1F2C" w:themeColor="accent5"/>
        <w:right w:val="single" w:sz="8" w:space="0" w:color="0B1F2C" w:themeColor="accent5"/>
      </w:tblBorders>
    </w:tblPr>
    <w:tblStylePr w:type="firstRow">
      <w:rPr>
        <w:sz w:val="24"/>
        <w:szCs w:val="24"/>
      </w:rPr>
      <w:tblPr/>
      <w:tcPr>
        <w:tcBorders>
          <w:top w:val="nil"/>
          <w:left w:val="nil"/>
          <w:bottom w:val="single" w:sz="24" w:space="0" w:color="0B1F2C" w:themeColor="accent5"/>
          <w:right w:val="nil"/>
          <w:insideH w:val="nil"/>
          <w:insideV w:val="nil"/>
        </w:tcBorders>
        <w:shd w:val="clear" w:color="auto" w:fill="FFFFFF" w:themeFill="background1"/>
      </w:tcPr>
    </w:tblStylePr>
    <w:tblStylePr w:type="lastRow">
      <w:tblPr/>
      <w:tcPr>
        <w:tcBorders>
          <w:top w:val="single" w:sz="8" w:space="0" w:color="0B1F2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B1F2C" w:themeColor="accent5"/>
          <w:insideH w:val="nil"/>
          <w:insideV w:val="nil"/>
        </w:tcBorders>
        <w:shd w:val="clear" w:color="auto" w:fill="FFFFFF" w:themeFill="background1"/>
      </w:tcPr>
    </w:tblStylePr>
    <w:tblStylePr w:type="lastCol">
      <w:tblPr/>
      <w:tcPr>
        <w:tcBorders>
          <w:top w:val="nil"/>
          <w:left w:val="single" w:sz="8" w:space="0" w:color="0B1F2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CDE8" w:themeFill="accent5" w:themeFillTint="3F"/>
      </w:tcPr>
    </w:tblStylePr>
    <w:tblStylePr w:type="band1Horz">
      <w:tblPr/>
      <w:tcPr>
        <w:tcBorders>
          <w:top w:val="nil"/>
          <w:bottom w:val="nil"/>
          <w:insideH w:val="nil"/>
          <w:insideV w:val="nil"/>
        </w:tcBorders>
        <w:shd w:val="clear" w:color="auto" w:fill="A4CDE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0719C"/>
    <w:rPr>
      <w:rFonts w:asciiTheme="majorHAnsi" w:eastAsiaTheme="majorEastAsia" w:hAnsiTheme="majorHAnsi" w:cstheme="majorBidi"/>
      <w:color w:val="0B1F2C" w:themeColor="text1"/>
    </w:rPr>
    <w:tblPr>
      <w:tblStyleRowBandSize w:val="1"/>
      <w:tblStyleColBandSize w:val="1"/>
      <w:tblBorders>
        <w:top w:val="single" w:sz="8" w:space="0" w:color="909090" w:themeColor="accent6"/>
        <w:left w:val="single" w:sz="8" w:space="0" w:color="909090" w:themeColor="accent6"/>
        <w:bottom w:val="single" w:sz="8" w:space="0" w:color="909090" w:themeColor="accent6"/>
        <w:right w:val="single" w:sz="8" w:space="0" w:color="909090" w:themeColor="accent6"/>
      </w:tblBorders>
    </w:tblPr>
    <w:tblStylePr w:type="firstRow">
      <w:rPr>
        <w:sz w:val="24"/>
        <w:szCs w:val="24"/>
      </w:rPr>
      <w:tblPr/>
      <w:tcPr>
        <w:tcBorders>
          <w:top w:val="nil"/>
          <w:left w:val="nil"/>
          <w:bottom w:val="single" w:sz="24" w:space="0" w:color="909090" w:themeColor="accent6"/>
          <w:right w:val="nil"/>
          <w:insideH w:val="nil"/>
          <w:insideV w:val="nil"/>
        </w:tcBorders>
        <w:shd w:val="clear" w:color="auto" w:fill="FFFFFF" w:themeFill="background1"/>
      </w:tcPr>
    </w:tblStylePr>
    <w:tblStylePr w:type="lastRow">
      <w:tblPr/>
      <w:tcPr>
        <w:tcBorders>
          <w:top w:val="single" w:sz="8" w:space="0" w:color="90909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9090" w:themeColor="accent6"/>
          <w:insideH w:val="nil"/>
          <w:insideV w:val="nil"/>
        </w:tcBorders>
        <w:shd w:val="clear" w:color="auto" w:fill="FFFFFF" w:themeFill="background1"/>
      </w:tcPr>
    </w:tblStylePr>
    <w:tblStylePr w:type="lastCol">
      <w:tblPr/>
      <w:tcPr>
        <w:tcBorders>
          <w:top w:val="nil"/>
          <w:left w:val="single" w:sz="8" w:space="0" w:color="90909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3E3" w:themeFill="accent6" w:themeFillTint="3F"/>
      </w:tcPr>
    </w:tblStylePr>
    <w:tblStylePr w:type="band1Horz">
      <w:tblPr/>
      <w:tcPr>
        <w:tcBorders>
          <w:top w:val="nil"/>
          <w:bottom w:val="nil"/>
          <w:insideH w:val="nil"/>
          <w:insideV w:val="nil"/>
        </w:tcBorders>
        <w:shd w:val="clear" w:color="auto" w:fill="E3E3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0719C"/>
    <w:tblPr>
      <w:tblStyleRowBandSize w:val="1"/>
      <w:tblStyleColBandSize w:val="1"/>
      <w:tblBorders>
        <w:top w:val="single" w:sz="8" w:space="0" w:color="215F87" w:themeColor="text1" w:themeTint="BF"/>
        <w:left w:val="single" w:sz="8" w:space="0" w:color="215F87" w:themeColor="text1" w:themeTint="BF"/>
        <w:bottom w:val="single" w:sz="8" w:space="0" w:color="215F87" w:themeColor="text1" w:themeTint="BF"/>
        <w:right w:val="single" w:sz="8" w:space="0" w:color="215F87" w:themeColor="text1" w:themeTint="BF"/>
        <w:insideH w:val="single" w:sz="8" w:space="0" w:color="215F87" w:themeColor="text1" w:themeTint="BF"/>
      </w:tblBorders>
    </w:tblPr>
    <w:tblStylePr w:type="firstRow">
      <w:pPr>
        <w:spacing w:before="0" w:after="0" w:line="240" w:lineRule="auto"/>
      </w:pPr>
      <w:rPr>
        <w:b/>
        <w:bCs/>
        <w:color w:val="FFFFFF" w:themeColor="background1"/>
      </w:rPr>
      <w:tblPr/>
      <w:tcPr>
        <w:tcBorders>
          <w:top w:val="single" w:sz="8" w:space="0" w:color="215F87" w:themeColor="text1" w:themeTint="BF"/>
          <w:left w:val="single" w:sz="8" w:space="0" w:color="215F87" w:themeColor="text1" w:themeTint="BF"/>
          <w:bottom w:val="single" w:sz="8" w:space="0" w:color="215F87" w:themeColor="text1" w:themeTint="BF"/>
          <w:right w:val="single" w:sz="8" w:space="0" w:color="215F87" w:themeColor="text1" w:themeTint="BF"/>
          <w:insideH w:val="nil"/>
          <w:insideV w:val="nil"/>
        </w:tcBorders>
        <w:shd w:val="clear" w:color="auto" w:fill="0B1F2C" w:themeFill="text1"/>
      </w:tcPr>
    </w:tblStylePr>
    <w:tblStylePr w:type="lastRow">
      <w:pPr>
        <w:spacing w:before="0" w:after="0" w:line="240" w:lineRule="auto"/>
      </w:pPr>
      <w:rPr>
        <w:b/>
        <w:bCs/>
      </w:rPr>
      <w:tblPr/>
      <w:tcPr>
        <w:tcBorders>
          <w:top w:val="double" w:sz="6" w:space="0" w:color="215F87" w:themeColor="text1" w:themeTint="BF"/>
          <w:left w:val="single" w:sz="8" w:space="0" w:color="215F87" w:themeColor="text1" w:themeTint="BF"/>
          <w:bottom w:val="single" w:sz="8" w:space="0" w:color="215F87" w:themeColor="text1" w:themeTint="BF"/>
          <w:right w:val="single" w:sz="8" w:space="0" w:color="215F87" w:themeColor="text1" w:themeTint="BF"/>
          <w:insideH w:val="nil"/>
          <w:insideV w:val="nil"/>
        </w:tcBorders>
      </w:tcPr>
    </w:tblStylePr>
    <w:tblStylePr w:type="firstCol">
      <w:rPr>
        <w:b/>
        <w:bCs/>
      </w:rPr>
    </w:tblStylePr>
    <w:tblStylePr w:type="lastCol">
      <w:rPr>
        <w:b/>
        <w:bCs/>
      </w:rPr>
    </w:tblStylePr>
    <w:tblStylePr w:type="band1Vert">
      <w:tblPr/>
      <w:tcPr>
        <w:shd w:val="clear" w:color="auto" w:fill="A4CDE8" w:themeFill="text1" w:themeFillTint="3F"/>
      </w:tcPr>
    </w:tblStylePr>
    <w:tblStylePr w:type="band1Horz">
      <w:tblPr/>
      <w:tcPr>
        <w:tcBorders>
          <w:insideH w:val="nil"/>
          <w:insideV w:val="nil"/>
        </w:tcBorders>
        <w:shd w:val="clear" w:color="auto" w:fill="A4CDE8"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0719C"/>
    <w:tblPr>
      <w:tblStyleRowBandSize w:val="1"/>
      <w:tblStyleColBandSize w:val="1"/>
      <w:tblBorders>
        <w:top w:val="single" w:sz="8" w:space="0" w:color="2BBEFF" w:themeColor="accent1" w:themeTint="BF"/>
        <w:left w:val="single" w:sz="8" w:space="0" w:color="2BBEFF" w:themeColor="accent1" w:themeTint="BF"/>
        <w:bottom w:val="single" w:sz="8" w:space="0" w:color="2BBEFF" w:themeColor="accent1" w:themeTint="BF"/>
        <w:right w:val="single" w:sz="8" w:space="0" w:color="2BBEFF" w:themeColor="accent1" w:themeTint="BF"/>
        <w:insideH w:val="single" w:sz="8" w:space="0" w:color="2BBEFF" w:themeColor="accent1" w:themeTint="BF"/>
      </w:tblBorders>
    </w:tblPr>
    <w:tblStylePr w:type="firstRow">
      <w:pPr>
        <w:spacing w:before="0" w:after="0" w:line="240" w:lineRule="auto"/>
      </w:pPr>
      <w:rPr>
        <w:b/>
        <w:bCs/>
        <w:color w:val="FFFFFF" w:themeColor="background1"/>
      </w:rPr>
      <w:tblPr/>
      <w:tcPr>
        <w:tcBorders>
          <w:top w:val="single" w:sz="8" w:space="0" w:color="2BBEFF" w:themeColor="accent1" w:themeTint="BF"/>
          <w:left w:val="single" w:sz="8" w:space="0" w:color="2BBEFF" w:themeColor="accent1" w:themeTint="BF"/>
          <w:bottom w:val="single" w:sz="8" w:space="0" w:color="2BBEFF" w:themeColor="accent1" w:themeTint="BF"/>
          <w:right w:val="single" w:sz="8" w:space="0" w:color="2BBEFF" w:themeColor="accent1" w:themeTint="BF"/>
          <w:insideH w:val="nil"/>
          <w:insideV w:val="nil"/>
        </w:tcBorders>
        <w:shd w:val="clear" w:color="auto" w:fill="009FE3" w:themeFill="accent1"/>
      </w:tcPr>
    </w:tblStylePr>
    <w:tblStylePr w:type="lastRow">
      <w:pPr>
        <w:spacing w:before="0" w:after="0" w:line="240" w:lineRule="auto"/>
      </w:pPr>
      <w:rPr>
        <w:b/>
        <w:bCs/>
      </w:rPr>
      <w:tblPr/>
      <w:tcPr>
        <w:tcBorders>
          <w:top w:val="double" w:sz="6" w:space="0" w:color="2BBEFF" w:themeColor="accent1" w:themeTint="BF"/>
          <w:left w:val="single" w:sz="8" w:space="0" w:color="2BBEFF" w:themeColor="accent1" w:themeTint="BF"/>
          <w:bottom w:val="single" w:sz="8" w:space="0" w:color="2BBEFF" w:themeColor="accent1" w:themeTint="BF"/>
          <w:right w:val="single" w:sz="8" w:space="0" w:color="2BBE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9E9FF" w:themeFill="accent1" w:themeFillTint="3F"/>
      </w:tcPr>
    </w:tblStylePr>
    <w:tblStylePr w:type="band1Horz">
      <w:tblPr/>
      <w:tcPr>
        <w:tcBorders>
          <w:insideH w:val="nil"/>
          <w:insideV w:val="nil"/>
        </w:tcBorders>
        <w:shd w:val="clear" w:color="auto" w:fill="B9E9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0719C"/>
    <w:tblPr>
      <w:tblStyleRowBandSize w:val="1"/>
      <w:tblStyleColBandSize w:val="1"/>
      <w:tblBorders>
        <w:top w:val="single" w:sz="8" w:space="0" w:color="DF00DF" w:themeColor="accent2" w:themeTint="BF"/>
        <w:left w:val="single" w:sz="8" w:space="0" w:color="DF00DF" w:themeColor="accent2" w:themeTint="BF"/>
        <w:bottom w:val="single" w:sz="8" w:space="0" w:color="DF00DF" w:themeColor="accent2" w:themeTint="BF"/>
        <w:right w:val="single" w:sz="8" w:space="0" w:color="DF00DF" w:themeColor="accent2" w:themeTint="BF"/>
        <w:insideH w:val="single" w:sz="8" w:space="0" w:color="DF00DF" w:themeColor="accent2" w:themeTint="BF"/>
      </w:tblBorders>
    </w:tblPr>
    <w:tblStylePr w:type="firstRow">
      <w:pPr>
        <w:spacing w:before="0" w:after="0" w:line="240" w:lineRule="auto"/>
      </w:pPr>
      <w:rPr>
        <w:b/>
        <w:bCs/>
        <w:color w:val="FFFFFF" w:themeColor="background1"/>
      </w:rPr>
      <w:tblPr/>
      <w:tcPr>
        <w:tcBorders>
          <w:top w:val="single" w:sz="8" w:space="0" w:color="DF00DF" w:themeColor="accent2" w:themeTint="BF"/>
          <w:left w:val="single" w:sz="8" w:space="0" w:color="DF00DF" w:themeColor="accent2" w:themeTint="BF"/>
          <w:bottom w:val="single" w:sz="8" w:space="0" w:color="DF00DF" w:themeColor="accent2" w:themeTint="BF"/>
          <w:right w:val="single" w:sz="8" w:space="0" w:color="DF00DF" w:themeColor="accent2" w:themeTint="BF"/>
          <w:insideH w:val="nil"/>
          <w:insideV w:val="nil"/>
        </w:tcBorders>
        <w:shd w:val="clear" w:color="auto" w:fill="800080" w:themeFill="accent2"/>
      </w:tcPr>
    </w:tblStylePr>
    <w:tblStylePr w:type="lastRow">
      <w:pPr>
        <w:spacing w:before="0" w:after="0" w:line="240" w:lineRule="auto"/>
      </w:pPr>
      <w:rPr>
        <w:b/>
        <w:bCs/>
      </w:rPr>
      <w:tblPr/>
      <w:tcPr>
        <w:tcBorders>
          <w:top w:val="double" w:sz="6" w:space="0" w:color="DF00DF" w:themeColor="accent2" w:themeTint="BF"/>
          <w:left w:val="single" w:sz="8" w:space="0" w:color="DF00DF" w:themeColor="accent2" w:themeTint="BF"/>
          <w:bottom w:val="single" w:sz="8" w:space="0" w:color="DF00DF" w:themeColor="accent2" w:themeTint="BF"/>
          <w:right w:val="single" w:sz="8" w:space="0" w:color="DF00D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A0FF" w:themeFill="accent2" w:themeFillTint="3F"/>
      </w:tcPr>
    </w:tblStylePr>
    <w:tblStylePr w:type="band1Horz">
      <w:tblPr/>
      <w:tcPr>
        <w:tcBorders>
          <w:insideH w:val="nil"/>
          <w:insideV w:val="nil"/>
        </w:tcBorders>
        <w:shd w:val="clear" w:color="auto" w:fill="FFA0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0719C"/>
    <w:tblPr>
      <w:tblStyleRowBandSize w:val="1"/>
      <w:tblStyleColBandSize w:val="1"/>
      <w:tblBorders>
        <w:top w:val="single" w:sz="8" w:space="0" w:color="4FDCD8" w:themeColor="accent3" w:themeTint="BF"/>
        <w:left w:val="single" w:sz="8" w:space="0" w:color="4FDCD8" w:themeColor="accent3" w:themeTint="BF"/>
        <w:bottom w:val="single" w:sz="8" w:space="0" w:color="4FDCD8" w:themeColor="accent3" w:themeTint="BF"/>
        <w:right w:val="single" w:sz="8" w:space="0" w:color="4FDCD8" w:themeColor="accent3" w:themeTint="BF"/>
        <w:insideH w:val="single" w:sz="8" w:space="0" w:color="4FDCD8" w:themeColor="accent3" w:themeTint="BF"/>
      </w:tblBorders>
    </w:tblPr>
    <w:tblStylePr w:type="firstRow">
      <w:pPr>
        <w:spacing w:before="0" w:after="0" w:line="240" w:lineRule="auto"/>
      </w:pPr>
      <w:rPr>
        <w:b/>
        <w:bCs/>
        <w:color w:val="FFFFFF" w:themeColor="background1"/>
      </w:rPr>
      <w:tblPr/>
      <w:tcPr>
        <w:tcBorders>
          <w:top w:val="single" w:sz="8" w:space="0" w:color="4FDCD8" w:themeColor="accent3" w:themeTint="BF"/>
          <w:left w:val="single" w:sz="8" w:space="0" w:color="4FDCD8" w:themeColor="accent3" w:themeTint="BF"/>
          <w:bottom w:val="single" w:sz="8" w:space="0" w:color="4FDCD8" w:themeColor="accent3" w:themeTint="BF"/>
          <w:right w:val="single" w:sz="8" w:space="0" w:color="4FDCD8" w:themeColor="accent3" w:themeTint="BF"/>
          <w:insideH w:val="nil"/>
          <w:insideV w:val="nil"/>
        </w:tcBorders>
        <w:shd w:val="clear" w:color="auto" w:fill="26C0BC" w:themeFill="accent3"/>
      </w:tcPr>
    </w:tblStylePr>
    <w:tblStylePr w:type="lastRow">
      <w:pPr>
        <w:spacing w:before="0" w:after="0" w:line="240" w:lineRule="auto"/>
      </w:pPr>
      <w:rPr>
        <w:b/>
        <w:bCs/>
      </w:rPr>
      <w:tblPr/>
      <w:tcPr>
        <w:tcBorders>
          <w:top w:val="double" w:sz="6" w:space="0" w:color="4FDCD8" w:themeColor="accent3" w:themeTint="BF"/>
          <w:left w:val="single" w:sz="8" w:space="0" w:color="4FDCD8" w:themeColor="accent3" w:themeTint="BF"/>
          <w:bottom w:val="single" w:sz="8" w:space="0" w:color="4FDCD8" w:themeColor="accent3" w:themeTint="BF"/>
          <w:right w:val="single" w:sz="8" w:space="0" w:color="4FDCD8" w:themeColor="accent3" w:themeTint="BF"/>
          <w:insideH w:val="nil"/>
          <w:insideV w:val="nil"/>
        </w:tcBorders>
      </w:tcPr>
    </w:tblStylePr>
    <w:tblStylePr w:type="firstCol">
      <w:rPr>
        <w:b/>
        <w:bCs/>
      </w:rPr>
    </w:tblStylePr>
    <w:tblStylePr w:type="lastCol">
      <w:rPr>
        <w:b/>
        <w:bCs/>
      </w:rPr>
    </w:tblStylePr>
    <w:tblStylePr w:type="band1Vert">
      <w:tblPr/>
      <w:tcPr>
        <w:shd w:val="clear" w:color="auto" w:fill="C5F3F2" w:themeFill="accent3" w:themeFillTint="3F"/>
      </w:tcPr>
    </w:tblStylePr>
    <w:tblStylePr w:type="band1Horz">
      <w:tblPr/>
      <w:tcPr>
        <w:tcBorders>
          <w:insideH w:val="nil"/>
          <w:insideV w:val="nil"/>
        </w:tcBorders>
        <w:shd w:val="clear" w:color="auto" w:fill="C5F3F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0719C"/>
    <w:tblPr>
      <w:tblStyleRowBandSize w:val="1"/>
      <w:tblStyleColBandSize w:val="1"/>
      <w:tblBorders>
        <w:top w:val="single" w:sz="8" w:space="0" w:color="D37292" w:themeColor="accent4" w:themeTint="BF"/>
        <w:left w:val="single" w:sz="8" w:space="0" w:color="D37292" w:themeColor="accent4" w:themeTint="BF"/>
        <w:bottom w:val="single" w:sz="8" w:space="0" w:color="D37292" w:themeColor="accent4" w:themeTint="BF"/>
        <w:right w:val="single" w:sz="8" w:space="0" w:color="D37292" w:themeColor="accent4" w:themeTint="BF"/>
        <w:insideH w:val="single" w:sz="8" w:space="0" w:color="D37292" w:themeColor="accent4" w:themeTint="BF"/>
      </w:tblBorders>
    </w:tblPr>
    <w:tblStylePr w:type="firstRow">
      <w:pPr>
        <w:spacing w:before="0" w:after="0" w:line="240" w:lineRule="auto"/>
      </w:pPr>
      <w:rPr>
        <w:b/>
        <w:bCs/>
        <w:color w:val="FFFFFF" w:themeColor="background1"/>
      </w:rPr>
      <w:tblPr/>
      <w:tcPr>
        <w:tcBorders>
          <w:top w:val="single" w:sz="8" w:space="0" w:color="D37292" w:themeColor="accent4" w:themeTint="BF"/>
          <w:left w:val="single" w:sz="8" w:space="0" w:color="D37292" w:themeColor="accent4" w:themeTint="BF"/>
          <w:bottom w:val="single" w:sz="8" w:space="0" w:color="D37292" w:themeColor="accent4" w:themeTint="BF"/>
          <w:right w:val="single" w:sz="8" w:space="0" w:color="D37292" w:themeColor="accent4" w:themeTint="BF"/>
          <w:insideH w:val="nil"/>
          <w:insideV w:val="nil"/>
        </w:tcBorders>
        <w:shd w:val="clear" w:color="auto" w:fill="C5446E" w:themeFill="accent4"/>
      </w:tcPr>
    </w:tblStylePr>
    <w:tblStylePr w:type="lastRow">
      <w:pPr>
        <w:spacing w:before="0" w:after="0" w:line="240" w:lineRule="auto"/>
      </w:pPr>
      <w:rPr>
        <w:b/>
        <w:bCs/>
      </w:rPr>
      <w:tblPr/>
      <w:tcPr>
        <w:tcBorders>
          <w:top w:val="double" w:sz="6" w:space="0" w:color="D37292" w:themeColor="accent4" w:themeTint="BF"/>
          <w:left w:val="single" w:sz="8" w:space="0" w:color="D37292" w:themeColor="accent4" w:themeTint="BF"/>
          <w:bottom w:val="single" w:sz="8" w:space="0" w:color="D37292" w:themeColor="accent4" w:themeTint="BF"/>
          <w:right w:val="single" w:sz="8" w:space="0" w:color="D372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0D0DB" w:themeFill="accent4" w:themeFillTint="3F"/>
      </w:tcPr>
    </w:tblStylePr>
    <w:tblStylePr w:type="band1Horz">
      <w:tblPr/>
      <w:tcPr>
        <w:tcBorders>
          <w:insideH w:val="nil"/>
          <w:insideV w:val="nil"/>
        </w:tcBorders>
        <w:shd w:val="clear" w:color="auto" w:fill="F0D0D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0719C"/>
    <w:tblPr>
      <w:tblStyleRowBandSize w:val="1"/>
      <w:tblStyleColBandSize w:val="1"/>
      <w:tblBorders>
        <w:top w:val="single" w:sz="8" w:space="0" w:color="215F87" w:themeColor="accent5" w:themeTint="BF"/>
        <w:left w:val="single" w:sz="8" w:space="0" w:color="215F87" w:themeColor="accent5" w:themeTint="BF"/>
        <w:bottom w:val="single" w:sz="8" w:space="0" w:color="215F87" w:themeColor="accent5" w:themeTint="BF"/>
        <w:right w:val="single" w:sz="8" w:space="0" w:color="215F87" w:themeColor="accent5" w:themeTint="BF"/>
        <w:insideH w:val="single" w:sz="8" w:space="0" w:color="215F87" w:themeColor="accent5" w:themeTint="BF"/>
      </w:tblBorders>
    </w:tblPr>
    <w:tblStylePr w:type="firstRow">
      <w:pPr>
        <w:spacing w:before="0" w:after="0" w:line="240" w:lineRule="auto"/>
      </w:pPr>
      <w:rPr>
        <w:b/>
        <w:bCs/>
        <w:color w:val="FFFFFF" w:themeColor="background1"/>
      </w:rPr>
      <w:tblPr/>
      <w:tcPr>
        <w:tcBorders>
          <w:top w:val="single" w:sz="8" w:space="0" w:color="215F87" w:themeColor="accent5" w:themeTint="BF"/>
          <w:left w:val="single" w:sz="8" w:space="0" w:color="215F87" w:themeColor="accent5" w:themeTint="BF"/>
          <w:bottom w:val="single" w:sz="8" w:space="0" w:color="215F87" w:themeColor="accent5" w:themeTint="BF"/>
          <w:right w:val="single" w:sz="8" w:space="0" w:color="215F87" w:themeColor="accent5" w:themeTint="BF"/>
          <w:insideH w:val="nil"/>
          <w:insideV w:val="nil"/>
        </w:tcBorders>
        <w:shd w:val="clear" w:color="auto" w:fill="0B1F2C" w:themeFill="accent5"/>
      </w:tcPr>
    </w:tblStylePr>
    <w:tblStylePr w:type="lastRow">
      <w:pPr>
        <w:spacing w:before="0" w:after="0" w:line="240" w:lineRule="auto"/>
      </w:pPr>
      <w:rPr>
        <w:b/>
        <w:bCs/>
      </w:rPr>
      <w:tblPr/>
      <w:tcPr>
        <w:tcBorders>
          <w:top w:val="double" w:sz="6" w:space="0" w:color="215F87" w:themeColor="accent5" w:themeTint="BF"/>
          <w:left w:val="single" w:sz="8" w:space="0" w:color="215F87" w:themeColor="accent5" w:themeTint="BF"/>
          <w:bottom w:val="single" w:sz="8" w:space="0" w:color="215F87" w:themeColor="accent5" w:themeTint="BF"/>
          <w:right w:val="single" w:sz="8" w:space="0" w:color="215F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A4CDE8" w:themeFill="accent5" w:themeFillTint="3F"/>
      </w:tcPr>
    </w:tblStylePr>
    <w:tblStylePr w:type="band1Horz">
      <w:tblPr/>
      <w:tcPr>
        <w:tcBorders>
          <w:insideH w:val="nil"/>
          <w:insideV w:val="nil"/>
        </w:tcBorders>
        <w:shd w:val="clear" w:color="auto" w:fill="A4CDE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0719C"/>
    <w:tblPr>
      <w:tblStyleRowBandSize w:val="1"/>
      <w:tblStyleColBandSize w:val="1"/>
      <w:tblBorders>
        <w:top w:val="single" w:sz="8" w:space="0" w:color="ABABAB" w:themeColor="accent6" w:themeTint="BF"/>
        <w:left w:val="single" w:sz="8" w:space="0" w:color="ABABAB" w:themeColor="accent6" w:themeTint="BF"/>
        <w:bottom w:val="single" w:sz="8" w:space="0" w:color="ABABAB" w:themeColor="accent6" w:themeTint="BF"/>
        <w:right w:val="single" w:sz="8" w:space="0" w:color="ABABAB" w:themeColor="accent6" w:themeTint="BF"/>
        <w:insideH w:val="single" w:sz="8" w:space="0" w:color="ABABAB" w:themeColor="accent6" w:themeTint="BF"/>
      </w:tblBorders>
    </w:tblPr>
    <w:tblStylePr w:type="firstRow">
      <w:pPr>
        <w:spacing w:before="0" w:after="0" w:line="240" w:lineRule="auto"/>
      </w:pPr>
      <w:rPr>
        <w:b/>
        <w:bCs/>
        <w:color w:val="FFFFFF" w:themeColor="background1"/>
      </w:rPr>
      <w:tblPr/>
      <w:tcPr>
        <w:tcBorders>
          <w:top w:val="single" w:sz="8" w:space="0" w:color="ABABAB" w:themeColor="accent6" w:themeTint="BF"/>
          <w:left w:val="single" w:sz="8" w:space="0" w:color="ABABAB" w:themeColor="accent6" w:themeTint="BF"/>
          <w:bottom w:val="single" w:sz="8" w:space="0" w:color="ABABAB" w:themeColor="accent6" w:themeTint="BF"/>
          <w:right w:val="single" w:sz="8" w:space="0" w:color="ABABAB" w:themeColor="accent6" w:themeTint="BF"/>
          <w:insideH w:val="nil"/>
          <w:insideV w:val="nil"/>
        </w:tcBorders>
        <w:shd w:val="clear" w:color="auto" w:fill="909090" w:themeFill="accent6"/>
      </w:tcPr>
    </w:tblStylePr>
    <w:tblStylePr w:type="lastRow">
      <w:pPr>
        <w:spacing w:before="0" w:after="0" w:line="240" w:lineRule="auto"/>
      </w:pPr>
      <w:rPr>
        <w:b/>
        <w:bCs/>
      </w:rPr>
      <w:tblPr/>
      <w:tcPr>
        <w:tcBorders>
          <w:top w:val="double" w:sz="6" w:space="0" w:color="ABABAB" w:themeColor="accent6" w:themeTint="BF"/>
          <w:left w:val="single" w:sz="8" w:space="0" w:color="ABABAB" w:themeColor="accent6" w:themeTint="BF"/>
          <w:bottom w:val="single" w:sz="8" w:space="0" w:color="ABABAB" w:themeColor="accent6" w:themeTint="BF"/>
          <w:right w:val="single" w:sz="8" w:space="0" w:color="ABABAB" w:themeColor="accent6" w:themeTint="BF"/>
          <w:insideH w:val="nil"/>
          <w:insideV w:val="nil"/>
        </w:tcBorders>
      </w:tcPr>
    </w:tblStylePr>
    <w:tblStylePr w:type="firstCol">
      <w:rPr>
        <w:b/>
        <w:bCs/>
      </w:rPr>
    </w:tblStylePr>
    <w:tblStylePr w:type="lastCol">
      <w:rPr>
        <w:b/>
        <w:bCs/>
      </w:rPr>
    </w:tblStylePr>
    <w:tblStylePr w:type="band1Vert">
      <w:tblPr/>
      <w:tcPr>
        <w:shd w:val="clear" w:color="auto" w:fill="E3E3E3" w:themeFill="accent6" w:themeFillTint="3F"/>
      </w:tcPr>
    </w:tblStylePr>
    <w:tblStylePr w:type="band1Horz">
      <w:tblPr/>
      <w:tcPr>
        <w:tcBorders>
          <w:insideH w:val="nil"/>
          <w:insideV w:val="nil"/>
        </w:tcBorders>
        <w:shd w:val="clear" w:color="auto" w:fill="E3E3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0719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B1F2C"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B1F2C" w:themeFill="text1"/>
      </w:tcPr>
    </w:tblStylePr>
    <w:tblStylePr w:type="lastCol">
      <w:rPr>
        <w:b/>
        <w:bCs/>
        <w:color w:val="FFFFFF" w:themeColor="background1"/>
      </w:rPr>
      <w:tblPr/>
      <w:tcPr>
        <w:tcBorders>
          <w:left w:val="nil"/>
          <w:right w:val="nil"/>
          <w:insideH w:val="nil"/>
          <w:insideV w:val="nil"/>
        </w:tcBorders>
        <w:shd w:val="clear" w:color="auto" w:fill="0B1F2C"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0719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FE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FE3" w:themeFill="accent1"/>
      </w:tcPr>
    </w:tblStylePr>
    <w:tblStylePr w:type="lastCol">
      <w:rPr>
        <w:b/>
        <w:bCs/>
        <w:color w:val="FFFFFF" w:themeColor="background1"/>
      </w:rPr>
      <w:tblPr/>
      <w:tcPr>
        <w:tcBorders>
          <w:left w:val="nil"/>
          <w:right w:val="nil"/>
          <w:insideH w:val="nil"/>
          <w:insideV w:val="nil"/>
        </w:tcBorders>
        <w:shd w:val="clear" w:color="auto" w:fill="009FE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0719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008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0080" w:themeFill="accent2"/>
      </w:tcPr>
    </w:tblStylePr>
    <w:tblStylePr w:type="lastCol">
      <w:rPr>
        <w:b/>
        <w:bCs/>
        <w:color w:val="FFFFFF" w:themeColor="background1"/>
      </w:rPr>
      <w:tblPr/>
      <w:tcPr>
        <w:tcBorders>
          <w:left w:val="nil"/>
          <w:right w:val="nil"/>
          <w:insideH w:val="nil"/>
          <w:insideV w:val="nil"/>
        </w:tcBorders>
        <w:shd w:val="clear" w:color="auto" w:fill="80008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0719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C0B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6C0BC" w:themeFill="accent3"/>
      </w:tcPr>
    </w:tblStylePr>
    <w:tblStylePr w:type="lastCol">
      <w:rPr>
        <w:b/>
        <w:bCs/>
        <w:color w:val="FFFFFF" w:themeColor="background1"/>
      </w:rPr>
      <w:tblPr/>
      <w:tcPr>
        <w:tcBorders>
          <w:left w:val="nil"/>
          <w:right w:val="nil"/>
          <w:insideH w:val="nil"/>
          <w:insideV w:val="nil"/>
        </w:tcBorders>
        <w:shd w:val="clear" w:color="auto" w:fill="26C0B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0719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544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5446E" w:themeFill="accent4"/>
      </w:tcPr>
    </w:tblStylePr>
    <w:tblStylePr w:type="lastCol">
      <w:rPr>
        <w:b/>
        <w:bCs/>
        <w:color w:val="FFFFFF" w:themeColor="background1"/>
      </w:rPr>
      <w:tblPr/>
      <w:tcPr>
        <w:tcBorders>
          <w:left w:val="nil"/>
          <w:right w:val="nil"/>
          <w:insideH w:val="nil"/>
          <w:insideV w:val="nil"/>
        </w:tcBorders>
        <w:shd w:val="clear" w:color="auto" w:fill="C544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0719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B1F2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B1F2C" w:themeFill="accent5"/>
      </w:tcPr>
    </w:tblStylePr>
    <w:tblStylePr w:type="lastCol">
      <w:rPr>
        <w:b/>
        <w:bCs/>
        <w:color w:val="FFFFFF" w:themeColor="background1"/>
      </w:rPr>
      <w:tblPr/>
      <w:tcPr>
        <w:tcBorders>
          <w:left w:val="nil"/>
          <w:right w:val="nil"/>
          <w:insideH w:val="nil"/>
          <w:insideV w:val="nil"/>
        </w:tcBorders>
        <w:shd w:val="clear" w:color="auto" w:fill="0B1F2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0719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909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09090" w:themeFill="accent6"/>
      </w:tcPr>
    </w:tblStylePr>
    <w:tblStylePr w:type="lastCol">
      <w:rPr>
        <w:b/>
        <w:bCs/>
        <w:color w:val="FFFFFF" w:themeColor="background1"/>
      </w:rPr>
      <w:tblPr/>
      <w:tcPr>
        <w:tcBorders>
          <w:left w:val="nil"/>
          <w:right w:val="nil"/>
          <w:insideH w:val="nil"/>
          <w:insideV w:val="nil"/>
        </w:tcBorders>
        <w:shd w:val="clear" w:color="auto" w:fill="90909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unhideWhenUsed/>
    <w:rsid w:val="0090719C"/>
    <w:rPr>
      <w:color w:val="2B579A"/>
      <w:shd w:val="clear" w:color="auto" w:fill="E1DFDD"/>
      <w:lang w:val="en-GB"/>
    </w:rPr>
  </w:style>
  <w:style w:type="paragraph" w:styleId="MessageHeader">
    <w:name w:val="Message Header"/>
    <w:basedOn w:val="Normal"/>
    <w:link w:val="MessageHeaderChar"/>
    <w:uiPriority w:val="99"/>
    <w:semiHidden/>
    <w:unhideWhenUsed/>
    <w:rsid w:val="0090719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0719C"/>
    <w:rPr>
      <w:rFonts w:asciiTheme="majorHAnsi" w:eastAsiaTheme="majorEastAsia" w:hAnsiTheme="majorHAnsi" w:cstheme="majorBidi"/>
      <w:sz w:val="24"/>
      <w:szCs w:val="24"/>
      <w:shd w:val="pct20" w:color="auto" w:fill="auto"/>
      <w:lang w:val="en-GB"/>
    </w:rPr>
  </w:style>
  <w:style w:type="paragraph" w:styleId="NoSpacing">
    <w:name w:val="No Spacing"/>
    <w:uiPriority w:val="1"/>
    <w:semiHidden/>
    <w:qFormat/>
    <w:rsid w:val="0090719C"/>
    <w:rPr>
      <w:rFonts w:ascii="Arial" w:eastAsia="Arial" w:hAnsi="Arial" w:cs="Arial"/>
      <w:lang w:val="en-GB"/>
    </w:rPr>
  </w:style>
  <w:style w:type="paragraph" w:styleId="NormalWeb">
    <w:name w:val="Normal (Web)"/>
    <w:basedOn w:val="Normal"/>
    <w:uiPriority w:val="99"/>
    <w:semiHidden/>
    <w:unhideWhenUsed/>
    <w:rsid w:val="0090719C"/>
    <w:rPr>
      <w:rFonts w:ascii="Times New Roman" w:hAnsi="Times New Roman" w:cs="Times New Roman"/>
      <w:sz w:val="24"/>
      <w:szCs w:val="24"/>
    </w:rPr>
  </w:style>
  <w:style w:type="paragraph" w:styleId="NormalIndent">
    <w:name w:val="Normal Indent"/>
    <w:basedOn w:val="Normal"/>
    <w:uiPriority w:val="99"/>
    <w:semiHidden/>
    <w:unhideWhenUsed/>
    <w:rsid w:val="0090719C"/>
    <w:pPr>
      <w:ind w:left="720"/>
    </w:pPr>
  </w:style>
  <w:style w:type="paragraph" w:styleId="NoteHeading">
    <w:name w:val="Note Heading"/>
    <w:basedOn w:val="Normal"/>
    <w:next w:val="Normal"/>
    <w:link w:val="NoteHeadingChar"/>
    <w:uiPriority w:val="99"/>
    <w:semiHidden/>
    <w:unhideWhenUsed/>
    <w:rsid w:val="0090719C"/>
  </w:style>
  <w:style w:type="character" w:customStyle="1" w:styleId="NoteHeadingChar">
    <w:name w:val="Note Heading Char"/>
    <w:basedOn w:val="DefaultParagraphFont"/>
    <w:link w:val="NoteHeading"/>
    <w:uiPriority w:val="99"/>
    <w:semiHidden/>
    <w:rsid w:val="0090719C"/>
    <w:rPr>
      <w:rFonts w:ascii="Arial" w:eastAsia="Arial" w:hAnsi="Arial" w:cs="Arial"/>
      <w:lang w:val="en-GB"/>
    </w:rPr>
  </w:style>
  <w:style w:type="character" w:styleId="PageNumber">
    <w:name w:val="page number"/>
    <w:basedOn w:val="DefaultParagraphFont"/>
    <w:uiPriority w:val="99"/>
    <w:semiHidden/>
    <w:unhideWhenUsed/>
    <w:rsid w:val="0090719C"/>
    <w:rPr>
      <w:lang w:val="en-GB"/>
    </w:rPr>
  </w:style>
  <w:style w:type="character" w:styleId="PlaceholderText">
    <w:name w:val="Placeholder Text"/>
    <w:basedOn w:val="DefaultParagraphFont"/>
    <w:uiPriority w:val="99"/>
    <w:semiHidden/>
    <w:rsid w:val="0090719C"/>
    <w:rPr>
      <w:color w:val="808080"/>
      <w:lang w:val="en-GB"/>
    </w:rPr>
  </w:style>
  <w:style w:type="table" w:styleId="PlainTable1">
    <w:name w:val="Plain Table 1"/>
    <w:basedOn w:val="TableNormal"/>
    <w:uiPriority w:val="41"/>
    <w:rsid w:val="0090719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0719C"/>
    <w:tblPr>
      <w:tblStyleRowBandSize w:val="1"/>
      <w:tblStyleColBandSize w:val="1"/>
      <w:tblBorders>
        <w:top w:val="single" w:sz="4" w:space="0" w:color="489AD1" w:themeColor="text1" w:themeTint="80"/>
        <w:bottom w:val="single" w:sz="4" w:space="0" w:color="489AD1" w:themeColor="text1" w:themeTint="80"/>
      </w:tblBorders>
    </w:tblPr>
    <w:tblStylePr w:type="firstRow">
      <w:rPr>
        <w:b/>
        <w:bCs/>
      </w:rPr>
      <w:tblPr/>
      <w:tcPr>
        <w:tcBorders>
          <w:bottom w:val="single" w:sz="4" w:space="0" w:color="489AD1" w:themeColor="text1" w:themeTint="80"/>
        </w:tcBorders>
      </w:tcPr>
    </w:tblStylePr>
    <w:tblStylePr w:type="lastRow">
      <w:rPr>
        <w:b/>
        <w:bCs/>
      </w:rPr>
      <w:tblPr/>
      <w:tcPr>
        <w:tcBorders>
          <w:top w:val="single" w:sz="4" w:space="0" w:color="489AD1" w:themeColor="text1" w:themeTint="80"/>
        </w:tcBorders>
      </w:tcPr>
    </w:tblStylePr>
    <w:tblStylePr w:type="firstCol">
      <w:rPr>
        <w:b/>
        <w:bCs/>
      </w:rPr>
    </w:tblStylePr>
    <w:tblStylePr w:type="lastCol">
      <w:rPr>
        <w:b/>
        <w:bCs/>
      </w:rPr>
    </w:tblStylePr>
    <w:tblStylePr w:type="band1Vert">
      <w:tblPr/>
      <w:tcPr>
        <w:tcBorders>
          <w:left w:val="single" w:sz="4" w:space="0" w:color="489AD1" w:themeColor="text1" w:themeTint="80"/>
          <w:right w:val="single" w:sz="4" w:space="0" w:color="489AD1" w:themeColor="text1" w:themeTint="80"/>
        </w:tcBorders>
      </w:tcPr>
    </w:tblStylePr>
    <w:tblStylePr w:type="band2Vert">
      <w:tblPr/>
      <w:tcPr>
        <w:tcBorders>
          <w:left w:val="single" w:sz="4" w:space="0" w:color="489AD1" w:themeColor="text1" w:themeTint="80"/>
          <w:right w:val="single" w:sz="4" w:space="0" w:color="489AD1" w:themeColor="text1" w:themeTint="80"/>
        </w:tcBorders>
      </w:tcPr>
    </w:tblStylePr>
    <w:tblStylePr w:type="band1Horz">
      <w:tblPr/>
      <w:tcPr>
        <w:tcBorders>
          <w:top w:val="single" w:sz="4" w:space="0" w:color="489AD1" w:themeColor="text1" w:themeTint="80"/>
          <w:bottom w:val="single" w:sz="4" w:space="0" w:color="489AD1" w:themeColor="text1" w:themeTint="80"/>
        </w:tcBorders>
      </w:tcPr>
    </w:tblStylePr>
  </w:style>
  <w:style w:type="table" w:styleId="PlainTable3">
    <w:name w:val="Plain Table 3"/>
    <w:basedOn w:val="TableNormal"/>
    <w:uiPriority w:val="43"/>
    <w:rsid w:val="0090719C"/>
    <w:tblPr>
      <w:tblStyleRowBandSize w:val="1"/>
      <w:tblStyleColBandSize w:val="1"/>
    </w:tblPr>
    <w:tblStylePr w:type="firstRow">
      <w:rPr>
        <w:b/>
        <w:bCs/>
        <w:caps/>
      </w:rPr>
      <w:tblPr/>
      <w:tcPr>
        <w:tcBorders>
          <w:bottom w:val="single" w:sz="4" w:space="0" w:color="489AD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489AD1"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0719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0719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89AD1"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89AD1"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89AD1"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89AD1"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0719C"/>
    <w:rPr>
      <w:rFonts w:ascii="Consolas" w:hAnsi="Consolas"/>
      <w:sz w:val="21"/>
      <w:szCs w:val="21"/>
    </w:rPr>
  </w:style>
  <w:style w:type="character" w:customStyle="1" w:styleId="PlainTextChar">
    <w:name w:val="Plain Text Char"/>
    <w:basedOn w:val="DefaultParagraphFont"/>
    <w:link w:val="PlainText"/>
    <w:uiPriority w:val="99"/>
    <w:semiHidden/>
    <w:rsid w:val="0090719C"/>
    <w:rPr>
      <w:rFonts w:ascii="Consolas" w:eastAsia="Arial" w:hAnsi="Consolas" w:cs="Arial"/>
      <w:sz w:val="21"/>
      <w:szCs w:val="21"/>
      <w:lang w:val="en-GB"/>
    </w:rPr>
  </w:style>
  <w:style w:type="paragraph" w:styleId="Quote">
    <w:name w:val="Quote"/>
    <w:basedOn w:val="Normal"/>
    <w:next w:val="Normal"/>
    <w:link w:val="QuoteChar"/>
    <w:uiPriority w:val="29"/>
    <w:semiHidden/>
    <w:qFormat/>
    <w:rsid w:val="0090719C"/>
    <w:pPr>
      <w:spacing w:before="200" w:after="160"/>
      <w:ind w:left="864" w:right="864"/>
      <w:jc w:val="center"/>
    </w:pPr>
    <w:rPr>
      <w:i/>
      <w:iCs/>
      <w:color w:val="215F87" w:themeColor="text1" w:themeTint="BF"/>
    </w:rPr>
  </w:style>
  <w:style w:type="character" w:customStyle="1" w:styleId="QuoteChar">
    <w:name w:val="Quote Char"/>
    <w:basedOn w:val="DefaultParagraphFont"/>
    <w:link w:val="Quote"/>
    <w:uiPriority w:val="29"/>
    <w:semiHidden/>
    <w:rsid w:val="00A6495F"/>
    <w:rPr>
      <w:rFonts w:ascii="Arial" w:eastAsia="Arial" w:hAnsi="Arial" w:cs="Arial"/>
      <w:i/>
      <w:iCs/>
      <w:color w:val="215F87" w:themeColor="text1" w:themeTint="BF"/>
      <w:lang w:val="en-GB"/>
    </w:rPr>
  </w:style>
  <w:style w:type="paragraph" w:styleId="Salutation">
    <w:name w:val="Salutation"/>
    <w:basedOn w:val="Normal"/>
    <w:next w:val="Normal"/>
    <w:link w:val="SalutationChar"/>
    <w:uiPriority w:val="99"/>
    <w:semiHidden/>
    <w:unhideWhenUsed/>
    <w:rsid w:val="0090719C"/>
  </w:style>
  <w:style w:type="character" w:customStyle="1" w:styleId="SalutationChar">
    <w:name w:val="Salutation Char"/>
    <w:basedOn w:val="DefaultParagraphFont"/>
    <w:link w:val="Salutation"/>
    <w:uiPriority w:val="99"/>
    <w:semiHidden/>
    <w:rsid w:val="0090719C"/>
    <w:rPr>
      <w:rFonts w:ascii="Arial" w:eastAsia="Arial" w:hAnsi="Arial" w:cs="Arial"/>
      <w:lang w:val="en-GB"/>
    </w:rPr>
  </w:style>
  <w:style w:type="paragraph" w:styleId="Signature">
    <w:name w:val="Signature"/>
    <w:basedOn w:val="Normal"/>
    <w:link w:val="SignatureChar"/>
    <w:uiPriority w:val="99"/>
    <w:semiHidden/>
    <w:unhideWhenUsed/>
    <w:rsid w:val="0090719C"/>
    <w:pPr>
      <w:ind w:left="4252"/>
    </w:pPr>
  </w:style>
  <w:style w:type="character" w:customStyle="1" w:styleId="SignatureChar">
    <w:name w:val="Signature Char"/>
    <w:basedOn w:val="DefaultParagraphFont"/>
    <w:link w:val="Signature"/>
    <w:uiPriority w:val="99"/>
    <w:semiHidden/>
    <w:rsid w:val="0090719C"/>
    <w:rPr>
      <w:rFonts w:ascii="Arial" w:eastAsia="Arial" w:hAnsi="Arial" w:cs="Arial"/>
      <w:lang w:val="en-GB"/>
    </w:rPr>
  </w:style>
  <w:style w:type="character" w:styleId="SmartHyperlink">
    <w:name w:val="Smart Hyperlink"/>
    <w:basedOn w:val="DefaultParagraphFont"/>
    <w:uiPriority w:val="99"/>
    <w:semiHidden/>
    <w:unhideWhenUsed/>
    <w:rsid w:val="0090719C"/>
    <w:rPr>
      <w:u w:val="dotted"/>
      <w:lang w:val="en-GB"/>
    </w:rPr>
  </w:style>
  <w:style w:type="character" w:styleId="SmartLink">
    <w:name w:val="Smart Link"/>
    <w:basedOn w:val="DefaultParagraphFont"/>
    <w:uiPriority w:val="99"/>
    <w:semiHidden/>
    <w:unhideWhenUsed/>
    <w:rsid w:val="0090719C"/>
    <w:rPr>
      <w:color w:val="0000FF"/>
      <w:u w:val="single"/>
      <w:shd w:val="clear" w:color="auto" w:fill="F3F2F1"/>
      <w:lang w:val="en-GB"/>
    </w:rPr>
  </w:style>
  <w:style w:type="character" w:styleId="Strong">
    <w:name w:val="Strong"/>
    <w:basedOn w:val="DefaultParagraphFont"/>
    <w:uiPriority w:val="22"/>
    <w:semiHidden/>
    <w:qFormat/>
    <w:rsid w:val="0090719C"/>
    <w:rPr>
      <w:b/>
      <w:bCs/>
      <w:lang w:val="en-GB"/>
    </w:rPr>
  </w:style>
  <w:style w:type="character" w:styleId="SubtleEmphasis">
    <w:name w:val="Subtle Emphasis"/>
    <w:basedOn w:val="DefaultParagraphFont"/>
    <w:uiPriority w:val="19"/>
    <w:semiHidden/>
    <w:qFormat/>
    <w:rsid w:val="0090719C"/>
    <w:rPr>
      <w:i/>
      <w:iCs/>
      <w:color w:val="215F87" w:themeColor="text1" w:themeTint="BF"/>
      <w:lang w:val="en-GB"/>
    </w:rPr>
  </w:style>
  <w:style w:type="character" w:styleId="SubtleReference">
    <w:name w:val="Subtle Reference"/>
    <w:basedOn w:val="DefaultParagraphFont"/>
    <w:uiPriority w:val="31"/>
    <w:semiHidden/>
    <w:qFormat/>
    <w:rsid w:val="0090719C"/>
    <w:rPr>
      <w:smallCaps/>
      <w:color w:val="2B79AC" w:themeColor="text1" w:themeTint="A5"/>
      <w:lang w:val="en-GB"/>
    </w:rPr>
  </w:style>
  <w:style w:type="table" w:styleId="Table3Deffects1">
    <w:name w:val="Table 3D effects 1"/>
    <w:basedOn w:val="TableNormal"/>
    <w:uiPriority w:val="99"/>
    <w:semiHidden/>
    <w:unhideWhenUsed/>
    <w:rsid w:val="0090719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0719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0719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0719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0719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0719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0719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rsid w:val="0090719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rsid w:val="0090719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rsid w:val="0090719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0719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0719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0719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0719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0719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0719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0719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9071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90719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0719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0719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0719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0719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0719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0719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0719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0719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0719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0719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0719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0719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0719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0719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0719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0719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0719C"/>
    <w:pPr>
      <w:ind w:left="220" w:hanging="220"/>
    </w:pPr>
  </w:style>
  <w:style w:type="table" w:styleId="TableProfessional">
    <w:name w:val="Table Professional"/>
    <w:basedOn w:val="TableNormal"/>
    <w:uiPriority w:val="99"/>
    <w:semiHidden/>
    <w:unhideWhenUsed/>
    <w:rsid w:val="0090719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0719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0719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0719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0719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0719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071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0719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0719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0719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0719C"/>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rsid w:val="0090719C"/>
    <w:pPr>
      <w:spacing w:after="100"/>
      <w:ind w:left="440"/>
    </w:pPr>
  </w:style>
  <w:style w:type="paragraph" w:styleId="TOC4">
    <w:name w:val="toc 4"/>
    <w:basedOn w:val="Normal"/>
    <w:next w:val="Normal"/>
    <w:autoRedefine/>
    <w:uiPriority w:val="39"/>
    <w:semiHidden/>
    <w:rsid w:val="0090719C"/>
    <w:pPr>
      <w:spacing w:after="100"/>
      <w:ind w:left="660"/>
    </w:pPr>
  </w:style>
  <w:style w:type="paragraph" w:styleId="TOC5">
    <w:name w:val="toc 5"/>
    <w:basedOn w:val="Normal"/>
    <w:next w:val="Normal"/>
    <w:autoRedefine/>
    <w:uiPriority w:val="39"/>
    <w:semiHidden/>
    <w:rsid w:val="0090719C"/>
    <w:pPr>
      <w:spacing w:after="100"/>
      <w:ind w:left="880"/>
    </w:pPr>
  </w:style>
  <w:style w:type="paragraph" w:styleId="TOC6">
    <w:name w:val="toc 6"/>
    <w:basedOn w:val="Normal"/>
    <w:next w:val="Normal"/>
    <w:autoRedefine/>
    <w:uiPriority w:val="39"/>
    <w:semiHidden/>
    <w:rsid w:val="0090719C"/>
    <w:pPr>
      <w:spacing w:after="100"/>
      <w:ind w:left="1100"/>
    </w:pPr>
  </w:style>
  <w:style w:type="paragraph" w:styleId="TOC7">
    <w:name w:val="toc 7"/>
    <w:basedOn w:val="Normal"/>
    <w:next w:val="Normal"/>
    <w:autoRedefine/>
    <w:uiPriority w:val="39"/>
    <w:semiHidden/>
    <w:rsid w:val="0090719C"/>
    <w:pPr>
      <w:spacing w:after="100"/>
      <w:ind w:left="1320"/>
    </w:pPr>
  </w:style>
  <w:style w:type="paragraph" w:styleId="TOC8">
    <w:name w:val="toc 8"/>
    <w:basedOn w:val="Normal"/>
    <w:next w:val="Normal"/>
    <w:autoRedefine/>
    <w:uiPriority w:val="39"/>
    <w:semiHidden/>
    <w:rsid w:val="0090719C"/>
    <w:pPr>
      <w:spacing w:after="100"/>
      <w:ind w:left="1540"/>
    </w:pPr>
  </w:style>
  <w:style w:type="paragraph" w:styleId="TOC9">
    <w:name w:val="toc 9"/>
    <w:basedOn w:val="Normal"/>
    <w:next w:val="Normal"/>
    <w:autoRedefine/>
    <w:uiPriority w:val="39"/>
    <w:semiHidden/>
    <w:rsid w:val="0090719C"/>
    <w:pPr>
      <w:spacing w:after="100"/>
      <w:ind w:left="1760"/>
    </w:pPr>
  </w:style>
  <w:style w:type="paragraph" w:styleId="TOCHeading">
    <w:name w:val="TOC Heading"/>
    <w:basedOn w:val="Heading1"/>
    <w:next w:val="Normal"/>
    <w:uiPriority w:val="39"/>
    <w:semiHidden/>
    <w:unhideWhenUsed/>
    <w:qFormat/>
    <w:rsid w:val="0090719C"/>
    <w:pPr>
      <w:keepNext/>
      <w:keepLines/>
      <w:spacing w:before="240"/>
      <w:ind w:left="0" w:firstLine="0"/>
      <w:outlineLvl w:val="9"/>
    </w:pPr>
    <w:rPr>
      <w:rFonts w:asciiTheme="majorHAnsi" w:eastAsiaTheme="majorEastAsia" w:hAnsiTheme="majorHAnsi" w:cstheme="majorBidi"/>
      <w:color w:val="0076AA" w:themeColor="accent1" w:themeShade="BF"/>
      <w:sz w:val="32"/>
      <w:szCs w:val="32"/>
    </w:rPr>
  </w:style>
  <w:style w:type="character" w:styleId="UnresolvedMention">
    <w:name w:val="Unresolved Mention"/>
    <w:basedOn w:val="DefaultParagraphFont"/>
    <w:uiPriority w:val="99"/>
    <w:semiHidden/>
    <w:unhideWhenUsed/>
    <w:rsid w:val="0090719C"/>
    <w:rPr>
      <w:color w:val="605E5C"/>
      <w:shd w:val="clear" w:color="auto" w:fill="E1DFDD"/>
      <w:lang w:val="en-GB"/>
    </w:rPr>
  </w:style>
  <w:style w:type="paragraph" w:customStyle="1" w:styleId="SubheadingNon-Numbered">
    <w:name w:val="Subheading (Non-Numbered)"/>
    <w:next w:val="BodyText"/>
    <w:uiPriority w:val="9"/>
    <w:qFormat/>
    <w:rsid w:val="001378F7"/>
    <w:pPr>
      <w:spacing w:before="360" w:after="200"/>
    </w:pPr>
    <w:rPr>
      <w:rFonts w:ascii="Kaleko105Round-Book" w:eastAsia="Kaleko105Round-Book" w:hAnsi="Kaleko105Round-Book" w:cs="Kaleko105Round-Book"/>
      <w:color w:val="009FE3" w:themeColor="accent1"/>
      <w:szCs w:val="32"/>
      <w:lang w:val="en-GB"/>
    </w:rPr>
  </w:style>
  <w:style w:type="numbering" w:customStyle="1" w:styleId="CEAppendixNumberedHeadings">
    <w:name w:val="CE Appendix Numbered Headings"/>
    <w:uiPriority w:val="99"/>
    <w:rsid w:val="00D445A8"/>
    <w:pPr>
      <w:numPr>
        <w:numId w:val="18"/>
      </w:numPr>
    </w:pPr>
  </w:style>
  <w:style w:type="paragraph" w:customStyle="1" w:styleId="Tableheadingwhite">
    <w:name w:val="Table heading white"/>
    <w:basedOn w:val="TableParagraph"/>
    <w:uiPriority w:val="11"/>
    <w:qFormat/>
    <w:rsid w:val="00BB419B"/>
    <w:pPr>
      <w:spacing w:before="139"/>
      <w:ind w:left="50"/>
    </w:pPr>
    <w:rPr>
      <w:rFonts w:ascii="Kaleko105Round-Book"/>
      <w:color w:val="FFFFFF"/>
      <w:spacing w:val="-4"/>
      <w:sz w:val="16"/>
    </w:rPr>
  </w:style>
  <w:style w:type="paragraph" w:customStyle="1" w:styleId="Tableheadingblue">
    <w:name w:val="Table heading blue"/>
    <w:basedOn w:val="Tableheadingwhite"/>
    <w:uiPriority w:val="11"/>
    <w:qFormat/>
    <w:rsid w:val="001378F7"/>
    <w:pPr>
      <w:spacing w:before="5"/>
    </w:pPr>
    <w:rPr>
      <w:color w:val="009FE3" w:themeColor="accent1"/>
    </w:rPr>
  </w:style>
  <w:style w:type="paragraph" w:customStyle="1" w:styleId="Tablebodytext">
    <w:name w:val="Table body text"/>
    <w:basedOn w:val="TableParagraph"/>
    <w:uiPriority w:val="11"/>
    <w:qFormat/>
    <w:rsid w:val="003266B3"/>
    <w:pPr>
      <w:ind w:left="913" w:right="850"/>
      <w:jc w:val="center"/>
    </w:pPr>
    <w:rPr>
      <w:spacing w:val="-5"/>
      <w:sz w:val="16"/>
    </w:rPr>
  </w:style>
  <w:style w:type="paragraph" w:customStyle="1" w:styleId="Source">
    <w:name w:val="Source"/>
    <w:basedOn w:val="Normal"/>
    <w:uiPriority w:val="21"/>
    <w:qFormat/>
    <w:rsid w:val="00C65A9A"/>
    <w:pPr>
      <w:spacing w:before="180" w:line="220" w:lineRule="atLeast"/>
    </w:pPr>
    <w:rPr>
      <w:color w:val="0B1F2C"/>
      <w:sz w:val="14"/>
    </w:rPr>
  </w:style>
  <w:style w:type="paragraph" w:customStyle="1" w:styleId="Heading2Non-Numbered">
    <w:name w:val="Heading 2 (Non-Numbered)"/>
    <w:next w:val="BodyText"/>
    <w:uiPriority w:val="9"/>
    <w:semiHidden/>
    <w:qFormat/>
    <w:rsid w:val="007A4E63"/>
    <w:pPr>
      <w:spacing w:before="400"/>
    </w:pPr>
    <w:rPr>
      <w:rFonts w:ascii="Kaleko 105 Round" w:eastAsia="Kaleko105Round-Book" w:hAnsi="Kaleko 105 Round" w:cs="Kaleko105Round-Book"/>
      <w:color w:val="009FE3" w:themeColor="accent1"/>
      <w:sz w:val="32"/>
      <w:szCs w:val="50"/>
      <w:lang w:val="en-GB"/>
    </w:rPr>
  </w:style>
  <w:style w:type="paragraph" w:customStyle="1" w:styleId="SubheadingHeading3">
    <w:name w:val="Subheading  (Heading 3)"/>
    <w:basedOn w:val="Normal"/>
    <w:next w:val="BodyText"/>
    <w:uiPriority w:val="9"/>
    <w:rsid w:val="0025113B"/>
    <w:pPr>
      <w:ind w:left="720" w:hanging="720"/>
    </w:pPr>
    <w:rPr>
      <w:rFonts w:asciiTheme="majorHAnsi" w:hAnsiTheme="majorHAnsi"/>
      <w:color w:val="009FE3" w:themeColor="accent1"/>
    </w:rPr>
  </w:style>
  <w:style w:type="paragraph" w:customStyle="1" w:styleId="BodyTextBeforeLists">
    <w:name w:val="Body Text Before Lists"/>
    <w:basedOn w:val="BodyText"/>
    <w:uiPriority w:val="1"/>
    <w:qFormat/>
    <w:rsid w:val="00C65A9A"/>
    <w:pPr>
      <w:spacing w:after="120"/>
    </w:pPr>
    <w:rPr>
      <w:spacing w:val="-2"/>
    </w:rPr>
  </w:style>
  <w:style w:type="paragraph" w:customStyle="1" w:styleId="ListBulletLast">
    <w:name w:val="List Bullet (Last)"/>
    <w:basedOn w:val="ListBullet"/>
    <w:uiPriority w:val="19"/>
    <w:qFormat/>
    <w:rsid w:val="00C65A9A"/>
    <w:pPr>
      <w:spacing w:after="360"/>
    </w:pPr>
  </w:style>
  <w:style w:type="paragraph" w:customStyle="1" w:styleId="Equation">
    <w:name w:val="Equation"/>
    <w:basedOn w:val="Normal"/>
    <w:uiPriority w:val="29"/>
    <w:semiHidden/>
    <w:rsid w:val="008234D0"/>
    <w:pPr>
      <w:widowControl/>
      <w:tabs>
        <w:tab w:val="right" w:pos="7513"/>
      </w:tabs>
      <w:autoSpaceDE/>
      <w:autoSpaceDN/>
      <w:spacing w:after="120" w:line="240" w:lineRule="auto"/>
    </w:pPr>
    <w:rPr>
      <w:rFonts w:ascii="Arial" w:eastAsia="Times New Roman" w:hAnsi="Arial" w:cs="Arial"/>
      <w:i/>
      <w:szCs w:val="24"/>
      <w:lang w:val="nl-NL"/>
    </w:rPr>
  </w:style>
  <w:style w:type="paragraph" w:customStyle="1" w:styleId="AppendicesMainHeading">
    <w:name w:val="Appendices Main Heading"/>
    <w:basedOn w:val="Heading1"/>
    <w:uiPriority w:val="39"/>
    <w:qFormat/>
    <w:rsid w:val="001378F7"/>
    <w:pPr>
      <w:ind w:left="0" w:firstLine="0"/>
    </w:pPr>
  </w:style>
  <w:style w:type="table" w:customStyle="1" w:styleId="CETableNumbers">
    <w:name w:val="CE Table Numbers"/>
    <w:basedOn w:val="TableNormal"/>
    <w:uiPriority w:val="99"/>
    <w:rsid w:val="00BE2A31"/>
    <w:pPr>
      <w:widowControl/>
      <w:autoSpaceDE/>
      <w:autoSpaceDN/>
      <w:spacing w:before="60" w:after="60" w:line="160" w:lineRule="atLeast"/>
      <w:jc w:val="center"/>
    </w:pPr>
    <w:rPr>
      <w:sz w:val="16"/>
      <w:szCs w:val="20"/>
    </w:rPr>
    <w:tblPr>
      <w:tblStyleRowBandSize w:val="1"/>
      <w:tblStyleColBandSize w:val="1"/>
      <w:tblBorders>
        <w:bottom w:val="single" w:sz="2" w:space="0" w:color="C5446E" w:themeColor="accent4"/>
        <w:right w:val="single" w:sz="2" w:space="0" w:color="C5446E" w:themeColor="accent4"/>
      </w:tblBorders>
    </w:tblPr>
    <w:tcPr>
      <w:vAlign w:val="center"/>
    </w:tcPr>
    <w:tblStylePr w:type="firstRow">
      <w:rPr>
        <w:rFonts w:asciiTheme="majorHAnsi" w:hAnsiTheme="majorHAnsi"/>
        <w:sz w:val="16"/>
      </w:rPr>
      <w:tblPr/>
      <w:tcPr>
        <w:tcBorders>
          <w:top w:val="nil"/>
          <w:left w:val="nil"/>
          <w:bottom w:val="nil"/>
          <w:right w:val="nil"/>
          <w:insideH w:val="nil"/>
          <w:insideV w:val="single" w:sz="4" w:space="0" w:color="FFFFFF" w:themeColor="background1"/>
          <w:tl2br w:val="nil"/>
          <w:tr2bl w:val="nil"/>
        </w:tcBorders>
        <w:shd w:val="clear" w:color="auto" w:fill="0B1F2C" w:themeFill="text1"/>
      </w:tcPr>
    </w:tblStylePr>
    <w:tblStylePr w:type="lastRow">
      <w:tblPr/>
      <w:tcPr>
        <w:tcBorders>
          <w:top w:val="nil"/>
          <w:left w:val="nil"/>
          <w:bottom w:val="single" w:sz="2" w:space="0" w:color="C5446E" w:themeColor="accent4"/>
          <w:right w:val="single" w:sz="2" w:space="0" w:color="C5446E" w:themeColor="accent4"/>
          <w:insideH w:val="nil"/>
          <w:insideV w:val="single" w:sz="2" w:space="0" w:color="C5446E" w:themeColor="accent4"/>
          <w:tl2br w:val="nil"/>
          <w:tr2bl w:val="nil"/>
        </w:tcBorders>
      </w:tcPr>
    </w:tblStylePr>
    <w:tblStylePr w:type="firstCol">
      <w:tblPr/>
      <w:tcPr>
        <w:shd w:val="clear" w:color="auto" w:fill="0B1F2C" w:themeFill="text1"/>
      </w:tcPr>
    </w:tblStylePr>
    <w:tblStylePr w:type="lastCol">
      <w:tblPr/>
      <w:tcPr>
        <w:tcBorders>
          <w:top w:val="nil"/>
          <w:left w:val="nil"/>
          <w:bottom w:val="single" w:sz="2" w:space="0" w:color="C5446E" w:themeColor="accent4"/>
          <w:right w:val="single" w:sz="2" w:space="0" w:color="C5446E" w:themeColor="accent4"/>
          <w:insideH w:val="nil"/>
          <w:insideV w:val="nil"/>
          <w:tl2br w:val="nil"/>
          <w:tr2bl w:val="nil"/>
        </w:tcBorders>
      </w:tcPr>
    </w:tblStylePr>
    <w:tblStylePr w:type="band1Vert">
      <w:tblPr/>
      <w:tcPr>
        <w:tcBorders>
          <w:top w:val="nil"/>
          <w:left w:val="nil"/>
          <w:bottom w:val="single" w:sz="2" w:space="0" w:color="C5446E" w:themeColor="accent4"/>
          <w:right w:val="single" w:sz="2" w:space="0" w:color="C5446E" w:themeColor="accent4"/>
          <w:insideH w:val="nil"/>
          <w:insideV w:val="nil"/>
          <w:tl2br w:val="nil"/>
          <w:tr2bl w:val="nil"/>
        </w:tcBorders>
      </w:tcPr>
    </w:tblStylePr>
    <w:tblStylePr w:type="band2Vert">
      <w:tblPr/>
      <w:tcPr>
        <w:tcBorders>
          <w:top w:val="nil"/>
          <w:left w:val="nil"/>
          <w:bottom w:val="single" w:sz="2" w:space="0" w:color="C5446E" w:themeColor="accent4"/>
          <w:right w:val="single" w:sz="2" w:space="0" w:color="C5446E" w:themeColor="accent4"/>
          <w:insideH w:val="nil"/>
          <w:insideV w:val="nil"/>
          <w:tl2br w:val="nil"/>
          <w:tr2bl w:val="nil"/>
        </w:tcBorders>
      </w:tcPr>
    </w:tblStylePr>
    <w:tblStylePr w:type="band2Horz">
      <w:tblPr/>
      <w:tcPr>
        <w:shd w:val="clear" w:color="auto" w:fill="FBE9EF"/>
      </w:tcPr>
    </w:tblStylePr>
    <w:tblStylePr w:type="nwCell">
      <w:tblPr/>
      <w:tcPr>
        <w:shd w:val="clear" w:color="auto" w:fill="FFFFFF" w:themeFill="background1"/>
      </w:tcPr>
    </w:tblStylePr>
    <w:tblStylePr w:type="seCell">
      <w:tblPr/>
      <w:tcPr>
        <w:tcBorders>
          <w:top w:val="nil"/>
          <w:left w:val="nil"/>
          <w:bottom w:val="single" w:sz="2" w:space="0" w:color="C5446E" w:themeColor="accent4"/>
          <w:right w:val="single" w:sz="2" w:space="0" w:color="C5446E" w:themeColor="accent4"/>
          <w:insideH w:val="nil"/>
          <w:insideV w:val="nil"/>
          <w:tl2br w:val="nil"/>
          <w:tr2bl w:val="nil"/>
        </w:tcBorders>
      </w:tcPr>
    </w:tblStylePr>
  </w:style>
  <w:style w:type="paragraph" w:customStyle="1" w:styleId="LargeStatFigures">
    <w:name w:val="Large Stat Figures"/>
    <w:basedOn w:val="Normal"/>
    <w:qFormat/>
    <w:rsid w:val="001D3389"/>
    <w:pPr>
      <w:spacing w:after="0"/>
    </w:pPr>
    <w:rPr>
      <w:rFonts w:ascii="Kaleko 105 Round"/>
      <w:b/>
      <w:color w:val="0B1F2C"/>
      <w:spacing w:val="-5"/>
      <w:sz w:val="100"/>
    </w:rPr>
  </w:style>
  <w:style w:type="table" w:customStyle="1" w:styleId="CETableText">
    <w:name w:val="CE Table Text"/>
    <w:basedOn w:val="TableNormal"/>
    <w:uiPriority w:val="99"/>
    <w:rsid w:val="00284D1A"/>
    <w:pPr>
      <w:widowControl/>
      <w:autoSpaceDE/>
      <w:autoSpaceDN/>
      <w:spacing w:before="120" w:after="120" w:line="240" w:lineRule="auto"/>
    </w:pPr>
    <w:rPr>
      <w:sz w:val="16"/>
    </w:rPr>
    <w:tblPr>
      <w:tblStyleRowBandSize w:val="1"/>
      <w:tblBorders>
        <w:left w:val="single" w:sz="2" w:space="0" w:color="C5446E" w:themeColor="accent4"/>
        <w:bottom w:val="single" w:sz="2" w:space="0" w:color="C5446E" w:themeColor="accent4"/>
        <w:right w:val="single" w:sz="2" w:space="0" w:color="C5446E" w:themeColor="accent4"/>
        <w:insideV w:val="single" w:sz="2" w:space="0" w:color="C5446E" w:themeColor="accent4"/>
      </w:tblBorders>
    </w:tblPr>
    <w:tcPr>
      <w:vAlign w:val="center"/>
    </w:tcPr>
    <w:tblStylePr w:type="firstRow">
      <w:rPr>
        <w:rFonts w:asciiTheme="majorHAnsi" w:hAnsiTheme="majorHAnsi"/>
        <w:color w:val="FFFFFF" w:themeColor="background1"/>
      </w:rPr>
      <w:tblPr/>
      <w:tcPr>
        <w:tcBorders>
          <w:top w:val="nil"/>
          <w:left w:val="nil"/>
          <w:bottom w:val="nil"/>
          <w:right w:val="nil"/>
          <w:insideH w:val="nil"/>
          <w:insideV w:val="nil"/>
          <w:tl2br w:val="nil"/>
          <w:tr2bl w:val="nil"/>
        </w:tcBorders>
        <w:shd w:val="clear" w:color="auto" w:fill="0B1F2C" w:themeFill="text1"/>
      </w:tcPr>
    </w:tblStylePr>
    <w:tblStylePr w:type="band2Horz">
      <w:tblPr/>
      <w:tcPr>
        <w:shd w:val="clear" w:color="auto" w:fill="FBE9EF"/>
      </w:tcPr>
    </w:tblStylePr>
  </w:style>
  <w:style w:type="paragraph" w:customStyle="1" w:styleId="FooterWhite">
    <w:name w:val="Footer (White)"/>
    <w:basedOn w:val="Footer"/>
    <w:uiPriority w:val="99"/>
    <w:qFormat/>
    <w:rsid w:val="00033369"/>
    <w:pPr>
      <w:framePr w:wrap="around" w:vAnchor="page" w:hAnchor="text" w:y="15888"/>
      <w:suppressOverlap/>
    </w:pPr>
    <w:rPr>
      <w:noProof/>
      <w:color w:val="FFFFFF" w:themeColor="background1"/>
    </w:rPr>
  </w:style>
  <w:style w:type="paragraph" w:customStyle="1" w:styleId="HeaderWhite">
    <w:name w:val="Header (White)"/>
    <w:basedOn w:val="Header"/>
    <w:uiPriority w:val="99"/>
    <w:qFormat/>
    <w:rsid w:val="00033369"/>
    <w:rPr>
      <w:color w:val="FFFFFF" w:themeColor="background1"/>
    </w:rPr>
  </w:style>
  <w:style w:type="paragraph" w:customStyle="1" w:styleId="StandardHeading16ptBlack">
    <w:name w:val="Standard Heading 16pt (Black)"/>
    <w:basedOn w:val="StandardHeadingBlack"/>
    <w:uiPriority w:val="39"/>
    <w:qFormat/>
    <w:rsid w:val="008B6F71"/>
    <w:pPr>
      <w:spacing w:before="0" w:after="120"/>
    </w:pPr>
    <w:rPr>
      <w:sz w:val="32"/>
      <w:szCs w:val="32"/>
    </w:rPr>
  </w:style>
  <w:style w:type="numbering" w:customStyle="1" w:styleId="CEListNumber">
    <w:name w:val="CE List Number"/>
    <w:uiPriority w:val="99"/>
    <w:rsid w:val="00E2705A"/>
    <w:pPr>
      <w:numPr>
        <w:numId w:val="28"/>
      </w:numPr>
    </w:pPr>
  </w:style>
  <w:style w:type="paragraph" w:styleId="Revision">
    <w:name w:val="Revision"/>
    <w:hidden/>
    <w:uiPriority w:val="99"/>
    <w:semiHidden/>
    <w:rsid w:val="007D7AD3"/>
    <w:pPr>
      <w:widowControl/>
      <w:autoSpaceDE/>
      <w:autoSpaceDN/>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7082316">
      <w:bodyDiv w:val="1"/>
      <w:marLeft w:val="0"/>
      <w:marRight w:val="0"/>
      <w:marTop w:val="0"/>
      <w:marBottom w:val="0"/>
      <w:divBdr>
        <w:top w:val="none" w:sz="0" w:space="0" w:color="auto"/>
        <w:left w:val="none" w:sz="0" w:space="0" w:color="auto"/>
        <w:bottom w:val="none" w:sz="0" w:space="0" w:color="auto"/>
        <w:right w:val="none" w:sz="0" w:space="0" w:color="auto"/>
      </w:divBdr>
    </w:div>
    <w:div w:id="1205674330">
      <w:bodyDiv w:val="1"/>
      <w:marLeft w:val="0"/>
      <w:marRight w:val="0"/>
      <w:marTop w:val="0"/>
      <w:marBottom w:val="0"/>
      <w:divBdr>
        <w:top w:val="none" w:sz="0" w:space="0" w:color="auto"/>
        <w:left w:val="none" w:sz="0" w:space="0" w:color="auto"/>
        <w:bottom w:val="none" w:sz="0" w:space="0" w:color="auto"/>
        <w:right w:val="none" w:sz="0" w:space="0" w:color="auto"/>
      </w:divBdr>
    </w:div>
    <w:div w:id="2068258067">
      <w:bodyDiv w:val="1"/>
      <w:marLeft w:val="0"/>
      <w:marRight w:val="0"/>
      <w:marTop w:val="0"/>
      <w:marBottom w:val="0"/>
      <w:divBdr>
        <w:top w:val="none" w:sz="0" w:space="0" w:color="auto"/>
        <w:left w:val="none" w:sz="0" w:space="0" w:color="auto"/>
        <w:bottom w:val="none" w:sz="0" w:space="0" w:color="auto"/>
        <w:right w:val="none" w:sz="0" w:space="0" w:color="auto"/>
      </w:divBdr>
    </w:div>
    <w:div w:id="21311260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alb@camecon.com" TargetMode="External"/><Relationship Id="rId21" Type="http://schemas.openxmlformats.org/officeDocument/2006/relationships/hyperlink" Target="mailto:od@camecon.com"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hyperlink" Target="https://www.gov.uk/government/publications/industrial-decarbonisation-strategy/industrial-decarbonisation-strategy-accessible-webpage" TargetMode="External"/><Relationship Id="rId50" Type="http://schemas.openxmlformats.org/officeDocument/2006/relationships/hyperlink" Target="https://www.theccc.org.uk/publication/sixth-carbon-budget/" TargetMode="External"/><Relationship Id="rId55" Type="http://schemas.openxmlformats.org/officeDocument/2006/relationships/hyperlink" Target="https://www.e3g.org/wp-content/uploads/Net-zero-investment-gap-22.10.26-Final-STC.pdf" TargetMode="External"/><Relationship Id="rId63" Type="http://schemas.openxmlformats.org/officeDocument/2006/relationships/hyperlink" Target="https://www.ukib.org.uk/sites/default/files/2022-11/Natural-capital-discussion-paper.pdf"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d@camecon.com" TargetMode="External"/><Relationship Id="rId29" Type="http://schemas.openxmlformats.org/officeDocument/2006/relationships/header" Target="header1.xml"/><Relationship Id="rId11" Type="http://schemas.openxmlformats.org/officeDocument/2006/relationships/image" Target="media/image4.png"/><Relationship Id="rId32" Type="http://schemas.openxmlformats.org/officeDocument/2006/relationships/footer" Target="footer2.xml"/><Relationship Id="rId37" Type="http://schemas.openxmlformats.org/officeDocument/2006/relationships/image" Target="media/image15.png"/><Relationship Id="rId40" Type="http://schemas.openxmlformats.org/officeDocument/2006/relationships/image" Target="media/image12.png"/><Relationship Id="rId45" Type="http://schemas.openxmlformats.org/officeDocument/2006/relationships/image" Target="media/image19.png"/><Relationship Id="rId53" Type="http://schemas.openxmlformats.org/officeDocument/2006/relationships/hyperlink" Target="https://www.nea.org.uk/wp-content/uploads/2020/12/EEIG_NET-ZERO_LITMUS_TEST_2019.pdf" TargetMode="External"/><Relationship Id="rId58" Type="http://schemas.openxmlformats.org/officeDocument/2006/relationships/hyperlink" Target="https://assets.publishing.service.gov.uk/media/613e4d03d3bf7f05b166a595/Analysis_of_the_National_Infrastructure_and_Construction_Pipeline_2021.pdf" TargetMode="External"/><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www.unep.org/resources/state-finance-nature-2023" TargetMode="External"/><Relationship Id="rId19" Type="http://schemas.openxmlformats.org/officeDocument/2006/relationships/hyperlink" Target="mailto:od@camecon.com" TargetMode="External"/><Relationship Id="rId14" Type="http://schemas.openxmlformats.org/officeDocument/2006/relationships/image" Target="media/image7.png"/><Relationship Id="rId22" Type="http://schemas.openxmlformats.org/officeDocument/2006/relationships/hyperlink" Target="mailto:yr@camecon.com" TargetMode="External"/><Relationship Id="rId27" Type="http://schemas.openxmlformats.org/officeDocument/2006/relationships/hyperlink" Target="mailto:alb@camecon.com" TargetMode="External"/><Relationship Id="rId30" Type="http://schemas.openxmlformats.org/officeDocument/2006/relationships/footer" Target="footer1.xml"/><Relationship Id="rId35" Type="http://schemas.openxmlformats.org/officeDocument/2006/relationships/image" Target="media/image10.png"/><Relationship Id="rId43" Type="http://schemas.openxmlformats.org/officeDocument/2006/relationships/chart" Target="charts/chart1.xml"/><Relationship Id="rId48" Type="http://schemas.openxmlformats.org/officeDocument/2006/relationships/hyperlink" Target="https://transportforthenorth.com/wp-content/uploads/Economic-Scenarios-for-the-NPIER-Final-Report-for-Publishing.pdf" TargetMode="External"/><Relationship Id="rId56" Type="http://schemas.openxmlformats.org/officeDocument/2006/relationships/hyperlink" Target="https://researchbriefings.files.parliament.uk/documents/CDP-2023-0096/CDP-2023-0096.pdf" TargetMode="External"/><Relationship Id="rId64" Type="http://schemas.openxmlformats.org/officeDocument/2006/relationships/hyperlink" Target="https://ppi.worldbank.org/content/dam/PPI/documents/SPIReport_2017_small_interactive.pdf" TargetMode="External"/><Relationship Id="rId8" Type="http://schemas.openxmlformats.org/officeDocument/2006/relationships/image" Target="media/image1.png"/><Relationship Id="rId51" Type="http://schemas.openxmlformats.org/officeDocument/2006/relationships/hyperlink" Target="https://www.climatepolicyinitiative.org/wp-content/uploads/2023/11/Global-Landscape-of-Climate-Finance-2023.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alb@camecon.com" TargetMode="External"/><Relationship Id="rId33" Type="http://schemas.openxmlformats.org/officeDocument/2006/relationships/image" Target="media/image8.png"/><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hyperlink" Target="https://www.irena.org/Digital-content/Digital-Story/2023/Mar/Scaling-up-energy-transition-investments-to-meet-the-1-point-5-degrees-celsius-goal/detail" TargetMode="External"/><Relationship Id="rId67" Type="http://schemas.openxmlformats.org/officeDocument/2006/relationships/fontTable" Target="fontTable.xml"/><Relationship Id="rId20" Type="http://schemas.openxmlformats.org/officeDocument/2006/relationships/hyperlink" Target="mailto:yr@camecon.com" TargetMode="External"/><Relationship Id="rId41" Type="http://schemas.openxmlformats.org/officeDocument/2006/relationships/image" Target="media/image13.png"/><Relationship Id="rId54" Type="http://schemas.openxmlformats.org/officeDocument/2006/relationships/hyperlink" Target="https://www.energy-uk.org.uk/wp-content/uploads/2023/07/Clean-Growth-Gap-How-low-carbon-energy-investment-can-transform-the-UK.pdf" TargetMode="External"/><Relationship Id="rId62" Type="http://schemas.openxmlformats.org/officeDocument/2006/relationships/hyperlink" Target="https://www.gfanzero.com/netzerofinanc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lb@camecon.com" TargetMode="External"/><Relationship Id="rId23" Type="http://schemas.openxmlformats.org/officeDocument/2006/relationships/hyperlink" Target="mailto:alb@camecon.com" TargetMode="External"/><Relationship Id="rId28" Type="http://schemas.openxmlformats.org/officeDocument/2006/relationships/hyperlink" Target="mailto:alb@camecon.com" TargetMode="External"/><Relationship Id="rId36" Type="http://schemas.openxmlformats.org/officeDocument/2006/relationships/image" Target="media/image14.png"/><Relationship Id="rId49" Type="http://schemas.openxmlformats.org/officeDocument/2006/relationships/hyperlink" Target="https://www.theccc.org.uk/uk-action-on-climate-change/progress-snapshot/" TargetMode="External"/><Relationship Id="rId57" Type="http://schemas.openxmlformats.org/officeDocument/2006/relationships/hyperlink" Target="https://iea.blob.core.windows.net/assets/a48fd497-d479-4d21-8d76-10619ce0a982/ScalingupPrivateFinanceforCleanEnergyinEmergingandDevelopingEconomies.pdf" TargetMode="External"/><Relationship Id="rId10" Type="http://schemas.openxmlformats.org/officeDocument/2006/relationships/image" Target="media/image3.png"/><Relationship Id="rId31" Type="http://schemas.openxmlformats.org/officeDocument/2006/relationships/header" Target="header2.xml"/><Relationship Id="rId44" Type="http://schemas.openxmlformats.org/officeDocument/2006/relationships/image" Target="media/image18.png"/><Relationship Id="rId52" Type="http://schemas.openxmlformats.org/officeDocument/2006/relationships/hyperlink" Target="https://www.gov.uk/government/publications/net-zero-strategy" TargetMode="External"/><Relationship Id="rId60" Type="http://schemas.openxmlformats.org/officeDocument/2006/relationships/hyperlink" Target="https://www.theccc.org.uk/wp-content/uploads/2020/12/Sector-summary-Agriculture-land-use-land-use-change-forestry.pdf" TargetMode="External"/><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mailto:jd@camecon.com" TargetMode="External"/><Relationship Id="rId39"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J:\Templates\CE%20Word\NEW%20(Portrait)%20Repor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cambridgeeconometrics-my.sharepoint.com/personal/od_camecon_com/Documents/_CE/NPP%20public%20private%20spli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238705000371989E-2"/>
          <c:y val="3.0006198204816231E-3"/>
          <c:w val="0.95414278269932251"/>
          <c:h val="0.75036749077693965"/>
        </c:manualLayout>
      </c:layout>
      <c:barChart>
        <c:barDir val="col"/>
        <c:grouping val="stacked"/>
        <c:varyColors val="0"/>
        <c:ser>
          <c:idx val="0"/>
          <c:order val="0"/>
          <c:tx>
            <c:strRef>
              <c:f>Sheet2!$M$3</c:f>
              <c:strCache>
                <c:ptCount val="1"/>
                <c:pt idx="0">
                  <c:v>Commercial Financial Institutions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Sheet2!$N$2:$P$2</c:f>
              <c:strCache>
                <c:ptCount val="3"/>
                <c:pt idx="0">
                  <c:v>2021-2025</c:v>
                </c:pt>
                <c:pt idx="1">
                  <c:v>2026-2030</c:v>
                </c:pt>
                <c:pt idx="2">
                  <c:v>2031-2040 </c:v>
                </c:pt>
              </c:strCache>
            </c:strRef>
          </c:cat>
          <c:val>
            <c:numRef>
              <c:f>Sheet2!$N$3:$P$3</c:f>
              <c:numCache>
                <c:formatCode>General</c:formatCode>
                <c:ptCount val="3"/>
                <c:pt idx="0">
                  <c:v>21</c:v>
                </c:pt>
                <c:pt idx="1">
                  <c:v>33</c:v>
                </c:pt>
                <c:pt idx="2">
                  <c:v>46</c:v>
                </c:pt>
              </c:numCache>
            </c:numRef>
          </c:val>
          <c:extLst>
            <c:ext xmlns:c16="http://schemas.microsoft.com/office/drawing/2014/chart" uri="{C3380CC4-5D6E-409C-BE32-E72D297353CC}">
              <c16:uniqueId val="{00000000-B166-4F52-A0B7-FF66C24F88FD}"/>
            </c:ext>
          </c:extLst>
        </c:ser>
        <c:ser>
          <c:idx val="1"/>
          <c:order val="1"/>
          <c:tx>
            <c:strRef>
              <c:f>Sheet2!$M$4</c:f>
              <c:strCache>
                <c:ptCount val="1"/>
                <c:pt idx="0">
                  <c:v>Corporations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Sheet2!$N$2:$P$2</c:f>
              <c:strCache>
                <c:ptCount val="3"/>
                <c:pt idx="0">
                  <c:v>2021-2025</c:v>
                </c:pt>
                <c:pt idx="1">
                  <c:v>2026-2030</c:v>
                </c:pt>
                <c:pt idx="2">
                  <c:v>2031-2040 </c:v>
                </c:pt>
              </c:strCache>
            </c:strRef>
          </c:cat>
          <c:val>
            <c:numRef>
              <c:f>Sheet2!$N$4:$P$4</c:f>
              <c:numCache>
                <c:formatCode>General</c:formatCode>
                <c:ptCount val="3"/>
                <c:pt idx="0">
                  <c:v>70</c:v>
                </c:pt>
                <c:pt idx="1">
                  <c:v>109</c:v>
                </c:pt>
                <c:pt idx="2">
                  <c:v>139</c:v>
                </c:pt>
              </c:numCache>
            </c:numRef>
          </c:val>
          <c:extLst>
            <c:ext xmlns:c16="http://schemas.microsoft.com/office/drawing/2014/chart" uri="{C3380CC4-5D6E-409C-BE32-E72D297353CC}">
              <c16:uniqueId val="{00000001-B166-4F52-A0B7-FF66C24F88FD}"/>
            </c:ext>
          </c:extLst>
        </c:ser>
        <c:ser>
          <c:idx val="2"/>
          <c:order val="2"/>
          <c:tx>
            <c:strRef>
              <c:f>Sheet2!$M$5</c:f>
              <c:strCache>
                <c:ptCount val="1"/>
                <c:pt idx="0">
                  <c:v>Private Equity /Venture Capital funds</c:v>
                </c:pt>
              </c:strCache>
            </c:strRef>
          </c:tx>
          <c:spPr>
            <a:solidFill>
              <a:schemeClr val="accent5"/>
            </a:solidFill>
            <a:ln>
              <a:noFill/>
            </a:ln>
            <a:effectLst/>
          </c:spPr>
          <c:invertIfNegative val="0"/>
          <c:dLbls>
            <c:dLbl>
              <c:idx val="0"/>
              <c:layout>
                <c:manualLayout>
                  <c:x val="-7.9103493737640085E-2"/>
                  <c:y val="1.9606987902021384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66-4F52-A0B7-FF66C24F88FD}"/>
                </c:ext>
              </c:extLst>
            </c:dLbl>
            <c:dLbl>
              <c:idx val="1"/>
              <c:layout>
                <c:manualLayout>
                  <c:x val="-0.1054713249835201"/>
                  <c:y val="8.563164298340258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66-4F52-A0B7-FF66C24F88FD}"/>
                </c:ext>
              </c:extLst>
            </c:dLbl>
            <c:dLbl>
              <c:idx val="2"/>
              <c:layout>
                <c:manualLayout>
                  <c:x val="-7.6906174467150076E-2"/>
                  <c:y val="1.22501779114345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66-4F52-A0B7-FF66C24F88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Sheet2!$N$2:$P$2</c:f>
              <c:strCache>
                <c:ptCount val="3"/>
                <c:pt idx="0">
                  <c:v>2021-2025</c:v>
                </c:pt>
                <c:pt idx="1">
                  <c:v>2026-2030</c:v>
                </c:pt>
                <c:pt idx="2">
                  <c:v>2031-2040 </c:v>
                </c:pt>
              </c:strCache>
            </c:strRef>
          </c:cat>
          <c:val>
            <c:numRef>
              <c:f>Sheet2!$N$5:$P$5</c:f>
              <c:numCache>
                <c:formatCode>General</c:formatCode>
                <c:ptCount val="3"/>
                <c:pt idx="0">
                  <c:v>0</c:v>
                </c:pt>
                <c:pt idx="1">
                  <c:v>2</c:v>
                </c:pt>
                <c:pt idx="2">
                  <c:v>4</c:v>
                </c:pt>
              </c:numCache>
            </c:numRef>
          </c:val>
          <c:extLst>
            <c:ext xmlns:c16="http://schemas.microsoft.com/office/drawing/2014/chart" uri="{C3380CC4-5D6E-409C-BE32-E72D297353CC}">
              <c16:uniqueId val="{00000005-B166-4F52-A0B7-FF66C24F88FD}"/>
            </c:ext>
          </c:extLst>
        </c:ser>
        <c:ser>
          <c:idx val="3"/>
          <c:order val="3"/>
          <c:tx>
            <c:strRef>
              <c:f>Sheet2!$M$6</c:f>
              <c:strCache>
                <c:ptCount val="1"/>
                <c:pt idx="0">
                  <c:v>Infrastructure funds</c:v>
                </c:pt>
              </c:strCache>
            </c:strRef>
          </c:tx>
          <c:spPr>
            <a:solidFill>
              <a:schemeClr val="accent1">
                <a:lumMod val="60000"/>
              </a:schemeClr>
            </a:solidFill>
            <a:ln>
              <a:noFill/>
            </a:ln>
            <a:effectLst/>
          </c:spPr>
          <c:invertIfNegative val="0"/>
          <c:dLbls>
            <c:dLbl>
              <c:idx val="0"/>
              <c:layout>
                <c:manualLayout>
                  <c:x val="0.1010766864425401"/>
                  <c:y val="-1.255021693716856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166-4F52-A0B7-FF66C24F88FD}"/>
                </c:ext>
              </c:extLst>
            </c:dLbl>
            <c:dLbl>
              <c:idx val="1"/>
              <c:layout>
                <c:manualLayout>
                  <c:x val="8.7892770819600008E-2"/>
                  <c:y val="1.700925139459602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166-4F52-A0B7-FF66C24F88FD}"/>
                </c:ext>
              </c:extLst>
            </c:dLbl>
            <c:dLbl>
              <c:idx val="2"/>
              <c:layout>
                <c:manualLayout>
                  <c:x val="0.10327400571303011"/>
                  <c:y val="2.903055485411262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166-4F52-A0B7-FF66C24F88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Sheet2!$N$2:$P$2</c:f>
              <c:strCache>
                <c:ptCount val="3"/>
                <c:pt idx="0">
                  <c:v>2021-2025</c:v>
                </c:pt>
                <c:pt idx="1">
                  <c:v>2026-2030</c:v>
                </c:pt>
                <c:pt idx="2">
                  <c:v>2031-2040 </c:v>
                </c:pt>
              </c:strCache>
            </c:strRef>
          </c:cat>
          <c:val>
            <c:numRef>
              <c:f>Sheet2!$N$6:$P$6</c:f>
              <c:numCache>
                <c:formatCode>General</c:formatCode>
                <c:ptCount val="3"/>
                <c:pt idx="0">
                  <c:v>3</c:v>
                </c:pt>
                <c:pt idx="1">
                  <c:v>5</c:v>
                </c:pt>
                <c:pt idx="2">
                  <c:v>10</c:v>
                </c:pt>
              </c:numCache>
            </c:numRef>
          </c:val>
          <c:extLst>
            <c:ext xmlns:c16="http://schemas.microsoft.com/office/drawing/2014/chart" uri="{C3380CC4-5D6E-409C-BE32-E72D297353CC}">
              <c16:uniqueId val="{00000009-B166-4F52-A0B7-FF66C24F88FD}"/>
            </c:ext>
          </c:extLst>
        </c:ser>
        <c:ser>
          <c:idx val="4"/>
          <c:order val="4"/>
          <c:tx>
            <c:strRef>
              <c:f>Sheet2!$M$7</c:f>
              <c:strCache>
                <c:ptCount val="1"/>
                <c:pt idx="0">
                  <c:v>Development Financial Institutions</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Sheet2!$N$2:$P$2</c:f>
              <c:strCache>
                <c:ptCount val="3"/>
                <c:pt idx="0">
                  <c:v>2021-2025</c:v>
                </c:pt>
                <c:pt idx="1">
                  <c:v>2026-2030</c:v>
                </c:pt>
                <c:pt idx="2">
                  <c:v>2031-2040 </c:v>
                </c:pt>
              </c:strCache>
            </c:strRef>
          </c:cat>
          <c:val>
            <c:numRef>
              <c:f>Sheet2!$N$7:$P$7</c:f>
              <c:numCache>
                <c:formatCode>General</c:formatCode>
                <c:ptCount val="3"/>
                <c:pt idx="0">
                  <c:v>19</c:v>
                </c:pt>
                <c:pt idx="1">
                  <c:v>32</c:v>
                </c:pt>
                <c:pt idx="2">
                  <c:v>47</c:v>
                </c:pt>
              </c:numCache>
            </c:numRef>
          </c:val>
          <c:extLst>
            <c:ext xmlns:c16="http://schemas.microsoft.com/office/drawing/2014/chart" uri="{C3380CC4-5D6E-409C-BE32-E72D297353CC}">
              <c16:uniqueId val="{0000000A-B166-4F52-A0B7-FF66C24F88FD}"/>
            </c:ext>
          </c:extLst>
        </c:ser>
        <c:ser>
          <c:idx val="5"/>
          <c:order val="5"/>
          <c:tx>
            <c:strRef>
              <c:f>Sheet2!$M$8</c:f>
              <c:strCache>
                <c:ptCount val="1"/>
                <c:pt idx="0">
                  <c:v>Governments</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Sheet2!$N$2:$P$2</c:f>
              <c:strCache>
                <c:ptCount val="3"/>
                <c:pt idx="0">
                  <c:v>2021-2025</c:v>
                </c:pt>
                <c:pt idx="1">
                  <c:v>2026-2030</c:v>
                </c:pt>
                <c:pt idx="2">
                  <c:v>2031-2040 </c:v>
                </c:pt>
              </c:strCache>
            </c:strRef>
          </c:cat>
          <c:val>
            <c:numRef>
              <c:f>Sheet2!$N$8:$P$8</c:f>
              <c:numCache>
                <c:formatCode>General</c:formatCode>
                <c:ptCount val="3"/>
                <c:pt idx="0">
                  <c:v>16</c:v>
                </c:pt>
                <c:pt idx="1">
                  <c:v>26</c:v>
                </c:pt>
                <c:pt idx="2">
                  <c:v>29</c:v>
                </c:pt>
              </c:numCache>
            </c:numRef>
          </c:val>
          <c:extLst>
            <c:ext xmlns:c16="http://schemas.microsoft.com/office/drawing/2014/chart" uri="{C3380CC4-5D6E-409C-BE32-E72D297353CC}">
              <c16:uniqueId val="{0000000B-B166-4F52-A0B7-FF66C24F88FD}"/>
            </c:ext>
          </c:extLst>
        </c:ser>
        <c:ser>
          <c:idx val="6"/>
          <c:order val="6"/>
          <c:tx>
            <c:strRef>
              <c:f>Sheet2!$M$9</c:f>
              <c:strCache>
                <c:ptCount val="1"/>
                <c:pt idx="0">
                  <c:v>State-owned Financial Institutions</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Sheet2!$N$2:$P$2</c:f>
              <c:strCache>
                <c:ptCount val="3"/>
                <c:pt idx="0">
                  <c:v>2021-2025</c:v>
                </c:pt>
                <c:pt idx="1">
                  <c:v>2026-2030</c:v>
                </c:pt>
                <c:pt idx="2">
                  <c:v>2031-2040 </c:v>
                </c:pt>
              </c:strCache>
            </c:strRef>
          </c:cat>
          <c:val>
            <c:numRef>
              <c:f>Sheet2!$N$9:$P$9</c:f>
              <c:numCache>
                <c:formatCode>General</c:formatCode>
                <c:ptCount val="3"/>
                <c:pt idx="0">
                  <c:v>11</c:v>
                </c:pt>
                <c:pt idx="1">
                  <c:v>17</c:v>
                </c:pt>
                <c:pt idx="2">
                  <c:v>25</c:v>
                </c:pt>
              </c:numCache>
            </c:numRef>
          </c:val>
          <c:extLst>
            <c:ext xmlns:c16="http://schemas.microsoft.com/office/drawing/2014/chart" uri="{C3380CC4-5D6E-409C-BE32-E72D297353CC}">
              <c16:uniqueId val="{0000000C-B166-4F52-A0B7-FF66C24F88FD}"/>
            </c:ext>
          </c:extLst>
        </c:ser>
        <c:dLbls>
          <c:dLblPos val="inEnd"/>
          <c:showLegendKey val="0"/>
          <c:showVal val="1"/>
          <c:showCatName val="0"/>
          <c:showSerName val="0"/>
          <c:showPercent val="0"/>
          <c:showBubbleSize val="0"/>
        </c:dLbls>
        <c:gapWidth val="150"/>
        <c:overlap val="100"/>
        <c:axId val="32380663"/>
        <c:axId val="32378143"/>
      </c:barChart>
      <c:catAx>
        <c:axId val="32380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2378143"/>
        <c:crosses val="autoZero"/>
        <c:auto val="1"/>
        <c:lblAlgn val="ctr"/>
        <c:lblOffset val="100"/>
        <c:noMultiLvlLbl val="0"/>
      </c:catAx>
      <c:valAx>
        <c:axId val="32378143"/>
        <c:scaling>
          <c:orientation val="minMax"/>
        </c:scaling>
        <c:delete val="1"/>
        <c:axPos val="l"/>
        <c:numFmt formatCode="General" sourceLinked="1"/>
        <c:majorTickMark val="none"/>
        <c:minorTickMark val="none"/>
        <c:tickLblPos val="nextTo"/>
        <c:crossAx val="32380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3">
      <a:dk1>
        <a:srgbClr val="0B1F2C"/>
      </a:dk1>
      <a:lt1>
        <a:sysClr val="window" lastClr="FFFFFF"/>
      </a:lt1>
      <a:dk2>
        <a:srgbClr val="0070C0"/>
      </a:dk2>
      <a:lt2>
        <a:srgbClr val="AAB71D"/>
      </a:lt2>
      <a:accent1>
        <a:srgbClr val="009FE3"/>
      </a:accent1>
      <a:accent2>
        <a:srgbClr val="800080"/>
      </a:accent2>
      <a:accent3>
        <a:srgbClr val="26C0BC"/>
      </a:accent3>
      <a:accent4>
        <a:srgbClr val="C5446E"/>
      </a:accent4>
      <a:accent5>
        <a:srgbClr val="0B1F2C"/>
      </a:accent5>
      <a:accent6>
        <a:srgbClr val="909090"/>
      </a:accent6>
      <a:hlink>
        <a:srgbClr val="0000FF"/>
      </a:hlink>
      <a:folHlink>
        <a:srgbClr val="800080"/>
      </a:folHlink>
    </a:clrScheme>
    <a:fontScheme name="Cambridge Econometrics">
      <a:majorFont>
        <a:latin typeface="Kaleko 105 Round"/>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EDE4F-B08B-41FB-8627-E729B7321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J:\Templates\CE Word\NEW (Portrait) Report Template.dotx</Template>
  <TotalTime>7</TotalTime>
  <Pages>19</Pages>
  <Words>4621</Words>
  <Characters>26345</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Public-Private Investment Splits in North of England: The Net Zero Scenario</vt:lpstr>
    </vt:vector>
  </TitlesOfParts>
  <Company/>
  <LinksUpToDate>false</LinksUpToDate>
  <CharactersWithSpaces>30905</CharactersWithSpaces>
  <SharedDoc>false</SharedDoc>
  <HLinks>
    <vt:vector size="264" baseType="variant">
      <vt:variant>
        <vt:i4>7077893</vt:i4>
      </vt:variant>
      <vt:variant>
        <vt:i4>135</vt:i4>
      </vt:variant>
      <vt:variant>
        <vt:i4>0</vt:i4>
      </vt:variant>
      <vt:variant>
        <vt:i4>5</vt:i4>
      </vt:variant>
      <vt:variant>
        <vt:lpwstr>https://ppi.worldbank.org/content/dam/PPI/documents/SPIReport_2017_small_interactive.pdf</vt:lpwstr>
      </vt:variant>
      <vt:variant>
        <vt:lpwstr/>
      </vt:variant>
      <vt:variant>
        <vt:i4>5111877</vt:i4>
      </vt:variant>
      <vt:variant>
        <vt:i4>132</vt:i4>
      </vt:variant>
      <vt:variant>
        <vt:i4>0</vt:i4>
      </vt:variant>
      <vt:variant>
        <vt:i4>5</vt:i4>
      </vt:variant>
      <vt:variant>
        <vt:lpwstr>https://www.ukib.org.uk/sites/default/files/2022-11/Natural-capital-discussion-paper.pdf</vt:lpwstr>
      </vt:variant>
      <vt:variant>
        <vt:lpwstr/>
      </vt:variant>
      <vt:variant>
        <vt:i4>8257573</vt:i4>
      </vt:variant>
      <vt:variant>
        <vt:i4>129</vt:i4>
      </vt:variant>
      <vt:variant>
        <vt:i4>0</vt:i4>
      </vt:variant>
      <vt:variant>
        <vt:i4>5</vt:i4>
      </vt:variant>
      <vt:variant>
        <vt:lpwstr>https://www.gfanzero.com/netzerofinancing/</vt:lpwstr>
      </vt:variant>
      <vt:variant>
        <vt:lpwstr/>
      </vt:variant>
      <vt:variant>
        <vt:i4>524299</vt:i4>
      </vt:variant>
      <vt:variant>
        <vt:i4>126</vt:i4>
      </vt:variant>
      <vt:variant>
        <vt:i4>0</vt:i4>
      </vt:variant>
      <vt:variant>
        <vt:i4>5</vt:i4>
      </vt:variant>
      <vt:variant>
        <vt:lpwstr>https://www.unep.org/resources/state-finance-nature-2023</vt:lpwstr>
      </vt:variant>
      <vt:variant>
        <vt:lpwstr/>
      </vt:variant>
      <vt:variant>
        <vt:i4>1376339</vt:i4>
      </vt:variant>
      <vt:variant>
        <vt:i4>123</vt:i4>
      </vt:variant>
      <vt:variant>
        <vt:i4>0</vt:i4>
      </vt:variant>
      <vt:variant>
        <vt:i4>5</vt:i4>
      </vt:variant>
      <vt:variant>
        <vt:lpwstr>https://www.theccc.org.uk/wp-content/uploads/2020/12/Sector-summary-Agriculture-land-use-land-use-change-forestry.pdf</vt:lpwstr>
      </vt:variant>
      <vt:variant>
        <vt:lpwstr/>
      </vt:variant>
      <vt:variant>
        <vt:i4>1048671</vt:i4>
      </vt:variant>
      <vt:variant>
        <vt:i4>120</vt:i4>
      </vt:variant>
      <vt:variant>
        <vt:i4>0</vt:i4>
      </vt:variant>
      <vt:variant>
        <vt:i4>5</vt:i4>
      </vt:variant>
      <vt:variant>
        <vt:lpwstr>https://www.irena.org/Digital-content/Digital-Story/2023/Mar/Scaling-up-energy-transition-investments-to-meet-the-1-point-5-degrees-celsius-goal/detail</vt:lpwstr>
      </vt:variant>
      <vt:variant>
        <vt:lpwstr>:~:text=Globally%2C%20the%20private%20sector%20committed,PV%20came%20from%20private%20finance.</vt:lpwstr>
      </vt:variant>
      <vt:variant>
        <vt:i4>5242897</vt:i4>
      </vt:variant>
      <vt:variant>
        <vt:i4>117</vt:i4>
      </vt:variant>
      <vt:variant>
        <vt:i4>0</vt:i4>
      </vt:variant>
      <vt:variant>
        <vt:i4>5</vt:i4>
      </vt:variant>
      <vt:variant>
        <vt:lpwstr>https://assets.publishing.service.gov.uk/media/613e4d03d3bf7f05b166a595/Analysis_of_the_National_Infrastructure_and_Construction_Pipeline_2021.pdf</vt:lpwstr>
      </vt:variant>
      <vt:variant>
        <vt:lpwstr/>
      </vt:variant>
      <vt:variant>
        <vt:i4>3604533</vt:i4>
      </vt:variant>
      <vt:variant>
        <vt:i4>114</vt:i4>
      </vt:variant>
      <vt:variant>
        <vt:i4>0</vt:i4>
      </vt:variant>
      <vt:variant>
        <vt:i4>5</vt:i4>
      </vt:variant>
      <vt:variant>
        <vt:lpwstr>https://iea.blob.core.windows.net/assets/a48fd497-d479-4d21-8d76-10619ce0a982/ScalingupPrivateFinanceforCleanEnergyinEmergingandDevelopingEconomies.pdf</vt:lpwstr>
      </vt:variant>
      <vt:variant>
        <vt:lpwstr/>
      </vt:variant>
      <vt:variant>
        <vt:i4>7864416</vt:i4>
      </vt:variant>
      <vt:variant>
        <vt:i4>111</vt:i4>
      </vt:variant>
      <vt:variant>
        <vt:i4>0</vt:i4>
      </vt:variant>
      <vt:variant>
        <vt:i4>5</vt:i4>
      </vt:variant>
      <vt:variant>
        <vt:lpwstr>https://researchbriefings.files.parliament.uk/documents/CDP-2023-0096/CDP-2023-0096.pdf</vt:lpwstr>
      </vt:variant>
      <vt:variant>
        <vt:lpwstr/>
      </vt:variant>
      <vt:variant>
        <vt:i4>65613</vt:i4>
      </vt:variant>
      <vt:variant>
        <vt:i4>108</vt:i4>
      </vt:variant>
      <vt:variant>
        <vt:i4>0</vt:i4>
      </vt:variant>
      <vt:variant>
        <vt:i4>5</vt:i4>
      </vt:variant>
      <vt:variant>
        <vt:lpwstr>https://www.e3g.org/wp-content/uploads/Net-zero-investment-gap-22.10.26-Final-STC.pdf</vt:lpwstr>
      </vt:variant>
      <vt:variant>
        <vt:lpwstr/>
      </vt:variant>
      <vt:variant>
        <vt:i4>7471159</vt:i4>
      </vt:variant>
      <vt:variant>
        <vt:i4>105</vt:i4>
      </vt:variant>
      <vt:variant>
        <vt:i4>0</vt:i4>
      </vt:variant>
      <vt:variant>
        <vt:i4>5</vt:i4>
      </vt:variant>
      <vt:variant>
        <vt:lpwstr>https://www.energy-uk.org.uk/wp-content/uploads/2023/07/Clean-Growth-Gap-How-low-carbon-energy-investment-can-transform-the-UK.pdf</vt:lpwstr>
      </vt:variant>
      <vt:variant>
        <vt:lpwstr/>
      </vt:variant>
      <vt:variant>
        <vt:i4>65564</vt:i4>
      </vt:variant>
      <vt:variant>
        <vt:i4>102</vt:i4>
      </vt:variant>
      <vt:variant>
        <vt:i4>0</vt:i4>
      </vt:variant>
      <vt:variant>
        <vt:i4>5</vt:i4>
      </vt:variant>
      <vt:variant>
        <vt:lpwstr>https://www.nea.org.uk/wp-content/uploads/2020/12/EEIG_NET-ZERO_LITMUS_TEST_2019.pdf</vt:lpwstr>
      </vt:variant>
      <vt:variant>
        <vt:lpwstr/>
      </vt:variant>
      <vt:variant>
        <vt:i4>589852</vt:i4>
      </vt:variant>
      <vt:variant>
        <vt:i4>99</vt:i4>
      </vt:variant>
      <vt:variant>
        <vt:i4>0</vt:i4>
      </vt:variant>
      <vt:variant>
        <vt:i4>5</vt:i4>
      </vt:variant>
      <vt:variant>
        <vt:lpwstr>https://www.gov.uk/government/publications/net-zero-strategy</vt:lpwstr>
      </vt:variant>
      <vt:variant>
        <vt:lpwstr/>
      </vt:variant>
      <vt:variant>
        <vt:i4>8192063</vt:i4>
      </vt:variant>
      <vt:variant>
        <vt:i4>96</vt:i4>
      </vt:variant>
      <vt:variant>
        <vt:i4>0</vt:i4>
      </vt:variant>
      <vt:variant>
        <vt:i4>5</vt:i4>
      </vt:variant>
      <vt:variant>
        <vt:lpwstr>https://www.climatepolicyinitiative.org/wp-content/uploads/2023/11/Global-Landscape-of-Climate-Finance-2023.pdf</vt:lpwstr>
      </vt:variant>
      <vt:variant>
        <vt:lpwstr/>
      </vt:variant>
      <vt:variant>
        <vt:i4>2949216</vt:i4>
      </vt:variant>
      <vt:variant>
        <vt:i4>93</vt:i4>
      </vt:variant>
      <vt:variant>
        <vt:i4>0</vt:i4>
      </vt:variant>
      <vt:variant>
        <vt:i4>5</vt:i4>
      </vt:variant>
      <vt:variant>
        <vt:lpwstr>https://www.theccc.org.uk/publication/sixth-carbon-budget/</vt:lpwstr>
      </vt:variant>
      <vt:variant>
        <vt:lpwstr/>
      </vt:variant>
      <vt:variant>
        <vt:i4>4587615</vt:i4>
      </vt:variant>
      <vt:variant>
        <vt:i4>90</vt:i4>
      </vt:variant>
      <vt:variant>
        <vt:i4>0</vt:i4>
      </vt:variant>
      <vt:variant>
        <vt:i4>5</vt:i4>
      </vt:variant>
      <vt:variant>
        <vt:lpwstr>https://www.theccc.org.uk/uk-action-on-climate-change/progress-snapshot/</vt:lpwstr>
      </vt:variant>
      <vt:variant>
        <vt:lpwstr/>
      </vt:variant>
      <vt:variant>
        <vt:i4>1572869</vt:i4>
      </vt:variant>
      <vt:variant>
        <vt:i4>87</vt:i4>
      </vt:variant>
      <vt:variant>
        <vt:i4>0</vt:i4>
      </vt:variant>
      <vt:variant>
        <vt:i4>5</vt:i4>
      </vt:variant>
      <vt:variant>
        <vt:lpwstr>https://www.gov.uk/government/publications/industrial-decarbonisation-strategy/industrial-decarbonisation-strategy-accessible-webpage</vt:lpwstr>
      </vt:variant>
      <vt:variant>
        <vt:lpwstr>annex-4-industry-decarbonisation-pathways-technical-annex</vt:lpwstr>
      </vt:variant>
      <vt:variant>
        <vt:i4>1441841</vt:i4>
      </vt:variant>
      <vt:variant>
        <vt:i4>44</vt:i4>
      </vt:variant>
      <vt:variant>
        <vt:i4>0</vt:i4>
      </vt:variant>
      <vt:variant>
        <vt:i4>5</vt:i4>
      </vt:variant>
      <vt:variant>
        <vt:lpwstr/>
      </vt:variant>
      <vt:variant>
        <vt:lpwstr>_Toc169011869</vt:lpwstr>
      </vt:variant>
      <vt:variant>
        <vt:i4>1441841</vt:i4>
      </vt:variant>
      <vt:variant>
        <vt:i4>38</vt:i4>
      </vt:variant>
      <vt:variant>
        <vt:i4>0</vt:i4>
      </vt:variant>
      <vt:variant>
        <vt:i4>5</vt:i4>
      </vt:variant>
      <vt:variant>
        <vt:lpwstr/>
      </vt:variant>
      <vt:variant>
        <vt:lpwstr>_Toc169011867</vt:lpwstr>
      </vt:variant>
      <vt:variant>
        <vt:i4>1441841</vt:i4>
      </vt:variant>
      <vt:variant>
        <vt:i4>32</vt:i4>
      </vt:variant>
      <vt:variant>
        <vt:i4>0</vt:i4>
      </vt:variant>
      <vt:variant>
        <vt:i4>5</vt:i4>
      </vt:variant>
      <vt:variant>
        <vt:lpwstr/>
      </vt:variant>
      <vt:variant>
        <vt:lpwstr>_Toc169011866</vt:lpwstr>
      </vt:variant>
      <vt:variant>
        <vt:i4>1441841</vt:i4>
      </vt:variant>
      <vt:variant>
        <vt:i4>26</vt:i4>
      </vt:variant>
      <vt:variant>
        <vt:i4>0</vt:i4>
      </vt:variant>
      <vt:variant>
        <vt:i4>5</vt:i4>
      </vt:variant>
      <vt:variant>
        <vt:lpwstr/>
      </vt:variant>
      <vt:variant>
        <vt:lpwstr>_Toc169011865</vt:lpwstr>
      </vt:variant>
      <vt:variant>
        <vt:i4>1441841</vt:i4>
      </vt:variant>
      <vt:variant>
        <vt:i4>20</vt:i4>
      </vt:variant>
      <vt:variant>
        <vt:i4>0</vt:i4>
      </vt:variant>
      <vt:variant>
        <vt:i4>5</vt:i4>
      </vt:variant>
      <vt:variant>
        <vt:lpwstr/>
      </vt:variant>
      <vt:variant>
        <vt:lpwstr>_Toc169011864</vt:lpwstr>
      </vt:variant>
      <vt:variant>
        <vt:i4>1441841</vt:i4>
      </vt:variant>
      <vt:variant>
        <vt:i4>14</vt:i4>
      </vt:variant>
      <vt:variant>
        <vt:i4>0</vt:i4>
      </vt:variant>
      <vt:variant>
        <vt:i4>5</vt:i4>
      </vt:variant>
      <vt:variant>
        <vt:lpwstr/>
      </vt:variant>
      <vt:variant>
        <vt:lpwstr>_Toc169011863</vt:lpwstr>
      </vt:variant>
      <vt:variant>
        <vt:i4>1441841</vt:i4>
      </vt:variant>
      <vt:variant>
        <vt:i4>8</vt:i4>
      </vt:variant>
      <vt:variant>
        <vt:i4>0</vt:i4>
      </vt:variant>
      <vt:variant>
        <vt:i4>5</vt:i4>
      </vt:variant>
      <vt:variant>
        <vt:lpwstr/>
      </vt:variant>
      <vt:variant>
        <vt:lpwstr>_Toc169011862</vt:lpwstr>
      </vt:variant>
      <vt:variant>
        <vt:i4>1441841</vt:i4>
      </vt:variant>
      <vt:variant>
        <vt:i4>2</vt:i4>
      </vt:variant>
      <vt:variant>
        <vt:i4>0</vt:i4>
      </vt:variant>
      <vt:variant>
        <vt:i4>5</vt:i4>
      </vt:variant>
      <vt:variant>
        <vt:lpwstr/>
      </vt:variant>
      <vt:variant>
        <vt:lpwstr>_Toc169011861</vt:lpwstr>
      </vt:variant>
      <vt:variant>
        <vt:i4>7405656</vt:i4>
      </vt:variant>
      <vt:variant>
        <vt:i4>36</vt:i4>
      </vt:variant>
      <vt:variant>
        <vt:i4>0</vt:i4>
      </vt:variant>
      <vt:variant>
        <vt:i4>5</vt:i4>
      </vt:variant>
      <vt:variant>
        <vt:lpwstr>mailto:yr@camecon.com</vt:lpwstr>
      </vt:variant>
      <vt:variant>
        <vt:lpwstr/>
      </vt:variant>
      <vt:variant>
        <vt:i4>7405656</vt:i4>
      </vt:variant>
      <vt:variant>
        <vt:i4>33</vt:i4>
      </vt:variant>
      <vt:variant>
        <vt:i4>0</vt:i4>
      </vt:variant>
      <vt:variant>
        <vt:i4>5</vt:i4>
      </vt:variant>
      <vt:variant>
        <vt:lpwstr>mailto:yr@camecon.com</vt:lpwstr>
      </vt:variant>
      <vt:variant>
        <vt:lpwstr/>
      </vt:variant>
      <vt:variant>
        <vt:i4>7405656</vt:i4>
      </vt:variant>
      <vt:variant>
        <vt:i4>30</vt:i4>
      </vt:variant>
      <vt:variant>
        <vt:i4>0</vt:i4>
      </vt:variant>
      <vt:variant>
        <vt:i4>5</vt:i4>
      </vt:variant>
      <vt:variant>
        <vt:lpwstr>mailto:yr@camecon.com</vt:lpwstr>
      </vt:variant>
      <vt:variant>
        <vt:lpwstr/>
      </vt:variant>
      <vt:variant>
        <vt:i4>7405656</vt:i4>
      </vt:variant>
      <vt:variant>
        <vt:i4>27</vt:i4>
      </vt:variant>
      <vt:variant>
        <vt:i4>0</vt:i4>
      </vt:variant>
      <vt:variant>
        <vt:i4>5</vt:i4>
      </vt:variant>
      <vt:variant>
        <vt:lpwstr>mailto:yr@camecon.com</vt:lpwstr>
      </vt:variant>
      <vt:variant>
        <vt:lpwstr/>
      </vt:variant>
      <vt:variant>
        <vt:i4>5111877</vt:i4>
      </vt:variant>
      <vt:variant>
        <vt:i4>24</vt:i4>
      </vt:variant>
      <vt:variant>
        <vt:i4>0</vt:i4>
      </vt:variant>
      <vt:variant>
        <vt:i4>5</vt:i4>
      </vt:variant>
      <vt:variant>
        <vt:lpwstr>https://www.ukib.org.uk/sites/default/files/2022-11/Natural-capital-discussion-paper.pdf</vt:lpwstr>
      </vt:variant>
      <vt:variant>
        <vt:lpwstr/>
      </vt:variant>
      <vt:variant>
        <vt:i4>2162747</vt:i4>
      </vt:variant>
      <vt:variant>
        <vt:i4>21</vt:i4>
      </vt:variant>
      <vt:variant>
        <vt:i4>0</vt:i4>
      </vt:variant>
      <vt:variant>
        <vt:i4>5</vt:i4>
      </vt:variant>
      <vt:variant>
        <vt:lpwstr>https://www.pwc.com/gx/en/issues/esg/nature-and-biodiversity/closing-the-nature-investment-gap.html</vt:lpwstr>
      </vt:variant>
      <vt:variant>
        <vt:lpwstr/>
      </vt:variant>
      <vt:variant>
        <vt:i4>6815859</vt:i4>
      </vt:variant>
      <vt:variant>
        <vt:i4>18</vt:i4>
      </vt:variant>
      <vt:variant>
        <vt:i4>0</vt:i4>
      </vt:variant>
      <vt:variant>
        <vt:i4>5</vt:i4>
      </vt:variant>
      <vt:variant>
        <vt:lpwstr>https://assets.bbhub.io/company/sites/63/2021/10/NZFRs-Nature-Brief.pdf</vt:lpwstr>
      </vt:variant>
      <vt:variant>
        <vt:lpwstr/>
      </vt:variant>
      <vt:variant>
        <vt:i4>7405656</vt:i4>
      </vt:variant>
      <vt:variant>
        <vt:i4>15</vt:i4>
      </vt:variant>
      <vt:variant>
        <vt:i4>0</vt:i4>
      </vt:variant>
      <vt:variant>
        <vt:i4>5</vt:i4>
      </vt:variant>
      <vt:variant>
        <vt:lpwstr>mailto:yr@camecon.com</vt:lpwstr>
      </vt:variant>
      <vt:variant>
        <vt:lpwstr/>
      </vt:variant>
      <vt:variant>
        <vt:i4>7077964</vt:i4>
      </vt:variant>
      <vt:variant>
        <vt:i4>12</vt:i4>
      </vt:variant>
      <vt:variant>
        <vt:i4>0</vt:i4>
      </vt:variant>
      <vt:variant>
        <vt:i4>5</vt:i4>
      </vt:variant>
      <vt:variant>
        <vt:lpwstr>mailto:alb@camecon.com</vt:lpwstr>
      </vt:variant>
      <vt:variant>
        <vt:lpwstr/>
      </vt:variant>
      <vt:variant>
        <vt:i4>7405656</vt:i4>
      </vt:variant>
      <vt:variant>
        <vt:i4>9</vt:i4>
      </vt:variant>
      <vt:variant>
        <vt:i4>0</vt:i4>
      </vt:variant>
      <vt:variant>
        <vt:i4>5</vt:i4>
      </vt:variant>
      <vt:variant>
        <vt:lpwstr>mailto:yr@camecon.com</vt:lpwstr>
      </vt:variant>
      <vt:variant>
        <vt:lpwstr/>
      </vt:variant>
      <vt:variant>
        <vt:i4>7405656</vt:i4>
      </vt:variant>
      <vt:variant>
        <vt:i4>6</vt:i4>
      </vt:variant>
      <vt:variant>
        <vt:i4>0</vt:i4>
      </vt:variant>
      <vt:variant>
        <vt:i4>5</vt:i4>
      </vt:variant>
      <vt:variant>
        <vt:lpwstr>mailto:yr@camecon.com</vt:lpwstr>
      </vt:variant>
      <vt:variant>
        <vt:lpwstr/>
      </vt:variant>
      <vt:variant>
        <vt:i4>7077964</vt:i4>
      </vt:variant>
      <vt:variant>
        <vt:i4>3</vt:i4>
      </vt:variant>
      <vt:variant>
        <vt:i4>0</vt:i4>
      </vt:variant>
      <vt:variant>
        <vt:i4>5</vt:i4>
      </vt:variant>
      <vt:variant>
        <vt:lpwstr>mailto:alb@camecon.com</vt:lpwstr>
      </vt:variant>
      <vt:variant>
        <vt:lpwstr/>
      </vt:variant>
      <vt:variant>
        <vt:i4>7405656</vt:i4>
      </vt:variant>
      <vt:variant>
        <vt:i4>0</vt:i4>
      </vt:variant>
      <vt:variant>
        <vt:i4>0</vt:i4>
      </vt:variant>
      <vt:variant>
        <vt:i4>5</vt:i4>
      </vt:variant>
      <vt:variant>
        <vt:lpwstr>mailto:yr@camecon.com</vt:lpwstr>
      </vt:variant>
      <vt:variant>
        <vt:lpwstr/>
      </vt:variant>
      <vt:variant>
        <vt:i4>7077964</vt:i4>
      </vt:variant>
      <vt:variant>
        <vt:i4>15</vt:i4>
      </vt:variant>
      <vt:variant>
        <vt:i4>0</vt:i4>
      </vt:variant>
      <vt:variant>
        <vt:i4>5</vt:i4>
      </vt:variant>
      <vt:variant>
        <vt:lpwstr>mailto:alb@camecon.com</vt:lpwstr>
      </vt:variant>
      <vt:variant>
        <vt:lpwstr/>
      </vt:variant>
      <vt:variant>
        <vt:i4>7077964</vt:i4>
      </vt:variant>
      <vt:variant>
        <vt:i4>12</vt:i4>
      </vt:variant>
      <vt:variant>
        <vt:i4>0</vt:i4>
      </vt:variant>
      <vt:variant>
        <vt:i4>5</vt:i4>
      </vt:variant>
      <vt:variant>
        <vt:lpwstr>mailto:alb@camecon.com</vt:lpwstr>
      </vt:variant>
      <vt:variant>
        <vt:lpwstr/>
      </vt:variant>
      <vt:variant>
        <vt:i4>7405656</vt:i4>
      </vt:variant>
      <vt:variant>
        <vt:i4>9</vt:i4>
      </vt:variant>
      <vt:variant>
        <vt:i4>0</vt:i4>
      </vt:variant>
      <vt:variant>
        <vt:i4>5</vt:i4>
      </vt:variant>
      <vt:variant>
        <vt:lpwstr>mailto:yr@camecon.com</vt:lpwstr>
      </vt:variant>
      <vt:variant>
        <vt:lpwstr/>
      </vt:variant>
      <vt:variant>
        <vt:i4>6750286</vt:i4>
      </vt:variant>
      <vt:variant>
        <vt:i4>6</vt:i4>
      </vt:variant>
      <vt:variant>
        <vt:i4>0</vt:i4>
      </vt:variant>
      <vt:variant>
        <vt:i4>5</vt:i4>
      </vt:variant>
      <vt:variant>
        <vt:lpwstr>mailto:od@camecon.com</vt:lpwstr>
      </vt:variant>
      <vt:variant>
        <vt:lpwstr/>
      </vt:variant>
      <vt:variant>
        <vt:i4>6422606</vt:i4>
      </vt:variant>
      <vt:variant>
        <vt:i4>3</vt:i4>
      </vt:variant>
      <vt:variant>
        <vt:i4>0</vt:i4>
      </vt:variant>
      <vt:variant>
        <vt:i4>5</vt:i4>
      </vt:variant>
      <vt:variant>
        <vt:lpwstr>mailto:jd@camecon.com</vt:lpwstr>
      </vt:variant>
      <vt:variant>
        <vt:lpwstr/>
      </vt:variant>
      <vt:variant>
        <vt:i4>7077964</vt:i4>
      </vt:variant>
      <vt:variant>
        <vt:i4>0</vt:i4>
      </vt:variant>
      <vt:variant>
        <vt:i4>0</vt:i4>
      </vt:variant>
      <vt:variant>
        <vt:i4>5</vt:i4>
      </vt:variant>
      <vt:variant>
        <vt:lpwstr>mailto:alb@camecon.com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Public-Private Investment Splits in North of England: The Net Zero Scenario</dc:title>
  <dc:subject/>
  <dc:creator>Ornella Dellaccio</dc:creator>
  <cp:keywords/>
  <cp:lastModifiedBy>Joe Dadomo</cp:lastModifiedBy>
  <cp:revision>8</cp:revision>
  <dcterms:created xsi:type="dcterms:W3CDTF">2025-05-28T14:51:00Z</dcterms:created>
  <dcterms:modified xsi:type="dcterms:W3CDTF">2025-05-28T15:02:00Z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2023-09-20T00:00:00Z</vt:filetime>
  </property>
  <property fmtid="{D5CDD505-2E9C-101B-9397-08002B2CF9AE}" pid="3" name="Creator">
    <vt:lpwstr>Adobe InDesign 18.5 (Macintosh)</vt:lpwstr>
  </property>
  <property fmtid="{D5CDD505-2E9C-101B-9397-08002B2CF9AE}" pid="4" name="LastSaved">
    <vt:filetime>2023-09-20T00:00:00Z</vt:filetime>
  </property>
  <property fmtid="{D5CDD505-2E9C-101B-9397-08002B2CF9AE}" pid="5" name="Producer">
    <vt:lpwstr>Adobe PDF Library 17.0</vt:lpwstr>
  </property>
</Properties>
</file>