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F793A1" w14:textId="36349727" w:rsidR="00507AF4" w:rsidRDefault="00507AF4" w:rsidP="0031756C">
      <w:pPr>
        <w:pStyle w:val="Title"/>
      </w:pPr>
      <w:r>
        <w:rPr>
          <w:noProof/>
        </w:rPr>
        <w:drawing>
          <wp:anchor distT="0" distB="0" distL="114300" distR="114300" simplePos="0" relativeHeight="251658240" behindDoc="0" locked="0" layoutInCell="1" allowOverlap="1" wp14:anchorId="42AB6A71" wp14:editId="36B374E0">
            <wp:simplePos x="0" y="0"/>
            <wp:positionH relativeFrom="column">
              <wp:posOffset>-914400</wp:posOffset>
            </wp:positionH>
            <wp:positionV relativeFrom="paragraph">
              <wp:posOffset>-944880</wp:posOffset>
            </wp:positionV>
            <wp:extent cx="7544938" cy="10664357"/>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938" cy="10664357"/>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p>
    <w:p w14:paraId="001747F7" w14:textId="77777777" w:rsidR="00507AF4" w:rsidRDefault="00507AF4" w:rsidP="0031756C">
      <w:pPr>
        <w:pStyle w:val="Title"/>
      </w:pPr>
    </w:p>
    <w:p w14:paraId="16569012" w14:textId="77777777" w:rsidR="00507AF4" w:rsidRDefault="00507AF4" w:rsidP="0031756C">
      <w:pPr>
        <w:pStyle w:val="Title"/>
      </w:pPr>
    </w:p>
    <w:p w14:paraId="1C75B10F" w14:textId="77777777" w:rsidR="00507AF4" w:rsidRDefault="00507AF4" w:rsidP="0031756C">
      <w:pPr>
        <w:pStyle w:val="Title"/>
      </w:pPr>
    </w:p>
    <w:p w14:paraId="74DED6DA" w14:textId="77777777" w:rsidR="00507AF4" w:rsidRDefault="00507AF4" w:rsidP="0031756C">
      <w:pPr>
        <w:pStyle w:val="Title"/>
      </w:pPr>
    </w:p>
    <w:p w14:paraId="2FC4C55D" w14:textId="77777777" w:rsidR="00507AF4" w:rsidRDefault="00507AF4" w:rsidP="0031756C">
      <w:pPr>
        <w:pStyle w:val="Title"/>
      </w:pPr>
    </w:p>
    <w:p w14:paraId="2B52CF97" w14:textId="77777777" w:rsidR="00507AF4" w:rsidRDefault="00507AF4" w:rsidP="0031756C">
      <w:pPr>
        <w:pStyle w:val="Title"/>
      </w:pPr>
    </w:p>
    <w:p w14:paraId="4F3B62A9" w14:textId="77777777" w:rsidR="00507AF4" w:rsidRDefault="00507AF4" w:rsidP="0031756C">
      <w:pPr>
        <w:pStyle w:val="Title"/>
      </w:pPr>
    </w:p>
    <w:p w14:paraId="4D76BC26" w14:textId="77777777" w:rsidR="00507AF4" w:rsidRDefault="00507AF4" w:rsidP="0031756C">
      <w:pPr>
        <w:pStyle w:val="Title"/>
      </w:pPr>
    </w:p>
    <w:p w14:paraId="72BFED22" w14:textId="20E840DC" w:rsidR="00507AF4" w:rsidRDefault="00507AF4" w:rsidP="0031756C">
      <w:pPr>
        <w:pStyle w:val="Title"/>
      </w:pPr>
      <w:r>
        <w:rPr>
          <w:noProof/>
        </w:rPr>
        <mc:AlternateContent>
          <mc:Choice Requires="wps">
            <w:drawing>
              <wp:anchor distT="0" distB="0" distL="114300" distR="114300" simplePos="0" relativeHeight="251659264" behindDoc="0" locked="0" layoutInCell="1" allowOverlap="1" wp14:anchorId="6B48A174" wp14:editId="1A51B387">
                <wp:simplePos x="0" y="0"/>
                <wp:positionH relativeFrom="column">
                  <wp:posOffset>1927860</wp:posOffset>
                </wp:positionH>
                <wp:positionV relativeFrom="paragraph">
                  <wp:posOffset>554990</wp:posOffset>
                </wp:positionV>
                <wp:extent cx="3949430" cy="1150620"/>
                <wp:effectExtent l="0" t="0" r="0" b="0"/>
                <wp:wrapNone/>
                <wp:docPr id="3" name="Text Box 3"/>
                <wp:cNvGraphicFramePr/>
                <a:graphic xmlns:a="http://schemas.openxmlformats.org/drawingml/2006/main">
                  <a:graphicData uri="http://schemas.microsoft.com/office/word/2010/wordprocessingShape">
                    <wps:wsp>
                      <wps:cNvSpPr txBox="1"/>
                      <wps:spPr>
                        <a:xfrm>
                          <a:off x="0" y="0"/>
                          <a:ext cx="3949430" cy="1150620"/>
                        </a:xfrm>
                        <a:prstGeom prst="rect">
                          <a:avLst/>
                        </a:prstGeom>
                        <a:noFill/>
                        <a:ln w="6350">
                          <a:noFill/>
                        </a:ln>
                      </wps:spPr>
                      <wps:txbx>
                        <w:txbxContent>
                          <w:p w14:paraId="3FF34558" w14:textId="438C112B" w:rsidR="00507AF4" w:rsidRDefault="0022511C" w:rsidP="00507AF4">
                            <w:pPr>
                              <w:pStyle w:val="Title"/>
                            </w:pPr>
                            <w:r>
                              <w:t>Innovation in the 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6B48A174" id="_x0000_t202" coordsize="21600,21600" o:spt="202" path="m,l,21600r21600,l21600,xe">
                <v:stroke joinstyle="miter"/>
                <v:path gradientshapeok="t" o:connecttype="rect"/>
              </v:shapetype>
              <v:shape id="Text Box 3" o:spid="_x0000_s1026" type="#_x0000_t202" style="position:absolute;margin-left:151.8pt;margin-top:43.7pt;width:311pt;height:9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" filled="f" stroked="f" strokeweight=".5pt">
                <v:textbox>
                  <w:txbxContent>
                    <w:p w14:paraId="3FF34558" w14:textId="438C112B" w:rsidR="00507AF4" w:rsidRDefault="0022511C" w:rsidP="00507AF4">
                      <w:pPr>
                        <w:pStyle w:val="Title"/>
                      </w:pPr>
                      <w:r>
                        <w:t>Innovation in the North</w:t>
                      </w:r>
                    </w:p>
                  </w:txbxContent>
                </v:textbox>
              </v:shape>
            </w:pict>
          </mc:Fallback>
        </mc:AlternateContent>
      </w:r>
    </w:p>
    <w:p w14:paraId="3CEF11EB" w14:textId="7E95DF09" w:rsidR="00507AF4" w:rsidRDefault="00507AF4" w:rsidP="0031756C">
      <w:pPr>
        <w:pStyle w:val="Title"/>
      </w:pPr>
    </w:p>
    <w:p w14:paraId="23D1151C" w14:textId="35E410E1" w:rsidR="00507AF4" w:rsidRDefault="00507AF4" w:rsidP="0031756C">
      <w:pPr>
        <w:pStyle w:val="Title"/>
      </w:pPr>
    </w:p>
    <w:p w14:paraId="1DAB8988" w14:textId="0968548B" w:rsidR="00507AF4" w:rsidRDefault="0022511C" w:rsidP="0031756C">
      <w:pPr>
        <w:pStyle w:val="Title"/>
      </w:pPr>
      <w:r>
        <w:rPr>
          <w:noProof/>
        </w:rPr>
        <mc:AlternateContent>
          <mc:Choice Requires="wps">
            <w:drawing>
              <wp:anchor distT="0" distB="0" distL="114300" distR="114300" simplePos="0" relativeHeight="251661312" behindDoc="0" locked="0" layoutInCell="1" allowOverlap="1" wp14:anchorId="6A95B6DB" wp14:editId="5204753E">
                <wp:simplePos x="0" y="0"/>
                <wp:positionH relativeFrom="column">
                  <wp:posOffset>1926590</wp:posOffset>
                </wp:positionH>
                <wp:positionV relativeFrom="paragraph">
                  <wp:posOffset>11430</wp:posOffset>
                </wp:positionV>
                <wp:extent cx="3949065" cy="7778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49065" cy="777875"/>
                        </a:xfrm>
                        <a:prstGeom prst="rect">
                          <a:avLst/>
                        </a:prstGeom>
                        <a:noFill/>
                        <a:ln w="6350">
                          <a:noFill/>
                        </a:ln>
                      </wps:spPr>
                      <wps:txbx>
                        <w:txbxContent>
                          <w:p w14:paraId="756182B8" w14:textId="17B0AFAB" w:rsidR="00507AF4" w:rsidRPr="00507AF4" w:rsidRDefault="00507AF4" w:rsidP="00507AF4">
                            <w:pPr>
                              <w:pStyle w:val="ListParagraph"/>
                              <w:jc w:val="right"/>
                              <w:rPr>
                                <w:rStyle w:val="BookTitle"/>
                                <w:color w:val="1DA2A9" w:themeColor="accent3"/>
                                <w:sz w:val="44"/>
                                <w:szCs w:val="44"/>
                              </w:rPr>
                            </w:pPr>
                            <w:r>
                              <w:rPr>
                                <w:rStyle w:val="BookTitle"/>
                                <w:color w:val="1DA2A9" w:themeColor="accent3"/>
                                <w:sz w:val="44"/>
                                <w:szCs w:val="44"/>
                              </w:rPr>
                              <w:t>SUB HEADER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A95B6DB" id="Text Box 4" o:spid="_x0000_s1027" type="#_x0000_t202" style="position:absolute;margin-left:151.7pt;margin-top:.9pt;width:310.9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qBGwIAADMEAAAOAAAAZHJzL2Uyb0RvYy54bWysU8lu2zAQvRfoPxC815IdL7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" filled="f" stroked="f" strokeweight=".5pt">
                <v:textbox>
                  <w:txbxContent>
                    <w:p w14:paraId="756182B8" w14:textId="17B0AFAB" w:rsidR="00507AF4" w:rsidRPr="00507AF4" w:rsidRDefault="00507AF4" w:rsidP="00507AF4">
                      <w:pPr>
                        <w:pStyle w:val="ListParagraph"/>
                        <w:jc w:val="right"/>
                        <w:rPr>
                          <w:rStyle w:val="BookTitle"/>
                          <w:color w:val="1DA2A9" w:themeColor="accent3"/>
                          <w:sz w:val="44"/>
                          <w:szCs w:val="44"/>
                        </w:rPr>
                      </w:pPr>
                      <w:r>
                        <w:rPr>
                          <w:rStyle w:val="BookTitle"/>
                          <w:color w:val="1DA2A9" w:themeColor="accent3"/>
                          <w:sz w:val="44"/>
                          <w:szCs w:val="44"/>
                        </w:rPr>
                        <w:t>SUB HEADER GOES HERE</w:t>
                      </w:r>
                    </w:p>
                  </w:txbxContent>
                </v:textbox>
              </v:shape>
            </w:pict>
          </mc:Fallback>
        </mc:AlternateContent>
      </w:r>
    </w:p>
    <w:p w14:paraId="0A627236" w14:textId="3330D013" w:rsidR="00507AF4" w:rsidRDefault="00507AF4" w:rsidP="0031756C">
      <w:pPr>
        <w:pStyle w:val="Title"/>
      </w:pPr>
      <w:r>
        <w:rPr>
          <w:noProof/>
        </w:rPr>
        <mc:AlternateContent>
          <mc:Choice Requires="wps">
            <w:drawing>
              <wp:anchor distT="0" distB="0" distL="114300" distR="114300" simplePos="0" relativeHeight="251663360" behindDoc="0" locked="0" layoutInCell="1" allowOverlap="1" wp14:anchorId="3B11E802" wp14:editId="220F3F60">
                <wp:simplePos x="0" y="0"/>
                <wp:positionH relativeFrom="column">
                  <wp:posOffset>1926590</wp:posOffset>
                </wp:positionH>
                <wp:positionV relativeFrom="paragraph">
                  <wp:posOffset>362301</wp:posOffset>
                </wp:positionV>
                <wp:extent cx="3949430" cy="778213"/>
                <wp:effectExtent l="0" t="0" r="0" b="0"/>
                <wp:wrapNone/>
                <wp:docPr id="5" name="Text Box 5"/>
                <wp:cNvGraphicFramePr/>
                <a:graphic xmlns:a="http://schemas.openxmlformats.org/drawingml/2006/main">
                  <a:graphicData uri="http://schemas.microsoft.com/office/word/2010/wordprocessingShape">
                    <wps:wsp>
                      <wps:cNvSpPr txBox="1"/>
                      <wps:spPr>
                        <a:xfrm>
                          <a:off x="0" y="0"/>
                          <a:ext cx="3949430" cy="778213"/>
                        </a:xfrm>
                        <a:prstGeom prst="rect">
                          <a:avLst/>
                        </a:prstGeom>
                        <a:noFill/>
                        <a:ln w="6350">
                          <a:noFill/>
                        </a:ln>
                      </wps:spPr>
                      <wps:txbx>
                        <w:txbxContent>
                          <w:p w14:paraId="6721AEE2" w14:textId="3B4EA350" w:rsidR="00507AF4" w:rsidRPr="00507AF4" w:rsidRDefault="0022511C" w:rsidP="00507AF4">
                            <w:pPr>
                              <w:pStyle w:val="ListParagraph"/>
                              <w:jc w:val="right"/>
                              <w:rPr>
                                <w:rStyle w:val="BookTitle"/>
                                <w:color w:val="1DA2A9" w:themeColor="accent3"/>
                                <w:sz w:val="44"/>
                                <w:szCs w:val="44"/>
                              </w:rPr>
                            </w:pPr>
                            <w:r>
                              <w:t>June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B11E802" id="Text Box 5" o:spid="_x0000_s1028" type="#_x0000_t202" style="position:absolute;margin-left:151.7pt;margin-top:28.55pt;width:311pt;height:6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" filled="f" stroked="f" strokeweight=".5pt">
                <v:textbox>
                  <w:txbxContent>
                    <w:p w14:paraId="6721AEE2" w14:textId="3B4EA350" w:rsidR="00507AF4" w:rsidRPr="00507AF4" w:rsidRDefault="0022511C" w:rsidP="00507AF4">
                      <w:pPr>
                        <w:pStyle w:val="ListParagraph"/>
                        <w:jc w:val="right"/>
                        <w:rPr>
                          <w:rStyle w:val="BookTitle"/>
                          <w:color w:val="1DA2A9" w:themeColor="accent3"/>
                          <w:sz w:val="44"/>
                          <w:szCs w:val="44"/>
                        </w:rPr>
                      </w:pPr>
                      <w:r>
                        <w:t>June 2025</w:t>
                      </w:r>
                    </w:p>
                  </w:txbxContent>
                </v:textbox>
              </v:shape>
            </w:pict>
          </mc:Fallback>
        </mc:AlternateContent>
      </w:r>
    </w:p>
    <w:p w14:paraId="7B6E7064" w14:textId="77777777" w:rsidR="00507AF4" w:rsidRDefault="00507AF4" w:rsidP="0031756C">
      <w:pPr>
        <w:pStyle w:val="Title"/>
      </w:pPr>
    </w:p>
    <w:p w14:paraId="70073185" w14:textId="2308B238" w:rsidR="00FB398D" w:rsidRDefault="00FB398D" w:rsidP="00DB24C9">
      <w:pPr>
        <w:pStyle w:val="Heading1"/>
      </w:pPr>
      <w:bookmarkStart w:id="0" w:name="_Toc129771184"/>
      <w:bookmarkStart w:id="1" w:name="_Toc201831792"/>
      <w:bookmarkStart w:id="2" w:name="_Toc129770888"/>
      <w:r>
        <w:lastRenderedPageBreak/>
        <w:t>/01. Contents</w:t>
      </w:r>
      <w:bookmarkEnd w:id="0"/>
      <w:bookmarkEnd w:id="1"/>
    </w:p>
    <w:p w14:paraId="788471B3" w14:textId="0F5FF80E" w:rsidR="00763016" w:rsidRDefault="000C3DEB">
      <w:pPr>
        <w:pStyle w:val="TOC1"/>
        <w:tabs>
          <w:tab w:val="right" w:pos="9010"/>
        </w:tabs>
        <w:rPr>
          <w:rFonts w:cstheme="minorBidi"/>
          <w:b w:val="0"/>
          <w:bCs w:val="0"/>
          <w:caps w:val="0"/>
          <w:noProof/>
          <w:kern w:val="2"/>
          <w:sz w:val="24"/>
          <w:szCs w:val="24"/>
          <w:u w:val="none"/>
          <w:lang w:eastAsia="en-GB"/>
          <w14:ligatures w14:val="standardContextual"/>
        </w:rPr>
      </w:pPr>
      <w:r>
        <w:fldChar w:fldCharType="begin"/>
      </w:r>
      <w:r>
        <w:instrText xml:space="preserve"> TOC \o "1-1" \h \z \u </w:instrText>
      </w:r>
      <w:r>
        <w:fldChar w:fldCharType="separate"/>
      </w:r>
      <w:hyperlink w:anchor="_Toc201831792" w:history="1">
        <w:r w:rsidR="00763016" w:rsidRPr="000A490A">
          <w:rPr>
            <w:rStyle w:val="Hyperlink"/>
            <w:noProof/>
          </w:rPr>
          <w:t>/01. Contents</w:t>
        </w:r>
        <w:r w:rsidR="00763016">
          <w:rPr>
            <w:noProof/>
            <w:webHidden/>
          </w:rPr>
          <w:tab/>
        </w:r>
        <w:r w:rsidR="00763016">
          <w:rPr>
            <w:noProof/>
            <w:webHidden/>
          </w:rPr>
          <w:fldChar w:fldCharType="begin"/>
        </w:r>
        <w:r w:rsidR="00763016">
          <w:rPr>
            <w:noProof/>
            <w:webHidden/>
          </w:rPr>
          <w:instrText xml:space="preserve"> PAGEREF _Toc201831792 \h </w:instrText>
        </w:r>
        <w:r w:rsidR="00763016">
          <w:rPr>
            <w:noProof/>
            <w:webHidden/>
          </w:rPr>
        </w:r>
        <w:r w:rsidR="00763016">
          <w:rPr>
            <w:noProof/>
            <w:webHidden/>
          </w:rPr>
          <w:fldChar w:fldCharType="separate"/>
        </w:r>
        <w:r w:rsidR="00763016">
          <w:rPr>
            <w:noProof/>
            <w:webHidden/>
          </w:rPr>
          <w:t>2</w:t>
        </w:r>
        <w:r w:rsidR="00763016">
          <w:rPr>
            <w:noProof/>
            <w:webHidden/>
          </w:rPr>
          <w:fldChar w:fldCharType="end"/>
        </w:r>
      </w:hyperlink>
    </w:p>
    <w:p w14:paraId="0C0AE4E1" w14:textId="1958762A" w:rsidR="00763016" w:rsidRDefault="00763016">
      <w:pPr>
        <w:pStyle w:val="TOC1"/>
        <w:tabs>
          <w:tab w:val="right" w:pos="9010"/>
        </w:tabs>
        <w:rPr>
          <w:rFonts w:cstheme="minorBidi"/>
          <w:b w:val="0"/>
          <w:bCs w:val="0"/>
          <w:caps w:val="0"/>
          <w:noProof/>
          <w:kern w:val="2"/>
          <w:sz w:val="24"/>
          <w:szCs w:val="24"/>
          <w:u w:val="none"/>
          <w:lang w:eastAsia="en-GB"/>
          <w14:ligatures w14:val="standardContextual"/>
        </w:rPr>
      </w:pPr>
      <w:hyperlink w:anchor="_Toc201831793" w:history="1">
        <w:r w:rsidRPr="000A490A">
          <w:rPr>
            <w:rStyle w:val="Hyperlink"/>
            <w:noProof/>
          </w:rPr>
          <w:t>/02. Introduction</w:t>
        </w:r>
        <w:r>
          <w:rPr>
            <w:noProof/>
            <w:webHidden/>
          </w:rPr>
          <w:tab/>
        </w:r>
        <w:r>
          <w:rPr>
            <w:noProof/>
            <w:webHidden/>
          </w:rPr>
          <w:fldChar w:fldCharType="begin"/>
        </w:r>
        <w:r>
          <w:rPr>
            <w:noProof/>
            <w:webHidden/>
          </w:rPr>
          <w:instrText xml:space="preserve"> PAGEREF _Toc201831793 \h </w:instrText>
        </w:r>
        <w:r>
          <w:rPr>
            <w:noProof/>
            <w:webHidden/>
          </w:rPr>
        </w:r>
        <w:r>
          <w:rPr>
            <w:noProof/>
            <w:webHidden/>
          </w:rPr>
          <w:fldChar w:fldCharType="separate"/>
        </w:r>
        <w:r>
          <w:rPr>
            <w:noProof/>
            <w:webHidden/>
          </w:rPr>
          <w:t>3</w:t>
        </w:r>
        <w:r>
          <w:rPr>
            <w:noProof/>
            <w:webHidden/>
          </w:rPr>
          <w:fldChar w:fldCharType="end"/>
        </w:r>
      </w:hyperlink>
    </w:p>
    <w:p w14:paraId="18FB412A" w14:textId="03AEDA74" w:rsidR="00763016" w:rsidRDefault="00763016">
      <w:pPr>
        <w:pStyle w:val="TOC1"/>
        <w:tabs>
          <w:tab w:val="right" w:pos="9010"/>
        </w:tabs>
        <w:rPr>
          <w:rFonts w:cstheme="minorBidi"/>
          <w:b w:val="0"/>
          <w:bCs w:val="0"/>
          <w:caps w:val="0"/>
          <w:noProof/>
          <w:kern w:val="2"/>
          <w:sz w:val="24"/>
          <w:szCs w:val="24"/>
          <w:u w:val="none"/>
          <w:lang w:eastAsia="en-GB"/>
          <w14:ligatures w14:val="standardContextual"/>
        </w:rPr>
      </w:pPr>
      <w:hyperlink w:anchor="_Toc201831794" w:history="1">
        <w:r w:rsidRPr="000A490A">
          <w:rPr>
            <w:rStyle w:val="Hyperlink"/>
            <w:noProof/>
          </w:rPr>
          <w:t>/03. Innovation in the North: assets and opportunities</w:t>
        </w:r>
        <w:r>
          <w:rPr>
            <w:noProof/>
            <w:webHidden/>
          </w:rPr>
          <w:tab/>
        </w:r>
        <w:r>
          <w:rPr>
            <w:noProof/>
            <w:webHidden/>
          </w:rPr>
          <w:fldChar w:fldCharType="begin"/>
        </w:r>
        <w:r>
          <w:rPr>
            <w:noProof/>
            <w:webHidden/>
          </w:rPr>
          <w:instrText xml:space="preserve"> PAGEREF _Toc201831794 \h </w:instrText>
        </w:r>
        <w:r>
          <w:rPr>
            <w:noProof/>
            <w:webHidden/>
          </w:rPr>
        </w:r>
        <w:r>
          <w:rPr>
            <w:noProof/>
            <w:webHidden/>
          </w:rPr>
          <w:fldChar w:fldCharType="separate"/>
        </w:r>
        <w:r>
          <w:rPr>
            <w:noProof/>
            <w:webHidden/>
          </w:rPr>
          <w:t>5</w:t>
        </w:r>
        <w:r>
          <w:rPr>
            <w:noProof/>
            <w:webHidden/>
          </w:rPr>
          <w:fldChar w:fldCharType="end"/>
        </w:r>
      </w:hyperlink>
    </w:p>
    <w:p w14:paraId="79FFAF49" w14:textId="0E00C359" w:rsidR="00763016" w:rsidRDefault="00763016">
      <w:pPr>
        <w:pStyle w:val="TOC1"/>
        <w:tabs>
          <w:tab w:val="right" w:pos="9010"/>
        </w:tabs>
        <w:rPr>
          <w:rFonts w:cstheme="minorBidi"/>
          <w:b w:val="0"/>
          <w:bCs w:val="0"/>
          <w:caps w:val="0"/>
          <w:noProof/>
          <w:kern w:val="2"/>
          <w:sz w:val="24"/>
          <w:szCs w:val="24"/>
          <w:u w:val="none"/>
          <w:lang w:eastAsia="en-GB"/>
          <w14:ligatures w14:val="standardContextual"/>
        </w:rPr>
      </w:pPr>
      <w:hyperlink w:anchor="_Toc201831795" w:history="1">
        <w:r w:rsidRPr="000A490A">
          <w:rPr>
            <w:rStyle w:val="Hyperlink"/>
            <w:noProof/>
          </w:rPr>
          <w:t>/04. R&amp;D Spending</w:t>
        </w:r>
        <w:r>
          <w:rPr>
            <w:noProof/>
            <w:webHidden/>
          </w:rPr>
          <w:tab/>
        </w:r>
        <w:r>
          <w:rPr>
            <w:noProof/>
            <w:webHidden/>
          </w:rPr>
          <w:fldChar w:fldCharType="begin"/>
        </w:r>
        <w:r>
          <w:rPr>
            <w:noProof/>
            <w:webHidden/>
          </w:rPr>
          <w:instrText xml:space="preserve"> PAGEREF _Toc201831795 \h </w:instrText>
        </w:r>
        <w:r>
          <w:rPr>
            <w:noProof/>
            <w:webHidden/>
          </w:rPr>
        </w:r>
        <w:r>
          <w:rPr>
            <w:noProof/>
            <w:webHidden/>
          </w:rPr>
          <w:fldChar w:fldCharType="separate"/>
        </w:r>
        <w:r>
          <w:rPr>
            <w:noProof/>
            <w:webHidden/>
          </w:rPr>
          <w:t>10</w:t>
        </w:r>
        <w:r>
          <w:rPr>
            <w:noProof/>
            <w:webHidden/>
          </w:rPr>
          <w:fldChar w:fldCharType="end"/>
        </w:r>
      </w:hyperlink>
    </w:p>
    <w:p w14:paraId="60F48B37" w14:textId="5ED75C3A" w:rsidR="00763016" w:rsidRDefault="00763016">
      <w:pPr>
        <w:pStyle w:val="TOC1"/>
        <w:tabs>
          <w:tab w:val="right" w:pos="9010"/>
        </w:tabs>
        <w:rPr>
          <w:rFonts w:cstheme="minorBidi"/>
          <w:b w:val="0"/>
          <w:bCs w:val="0"/>
          <w:caps w:val="0"/>
          <w:noProof/>
          <w:kern w:val="2"/>
          <w:sz w:val="24"/>
          <w:szCs w:val="24"/>
          <w:u w:val="none"/>
          <w:lang w:eastAsia="en-GB"/>
          <w14:ligatures w14:val="standardContextual"/>
        </w:rPr>
      </w:pPr>
      <w:hyperlink w:anchor="_Toc201831796" w:history="1">
        <w:r w:rsidRPr="000A490A">
          <w:rPr>
            <w:rStyle w:val="Hyperlink"/>
            <w:noProof/>
          </w:rPr>
          <w:t>/05. Methodology</w:t>
        </w:r>
        <w:r>
          <w:rPr>
            <w:noProof/>
            <w:webHidden/>
          </w:rPr>
          <w:tab/>
        </w:r>
        <w:r>
          <w:rPr>
            <w:noProof/>
            <w:webHidden/>
          </w:rPr>
          <w:fldChar w:fldCharType="begin"/>
        </w:r>
        <w:r>
          <w:rPr>
            <w:noProof/>
            <w:webHidden/>
          </w:rPr>
          <w:instrText xml:space="preserve"> PAGEREF _Toc201831796 \h </w:instrText>
        </w:r>
        <w:r>
          <w:rPr>
            <w:noProof/>
            <w:webHidden/>
          </w:rPr>
        </w:r>
        <w:r>
          <w:rPr>
            <w:noProof/>
            <w:webHidden/>
          </w:rPr>
          <w:fldChar w:fldCharType="separate"/>
        </w:r>
        <w:r>
          <w:rPr>
            <w:noProof/>
            <w:webHidden/>
          </w:rPr>
          <w:t>14</w:t>
        </w:r>
        <w:r>
          <w:rPr>
            <w:noProof/>
            <w:webHidden/>
          </w:rPr>
          <w:fldChar w:fldCharType="end"/>
        </w:r>
      </w:hyperlink>
    </w:p>
    <w:p w14:paraId="208D9506" w14:textId="4372E16A" w:rsidR="00763016" w:rsidRDefault="00763016">
      <w:pPr>
        <w:pStyle w:val="TOC1"/>
        <w:tabs>
          <w:tab w:val="right" w:pos="9010"/>
        </w:tabs>
        <w:rPr>
          <w:rFonts w:cstheme="minorBidi"/>
          <w:b w:val="0"/>
          <w:bCs w:val="0"/>
          <w:caps w:val="0"/>
          <w:noProof/>
          <w:kern w:val="2"/>
          <w:sz w:val="24"/>
          <w:szCs w:val="24"/>
          <w:u w:val="none"/>
          <w:lang w:eastAsia="en-GB"/>
          <w14:ligatures w14:val="standardContextual"/>
        </w:rPr>
      </w:pPr>
      <w:hyperlink w:anchor="_Toc201831797" w:history="1">
        <w:r w:rsidRPr="000A490A">
          <w:rPr>
            <w:rStyle w:val="Hyperlink"/>
            <w:noProof/>
          </w:rPr>
          <w:t>/06. Analysis</w:t>
        </w:r>
        <w:r>
          <w:rPr>
            <w:noProof/>
            <w:webHidden/>
          </w:rPr>
          <w:tab/>
        </w:r>
        <w:r>
          <w:rPr>
            <w:noProof/>
            <w:webHidden/>
          </w:rPr>
          <w:fldChar w:fldCharType="begin"/>
        </w:r>
        <w:r>
          <w:rPr>
            <w:noProof/>
            <w:webHidden/>
          </w:rPr>
          <w:instrText xml:space="preserve"> PAGEREF _Toc201831797 \h </w:instrText>
        </w:r>
        <w:r>
          <w:rPr>
            <w:noProof/>
            <w:webHidden/>
          </w:rPr>
        </w:r>
        <w:r>
          <w:rPr>
            <w:noProof/>
            <w:webHidden/>
          </w:rPr>
          <w:fldChar w:fldCharType="separate"/>
        </w:r>
        <w:r>
          <w:rPr>
            <w:noProof/>
            <w:webHidden/>
          </w:rPr>
          <w:t>22</w:t>
        </w:r>
        <w:r>
          <w:rPr>
            <w:noProof/>
            <w:webHidden/>
          </w:rPr>
          <w:fldChar w:fldCharType="end"/>
        </w:r>
      </w:hyperlink>
    </w:p>
    <w:p w14:paraId="729ACB10" w14:textId="5B29EF5E" w:rsidR="00763016" w:rsidRDefault="00763016">
      <w:pPr>
        <w:pStyle w:val="TOC1"/>
        <w:tabs>
          <w:tab w:val="right" w:pos="9010"/>
        </w:tabs>
        <w:rPr>
          <w:rFonts w:cstheme="minorBidi"/>
          <w:b w:val="0"/>
          <w:bCs w:val="0"/>
          <w:caps w:val="0"/>
          <w:noProof/>
          <w:kern w:val="2"/>
          <w:sz w:val="24"/>
          <w:szCs w:val="24"/>
          <w:u w:val="none"/>
          <w:lang w:eastAsia="en-GB"/>
          <w14:ligatures w14:val="standardContextual"/>
        </w:rPr>
      </w:pPr>
      <w:hyperlink w:anchor="_Toc201831798" w:history="1">
        <w:r w:rsidRPr="000A490A">
          <w:rPr>
            <w:rStyle w:val="Hyperlink"/>
            <w:noProof/>
          </w:rPr>
          <w:t>/07. Case Studies</w:t>
        </w:r>
        <w:r>
          <w:rPr>
            <w:noProof/>
            <w:webHidden/>
          </w:rPr>
          <w:tab/>
        </w:r>
        <w:r>
          <w:rPr>
            <w:noProof/>
            <w:webHidden/>
          </w:rPr>
          <w:fldChar w:fldCharType="begin"/>
        </w:r>
        <w:r>
          <w:rPr>
            <w:noProof/>
            <w:webHidden/>
          </w:rPr>
          <w:instrText xml:space="preserve"> PAGEREF _Toc201831798 \h </w:instrText>
        </w:r>
        <w:r>
          <w:rPr>
            <w:noProof/>
            <w:webHidden/>
          </w:rPr>
        </w:r>
        <w:r>
          <w:rPr>
            <w:noProof/>
            <w:webHidden/>
          </w:rPr>
          <w:fldChar w:fldCharType="separate"/>
        </w:r>
        <w:r>
          <w:rPr>
            <w:noProof/>
            <w:webHidden/>
          </w:rPr>
          <w:t>35</w:t>
        </w:r>
        <w:r>
          <w:rPr>
            <w:noProof/>
            <w:webHidden/>
          </w:rPr>
          <w:fldChar w:fldCharType="end"/>
        </w:r>
      </w:hyperlink>
    </w:p>
    <w:p w14:paraId="376D1462" w14:textId="4F39A58C" w:rsidR="00763016" w:rsidRDefault="00763016">
      <w:pPr>
        <w:pStyle w:val="TOC1"/>
        <w:tabs>
          <w:tab w:val="right" w:pos="9010"/>
        </w:tabs>
        <w:rPr>
          <w:rFonts w:cstheme="minorBidi"/>
          <w:b w:val="0"/>
          <w:bCs w:val="0"/>
          <w:caps w:val="0"/>
          <w:noProof/>
          <w:kern w:val="2"/>
          <w:sz w:val="24"/>
          <w:szCs w:val="24"/>
          <w:u w:val="none"/>
          <w:lang w:eastAsia="en-GB"/>
          <w14:ligatures w14:val="standardContextual"/>
        </w:rPr>
      </w:pPr>
      <w:hyperlink w:anchor="_Toc201831799" w:history="1">
        <w:r w:rsidRPr="000A490A">
          <w:rPr>
            <w:rStyle w:val="Hyperlink"/>
            <w:noProof/>
          </w:rPr>
          <w:t>/08. Policy Recommendations</w:t>
        </w:r>
        <w:r>
          <w:rPr>
            <w:noProof/>
            <w:webHidden/>
          </w:rPr>
          <w:tab/>
        </w:r>
        <w:r>
          <w:rPr>
            <w:noProof/>
            <w:webHidden/>
          </w:rPr>
          <w:fldChar w:fldCharType="begin"/>
        </w:r>
        <w:r>
          <w:rPr>
            <w:noProof/>
            <w:webHidden/>
          </w:rPr>
          <w:instrText xml:space="preserve"> PAGEREF _Toc201831799 \h </w:instrText>
        </w:r>
        <w:r>
          <w:rPr>
            <w:noProof/>
            <w:webHidden/>
          </w:rPr>
        </w:r>
        <w:r>
          <w:rPr>
            <w:noProof/>
            <w:webHidden/>
          </w:rPr>
          <w:fldChar w:fldCharType="separate"/>
        </w:r>
        <w:r>
          <w:rPr>
            <w:noProof/>
            <w:webHidden/>
          </w:rPr>
          <w:t>37</w:t>
        </w:r>
        <w:r>
          <w:rPr>
            <w:noProof/>
            <w:webHidden/>
          </w:rPr>
          <w:fldChar w:fldCharType="end"/>
        </w:r>
      </w:hyperlink>
    </w:p>
    <w:p w14:paraId="7062FD84" w14:textId="6EB3B8E8" w:rsidR="009B26A9" w:rsidRDefault="000C3DEB" w:rsidP="00DB24C9">
      <w:pPr>
        <w:pStyle w:val="Heading1"/>
      </w:pPr>
      <w:r>
        <w:fldChar w:fldCharType="end"/>
      </w:r>
      <w:bookmarkStart w:id="3" w:name="_Toc129771185"/>
    </w:p>
    <w:p w14:paraId="6752D2B1" w14:textId="77777777" w:rsidR="009B26A9" w:rsidRDefault="009B26A9">
      <w:pPr>
        <w:rPr>
          <w:rFonts w:eastAsiaTheme="majorEastAsia" w:cstheme="majorBidi"/>
          <w:b/>
          <w:bCs/>
          <w:color w:val="241A40" w:themeColor="text1"/>
          <w:sz w:val="56"/>
          <w:szCs w:val="28"/>
        </w:rPr>
      </w:pPr>
      <w:r>
        <w:br w:type="page"/>
      </w:r>
    </w:p>
    <w:p w14:paraId="5E0A9109" w14:textId="20A4A4CB" w:rsidR="00314F2E" w:rsidRDefault="00FB398D" w:rsidP="00DB24C9">
      <w:pPr>
        <w:pStyle w:val="Heading1"/>
      </w:pPr>
      <w:bookmarkStart w:id="4" w:name="_Toc201831793"/>
      <w:r>
        <w:lastRenderedPageBreak/>
        <w:t>/</w:t>
      </w:r>
      <w:r w:rsidR="000F41F9">
        <w:t>0</w:t>
      </w:r>
      <w:r>
        <w:t>2</w:t>
      </w:r>
      <w:r w:rsidR="000F41F9">
        <w:t>. Introduction</w:t>
      </w:r>
      <w:bookmarkEnd w:id="2"/>
      <w:bookmarkEnd w:id="3"/>
      <w:bookmarkEnd w:id="4"/>
    </w:p>
    <w:p w14:paraId="487927AF" w14:textId="2F7E5663" w:rsidR="00AF1333" w:rsidRPr="00AF1333" w:rsidRDefault="00AF1333" w:rsidP="00AF1333">
      <w:pPr>
        <w:ind w:right="13"/>
      </w:pPr>
      <w:r w:rsidRPr="00AF1333">
        <w:t>The 2016 Northern Powerhouse Independent Economic Review (NPIER)</w:t>
      </w:r>
      <w:r w:rsidR="005979D6">
        <w:rPr>
          <w:rStyle w:val="FootnoteReference"/>
        </w:rPr>
        <w:footnoteReference w:id="1"/>
      </w:r>
      <w:r w:rsidRPr="00AF1333">
        <w:t xml:space="preserve"> examined strategies to reduce the economic disparity between the North of England and the wider United Kingdom. Strengthening the economic performance of the North is of national significance, ensuring a more balanced and resilient </w:t>
      </w:r>
      <w:r w:rsidR="005979D6">
        <w:t>UK economy</w:t>
      </w:r>
      <w:r w:rsidRPr="00AF1333">
        <w:t>.</w:t>
      </w:r>
    </w:p>
    <w:p w14:paraId="384A4BD3" w14:textId="73547773" w:rsidR="00AF1333" w:rsidRPr="00AF1333" w:rsidRDefault="00AF1333" w:rsidP="00AF1333">
      <w:pPr>
        <w:ind w:right="13"/>
      </w:pPr>
      <w:r w:rsidRPr="00AF1333">
        <w:t xml:space="preserve">The review concluded that </w:t>
      </w:r>
      <w:r w:rsidR="005979D6">
        <w:t xml:space="preserve">lower productivity rates in the North </w:t>
      </w:r>
      <w:r w:rsidR="00892C91">
        <w:t>are</w:t>
      </w:r>
      <w:r w:rsidR="005979D6">
        <w:t xml:space="preserve"> a primary driver of lower earnings and living standards, which in turn contribute to other inequalities such as educational outcomes, health,</w:t>
      </w:r>
      <w:r w:rsidRPr="00AF1333">
        <w:t xml:space="preserve"> and life expectancy. </w:t>
      </w:r>
    </w:p>
    <w:p w14:paraId="152CEA0D" w14:textId="4FF3E4D0" w:rsidR="00AF1333" w:rsidRPr="00AF1333" w:rsidRDefault="00AF1333" w:rsidP="00AF1333">
      <w:pPr>
        <w:ind w:right="13"/>
      </w:pPr>
      <w:r w:rsidRPr="00AF1333">
        <w:t>The 2016 review identified four ‘prime capabilities</w:t>
      </w:r>
      <w:r w:rsidR="00243096">
        <w:t xml:space="preserve">’; </w:t>
      </w:r>
      <w:r w:rsidRPr="00AF1333">
        <w:t>highly productive mega-sectors where the North held a competitive advantage, offering opportunities to export and attract inward investment. These were advanced manufacturing, energy, health innovation and digital. In addition, three enabling capabilities were identified</w:t>
      </w:r>
      <w:r w:rsidR="00892C91">
        <w:t>,</w:t>
      </w:r>
      <w:r w:rsidRPr="00AF1333">
        <w:t xml:space="preserve"> which were key to supporting the growth of the prime</w:t>
      </w:r>
      <w:r w:rsidR="00892C91">
        <w:t>s</w:t>
      </w:r>
      <w:r w:rsidR="00892C91" w:rsidRPr="00AF1333">
        <w:t>;</w:t>
      </w:r>
      <w:r w:rsidRPr="00AF1333">
        <w:t xml:space="preserve"> these were financial and professional services, logistics and education (primarily higher education). </w:t>
      </w:r>
      <w:r w:rsidR="00892C91">
        <w:t>These sectors would lead the way under a transformational economic future for the North</w:t>
      </w:r>
      <w:r w:rsidRPr="00AF1333">
        <w:t>. However, for this transformational scenario to become a reality, there needed to be “substantial improvements in the skills base, in innovation performance, and in transport connectivity.”</w:t>
      </w:r>
      <w:r w:rsidRPr="00AF1333">
        <w:rPr>
          <w:vertAlign w:val="superscript"/>
        </w:rPr>
        <w:footnoteReference w:id="2"/>
      </w:r>
      <w:r w:rsidRPr="00AF1333">
        <w:t xml:space="preserve"> In analysing the economic performance gap in 2016, the NPIER noted a lower rate of patents per worker and lower rates of R&amp;D spending</w:t>
      </w:r>
      <w:r w:rsidRPr="00AF1333">
        <w:rPr>
          <w:vertAlign w:val="superscript"/>
        </w:rPr>
        <w:footnoteReference w:id="3"/>
      </w:r>
      <w:r w:rsidRPr="00AF1333">
        <w:t xml:space="preserve">.  </w:t>
      </w:r>
    </w:p>
    <w:p w14:paraId="7CFEE7F4" w14:textId="46114DCB" w:rsidR="00AF1333" w:rsidRPr="00AF1333" w:rsidRDefault="00AF1333" w:rsidP="00AF1333">
      <w:pPr>
        <w:ind w:right="13"/>
      </w:pPr>
      <w:r w:rsidRPr="00AF1333">
        <w:t>The NPIER was always intended as an initial look at the opportunities available, and so the review fell short of providing any specific recommendations of how the innovation of the economy of the Northern Powerhouse could be improved, though it did make some general comments about “better commercialisation of university research”, “ better management skills, including the uptake of innovation” and attracting inward investment that would provide “access to leading technologies”</w:t>
      </w:r>
      <w:r w:rsidRPr="00AF1333">
        <w:rPr>
          <w:vertAlign w:val="superscript"/>
        </w:rPr>
        <w:footnoteReference w:id="4"/>
      </w:r>
      <w:r w:rsidRPr="00AF1333">
        <w:t>.</w:t>
      </w:r>
    </w:p>
    <w:p w14:paraId="0273FF4B" w14:textId="20BDB6C5" w:rsidR="00AF1333" w:rsidRPr="00AF1333" w:rsidRDefault="00AF1333" w:rsidP="00AF1333">
      <w:pPr>
        <w:ind w:right="13"/>
      </w:pPr>
      <w:r w:rsidRPr="00AF1333">
        <w:t>A refresh of the NPIER was undertaken in 2023</w:t>
      </w:r>
      <w:r w:rsidR="00EA061A">
        <w:t>, given significant changes since the original work, including Brexit and the COVID-19 pandemic,</w:t>
      </w:r>
      <w:r w:rsidRPr="00AF1333">
        <w:t xml:space="preserve"> which had substantial effects on the </w:t>
      </w:r>
      <w:r w:rsidR="00EA061A">
        <w:t>local, national and international economic outlook</w:t>
      </w:r>
      <w:r w:rsidRPr="00AF1333">
        <w:t xml:space="preserve">. A new transformational scenario was produced </w:t>
      </w:r>
      <w:r w:rsidR="00EA061A">
        <w:t xml:space="preserve">with an </w:t>
      </w:r>
      <w:r w:rsidRPr="00AF1333">
        <w:t xml:space="preserve">estimated ‘prize’ of increased GVA in the Northern Powerhouse economy </w:t>
      </w:r>
      <w:r w:rsidRPr="00AF1333">
        <w:lastRenderedPageBreak/>
        <w:t>of £118bn per year by 2050 above a business-as-usual scenario</w:t>
      </w:r>
      <w:r w:rsidR="00EA061A">
        <w:t>,</w:t>
      </w:r>
      <w:r w:rsidRPr="00AF1333">
        <w:t xml:space="preserve"> and an additional one million jobs</w:t>
      </w:r>
      <w:r w:rsidRPr="00AF1333">
        <w:rPr>
          <w:vertAlign w:val="superscript"/>
        </w:rPr>
        <w:footnoteReference w:id="5"/>
      </w:r>
      <w:r w:rsidRPr="00AF1333">
        <w:t>.</w:t>
      </w:r>
    </w:p>
    <w:p w14:paraId="50BA1E6D" w14:textId="537E49CB" w:rsidR="00AF1333" w:rsidRPr="00AF1333" w:rsidRDefault="00855917" w:rsidP="00AF1333">
      <w:pPr>
        <w:ind w:right="13"/>
      </w:pPr>
      <w:r>
        <w:t xml:space="preserve">The 2023 review improved upon the 2016 work </w:t>
      </w:r>
      <w:r w:rsidR="00AF1333" w:rsidRPr="00AF1333">
        <w:t>through the development of four scenarios focused on technology and innovation, inclusive productivity, development supply and net zero. Though the other scenarios, such as net zero, will require innovative activity, we focus on the technology and innovation scenario</w:t>
      </w:r>
      <w:r w:rsidR="00EA061A">
        <w:t xml:space="preserve"> here</w:t>
      </w:r>
      <w:r w:rsidR="00AF1333" w:rsidRPr="00AF1333">
        <w:t xml:space="preserve">. </w:t>
      </w:r>
      <w:r w:rsidR="008F2786" w:rsidRPr="00AF1333">
        <w:t>Like</w:t>
      </w:r>
      <w:r w:rsidR="00AF1333" w:rsidRPr="00AF1333">
        <w:t xml:space="preserve"> the 2016 NPIER, the 2023 review scenario focuses specifically on “increasing investment in R&amp;D”, “technology diffusion” and “capacity for adoption”</w:t>
      </w:r>
      <w:r w:rsidR="00AF1333" w:rsidRPr="00AF1333">
        <w:rPr>
          <w:vertAlign w:val="superscript"/>
        </w:rPr>
        <w:footnoteReference w:id="6"/>
      </w:r>
      <w:r w:rsidR="00AF1333" w:rsidRPr="00AF1333">
        <w:t xml:space="preserve">. </w:t>
      </w:r>
    </w:p>
    <w:p w14:paraId="7604BAD7" w14:textId="5016D9A5" w:rsidR="00AF1333" w:rsidRPr="00AF1333" w:rsidRDefault="00AF1333" w:rsidP="00AF1333">
      <w:pPr>
        <w:ind w:right="13"/>
      </w:pPr>
      <w:r w:rsidRPr="00AF1333">
        <w:t xml:space="preserve">In this report we will not repeat the analysis undertaken for this scenario other than to reference that £6bn per annum should be invested into technology and innovation [from public spending]. £3bn of this was allocated to “direct spending on research and innovation” with two examples provided of funding 20 new “institutes of research and training, incubators </w:t>
      </w:r>
      <w:bookmarkStart w:id="5" w:name="_Hlk199427168"/>
      <w:r w:rsidRPr="00AF1333">
        <w:t xml:space="preserve">accelerators or innovation hubs” and an increase in R&amp;D tax and expenditure credits. The remaining £3bn was then allocated to a matched funding pot for start-ups and SMEs targeted at “technology adoption, process improvement, product development, and market expansion, including support for exporting.” This investment of £6bn per annum was forecast to lead to additional GVA of £22bn per year above the baseline by 2050, the third highest of the four scenarios considered in the review, despite producing the greatest increase in productivity. The scenario is also forecast </w:t>
      </w:r>
      <w:bookmarkEnd w:id="5"/>
      <w:r w:rsidRPr="00AF1333">
        <w:t>to provide the lowest increase in total additional GVA between 2025 and 2050 (almost half the level of that forecast for the net zero scenario), has the second lowest cost-GVA and the lowest forecast total of potential increased government revenues.</w:t>
      </w:r>
    </w:p>
    <w:p w14:paraId="2E80B960" w14:textId="3A7EBADF" w:rsidR="00AF1333" w:rsidRPr="00AF1333" w:rsidRDefault="00AF1333" w:rsidP="00AF1333">
      <w:pPr>
        <w:ind w:right="13"/>
      </w:pPr>
      <w:r w:rsidRPr="00AF1333">
        <w:t>Taking a step back and casting a critical eye over these results, a total cost to total additional GVA ratio of 2.06 (£149bn vs £291bn) appears a poor return for an area that has such a direct a critical role in determining productivity gains</w:t>
      </w:r>
      <w:r w:rsidR="00763016">
        <w:t>.</w:t>
      </w:r>
      <w:r w:rsidRPr="00AF1333">
        <w:t xml:space="preserve"> This report therefore considers the innovation ecosystem, particularly in the North of England, how it impacts on productivity and what potential gains could be seen in future GVA increases. </w:t>
      </w:r>
    </w:p>
    <w:p w14:paraId="6CDB0441" w14:textId="77777777" w:rsidR="00B776E0" w:rsidRDefault="00B776E0" w:rsidP="00B776E0">
      <w:pPr>
        <w:pStyle w:val="NormalWeb"/>
        <w:shd w:val="clear" w:color="auto" w:fill="FFFFFF"/>
        <w:spacing w:before="0" w:beforeAutospacing="0" w:after="225" w:afterAutospacing="0"/>
        <w:jc w:val="both"/>
        <w:rPr>
          <w:rFonts w:ascii="Open Sans" w:hAnsi="Open Sans" w:cs="Open Sans"/>
          <w:color w:val="000000"/>
          <w:sz w:val="21"/>
          <w:szCs w:val="21"/>
        </w:rPr>
      </w:pPr>
    </w:p>
    <w:p w14:paraId="293F1E56" w14:textId="77777777" w:rsidR="00B776E0" w:rsidRDefault="00B776E0" w:rsidP="00B776E0">
      <w:pPr>
        <w:pStyle w:val="NormalWeb"/>
        <w:shd w:val="clear" w:color="auto" w:fill="FFFFFF"/>
        <w:spacing w:before="0" w:beforeAutospacing="0" w:after="225" w:afterAutospacing="0"/>
        <w:jc w:val="both"/>
        <w:rPr>
          <w:rFonts w:ascii="Open Sans" w:hAnsi="Open Sans" w:cs="Open Sans"/>
          <w:color w:val="000000"/>
          <w:sz w:val="21"/>
          <w:szCs w:val="21"/>
        </w:rPr>
      </w:pPr>
    </w:p>
    <w:p w14:paraId="757BA0AE" w14:textId="77777777" w:rsidR="00B776E0" w:rsidRDefault="00B776E0" w:rsidP="00B776E0">
      <w:pPr>
        <w:pStyle w:val="NormalWeb"/>
        <w:shd w:val="clear" w:color="auto" w:fill="FFFFFF"/>
        <w:spacing w:before="0" w:beforeAutospacing="0" w:after="225" w:afterAutospacing="0"/>
        <w:jc w:val="both"/>
        <w:rPr>
          <w:rFonts w:ascii="Open Sans" w:hAnsi="Open Sans" w:cs="Open Sans"/>
          <w:color w:val="000000"/>
          <w:sz w:val="21"/>
          <w:szCs w:val="21"/>
        </w:rPr>
      </w:pPr>
    </w:p>
    <w:p w14:paraId="3673CDD1" w14:textId="33D6CE9D" w:rsidR="00B776E0" w:rsidRPr="00881816" w:rsidRDefault="00FB398D" w:rsidP="00B776E0">
      <w:pPr>
        <w:pStyle w:val="Heading1"/>
      </w:pPr>
      <w:bookmarkStart w:id="6" w:name="_Toc129770436"/>
      <w:bookmarkStart w:id="7" w:name="_Toc129770891"/>
      <w:bookmarkStart w:id="8" w:name="_Toc129771188"/>
      <w:bookmarkStart w:id="9" w:name="_Toc201831794"/>
      <w:r>
        <w:lastRenderedPageBreak/>
        <w:t>/</w:t>
      </w:r>
      <w:r w:rsidR="00B776E0">
        <w:t>0</w:t>
      </w:r>
      <w:r>
        <w:t>3</w:t>
      </w:r>
      <w:r w:rsidR="00B776E0">
        <w:t xml:space="preserve">. </w:t>
      </w:r>
      <w:bookmarkEnd w:id="6"/>
      <w:bookmarkEnd w:id="7"/>
      <w:bookmarkEnd w:id="8"/>
      <w:r w:rsidR="00FC6A71" w:rsidRPr="00FC6A71">
        <w:t>Innovation in the North</w:t>
      </w:r>
      <w:r w:rsidR="002E4794">
        <w:t>:</w:t>
      </w:r>
      <w:r w:rsidR="00FC6A71" w:rsidRPr="00FC6A71">
        <w:t xml:space="preserve"> assets </w:t>
      </w:r>
      <w:r w:rsidR="002E4794">
        <w:t>and</w:t>
      </w:r>
      <w:r w:rsidR="00FC6A71" w:rsidRPr="00FC6A71">
        <w:t xml:space="preserve"> opportunities</w:t>
      </w:r>
      <w:bookmarkEnd w:id="9"/>
    </w:p>
    <w:p w14:paraId="5131305D" w14:textId="29A6F41C" w:rsidR="005C129B" w:rsidRPr="002B28AD" w:rsidRDefault="005C129B" w:rsidP="005C129B">
      <w:r w:rsidRPr="002B28AD">
        <w:t>The North of England is home to a range of universities including the N8 Group of research intensive</w:t>
      </w:r>
      <w:r w:rsidR="00243096">
        <w:t xml:space="preserve"> institutions</w:t>
      </w:r>
      <w:r w:rsidRPr="002B28AD">
        <w:t>, and significant industrial asserts across the prime capabilities</w:t>
      </w:r>
      <w:r w:rsidR="001426A5">
        <w:t>.</w:t>
      </w:r>
      <w:r w:rsidRPr="002B28AD">
        <w:t xml:space="preserve"> </w:t>
      </w:r>
      <w:r w:rsidR="001426A5">
        <w:t>F</w:t>
      </w:r>
      <w:r w:rsidRPr="002B28AD">
        <w:t>rom research through to innovation</w:t>
      </w:r>
      <w:r w:rsidR="001426A5">
        <w:t>,</w:t>
      </w:r>
      <w:r w:rsidRPr="002B28AD">
        <w:t xml:space="preserve"> there is a huge</w:t>
      </w:r>
      <w:r w:rsidR="001426A5">
        <w:t xml:space="preserve"> </w:t>
      </w:r>
      <w:r w:rsidRPr="002B28AD">
        <w:t xml:space="preserve">opportunity. However, there are several barriers and challenges which </w:t>
      </w:r>
      <w:r w:rsidR="001426A5">
        <w:t>inhibit</w:t>
      </w:r>
      <w:r w:rsidRPr="002B28AD">
        <w:t xml:space="preserve"> the innovation ecosystems of the North from reaching their full potential and playing </w:t>
      </w:r>
      <w:r w:rsidR="001426A5" w:rsidRPr="002B28AD">
        <w:t>their</w:t>
      </w:r>
      <w:r w:rsidRPr="002B28AD">
        <w:t xml:space="preserve"> role in increasing UK productivity.  </w:t>
      </w:r>
    </w:p>
    <w:p w14:paraId="4D0C8913" w14:textId="638DFAA2" w:rsidR="005C129B" w:rsidRPr="002B28AD" w:rsidRDefault="005C129B" w:rsidP="005C129B">
      <w:r w:rsidRPr="002B28AD">
        <w:t xml:space="preserve">Innovation through the creation of new products, optimisation of processes, innovation diffusion, and enhanced collaboration </w:t>
      </w:r>
      <w:r w:rsidR="00CE000A">
        <w:t>contributes</w:t>
      </w:r>
      <w:r w:rsidRPr="002B28AD">
        <w:t xml:space="preserve"> to long-term productivity growth</w:t>
      </w:r>
      <w:r w:rsidR="00CE000A">
        <w:t xml:space="preserve">. </w:t>
      </w:r>
      <w:r w:rsidRPr="002B28AD">
        <w:t>The importance of public and private investment in innovation is clea</w:t>
      </w:r>
      <w:r w:rsidR="00243096">
        <w:t>r; r</w:t>
      </w:r>
      <w:r w:rsidRPr="002B28AD">
        <w:t>esearch by the Innovation Caucus showed that for every £1 Innovate UK invests in businesses, there is a 73p increase in the VA of the recipient and this incentivises private investment. For every £1 of Innovate UK grant funding</w:t>
      </w:r>
      <w:r w:rsidR="00AD2289">
        <w:t>,</w:t>
      </w:r>
      <w:r w:rsidRPr="002B28AD">
        <w:t xml:space="preserve"> business R&amp;D spend increases by 34p</w:t>
      </w:r>
      <w:r w:rsidR="00F31357">
        <w:rPr>
          <w:rStyle w:val="FootnoteReference"/>
        </w:rPr>
        <w:footnoteReference w:id="7"/>
      </w:r>
      <w:r w:rsidRPr="002B28AD">
        <w:t xml:space="preserve">. </w:t>
      </w:r>
    </w:p>
    <w:p w14:paraId="3A7C4EC0" w14:textId="51495B21" w:rsidR="005C129B" w:rsidRPr="002B28AD" w:rsidRDefault="005C129B" w:rsidP="005C129B">
      <w:r w:rsidRPr="002B28AD">
        <w:t>Despite the UK’s undoubted strength in pure research</w:t>
      </w:r>
      <w:r w:rsidR="00AD2289">
        <w:t>, including both the Golden Triangle and the North, respectively, when it comes to commercialising innovations and diffusing them, we fall short and consequently fail to connect</w:t>
      </w:r>
      <w:r w:rsidRPr="002B28AD">
        <w:t xml:space="preserve"> </w:t>
      </w:r>
      <w:r w:rsidR="00AD2289" w:rsidRPr="002B28AD">
        <w:t>world-class</w:t>
      </w:r>
      <w:r w:rsidRPr="002B28AD">
        <w:t xml:space="preserve"> institutions to regional economic growth</w:t>
      </w:r>
      <w:r w:rsidR="005616BA">
        <w:t xml:space="preserve"> in a way that maximises their impact.</w:t>
      </w:r>
    </w:p>
    <w:p w14:paraId="0737141F" w14:textId="371FF9D8" w:rsidR="005C129B" w:rsidRPr="002B28AD" w:rsidRDefault="005C129B" w:rsidP="005C129B">
      <w:r w:rsidRPr="002B28AD">
        <w:t>In terms of the North of England’s strengths, research on patents data found that the North specialises in patents in chemistry, materials, textiles and process engineering</w:t>
      </w:r>
      <w:r w:rsidR="008A2156">
        <w:rPr>
          <w:rStyle w:val="FootnoteReference"/>
        </w:rPr>
        <w:footnoteReference w:id="8"/>
      </w:r>
      <w:r w:rsidRPr="002B28AD">
        <w:t>. Moreover, there are city region strengths in digital health information systems in West Yorkshire, offshore wind energy in the North East and chemicals and process industry in the North West</w:t>
      </w:r>
      <w:r w:rsidR="002E5121">
        <w:t>,</w:t>
      </w:r>
      <w:r w:rsidRPr="002B28AD">
        <w:t xml:space="preserve"> anchored by strong public entities/firms, </w:t>
      </w:r>
      <w:r w:rsidR="00243096">
        <w:t xml:space="preserve">which </w:t>
      </w:r>
      <w:r w:rsidRPr="002B28AD">
        <w:t>have developed research infrastructure and strong talent pools</w:t>
      </w:r>
      <w:r w:rsidR="008A2156">
        <w:rPr>
          <w:rStyle w:val="FootnoteReference"/>
        </w:rPr>
        <w:footnoteReference w:id="9"/>
      </w:r>
      <w:r w:rsidRPr="002B28AD">
        <w:t xml:space="preserve">. However, access to this talent and collaboration across the North is still constrained. There are lessons internationally, with Research and Technology Organisations set up to harness the distinctive characteristics of their respective regions. For example, the National Institute of Advanced Industrial Science and Technology (AIST) in Japan focuses on bridging the gap between innovation and commercialisation. This </w:t>
      </w:r>
      <w:r w:rsidRPr="002B28AD">
        <w:lastRenderedPageBreak/>
        <w:t>consists of regional research bases relevant to local industrial strengths, training, consulting and R&amp;D</w:t>
      </w:r>
      <w:r w:rsidR="008A2156">
        <w:rPr>
          <w:rStyle w:val="FootnoteReference"/>
        </w:rPr>
        <w:footnoteReference w:id="10"/>
      </w:r>
      <w:r w:rsidRPr="002B28AD">
        <w:t xml:space="preserve">. </w:t>
      </w:r>
    </w:p>
    <w:p w14:paraId="61970D98" w14:textId="57E69850" w:rsidR="00A10EC6" w:rsidRPr="002B28AD" w:rsidRDefault="005C129B" w:rsidP="005C129B">
      <w:r w:rsidRPr="002B28AD">
        <w:t xml:space="preserve">The Productivity Institute have made the case that examples such as the AIST demonstrate that the UK is missing regional institutes to support high value local industrial clusters </w:t>
      </w:r>
      <w:r w:rsidR="0062220A">
        <w:t xml:space="preserve">by </w:t>
      </w:r>
      <w:r w:rsidRPr="002B28AD">
        <w:t>focusing on innovation capability development in a broader sense than just research knowledge development</w:t>
      </w:r>
      <w:r w:rsidR="008A2156">
        <w:rPr>
          <w:rStyle w:val="FootnoteReference"/>
        </w:rPr>
        <w:footnoteReference w:id="11"/>
      </w:r>
      <w:r w:rsidRPr="002B28AD">
        <w:t>. This report hopes to capture those key industrial strengths for innovation and look at existing capabilities, such as the catapult network with the AMRC in Sheffield and Lancashire as well as the Offshore Renewable Energy catapult with locations in Blyth and Grimsby as part of its footprint across the UK.</w:t>
      </w:r>
    </w:p>
    <w:p w14:paraId="28A9955D" w14:textId="77777777" w:rsidR="00A10EC6" w:rsidRPr="00A10EC6" w:rsidRDefault="00A10EC6" w:rsidP="002B28AD">
      <w:pPr>
        <w:pStyle w:val="Heading2"/>
        <w:rPr>
          <w:rFonts w:eastAsia="Times New Roman"/>
        </w:rPr>
      </w:pPr>
      <w:r w:rsidRPr="00A10EC6">
        <w:rPr>
          <w:rFonts w:eastAsia="Times New Roman"/>
        </w:rPr>
        <w:t xml:space="preserve">Policy Choices </w:t>
      </w:r>
    </w:p>
    <w:p w14:paraId="122EDF87" w14:textId="0CEBE294" w:rsidR="00B776E0" w:rsidRDefault="002B265E" w:rsidP="005C129B">
      <w:r w:rsidRPr="002B265E">
        <w:t>Research policy has typically been conducted at a national level and followed the so-called excellence approach but has paid little attention to privately funded R&amp;D in places nor the industrial base in places. To stimulate regional economic growth, it has long been the view of the Northern Powerhouse Partnership that place-based innovation policy could better connect private and public sector capabilities than can be done nationally. The following table is not an exhaustive list but provides a good picture of the range of policy instruments previously used across innovation (so including R&amp;D right through to commercialisation and diffusion of technologies to make them more generally applied).</w:t>
      </w:r>
      <w:r w:rsidR="005C129B" w:rsidRPr="002B28AD">
        <w:t xml:space="preserve">  </w:t>
      </w:r>
    </w:p>
    <w:tbl>
      <w:tblPr>
        <w:tblStyle w:val="GridTable4"/>
        <w:tblW w:w="0" w:type="auto"/>
        <w:tblLayout w:type="fixed"/>
        <w:tblLook w:val="06A0" w:firstRow="1" w:lastRow="0" w:firstColumn="1" w:lastColumn="0" w:noHBand="1" w:noVBand="1"/>
      </w:tblPr>
      <w:tblGrid>
        <w:gridCol w:w="1654"/>
        <w:gridCol w:w="1620"/>
        <w:gridCol w:w="1964"/>
        <w:gridCol w:w="2892"/>
      </w:tblGrid>
      <w:tr w:rsidR="004A0EEC" w:rsidRPr="004A0EEC" w14:paraId="029F8784" w14:textId="77777777" w:rsidTr="004A0EE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54" w:type="dxa"/>
            <w:tcBorders>
              <w:top w:val="single" w:sz="8" w:space="0" w:color="241A40" w:themeColor="text1"/>
              <w:left w:val="single" w:sz="8" w:space="0" w:color="241A40" w:themeColor="text1"/>
              <w:bottom w:val="single" w:sz="8" w:space="0" w:color="241A40" w:themeColor="text1"/>
            </w:tcBorders>
            <w:shd w:val="clear" w:color="auto" w:fill="85BAC8" w:themeFill="accent1"/>
            <w:hideMark/>
          </w:tcPr>
          <w:p w14:paraId="642FC752" w14:textId="77777777" w:rsidR="004A0EEC" w:rsidRPr="004A0EEC" w:rsidRDefault="004A0EEC" w:rsidP="004A0EEC">
            <w:pPr>
              <w:spacing w:after="200" w:line="276" w:lineRule="auto"/>
            </w:pPr>
            <w:r w:rsidRPr="004A0EEC">
              <w:t xml:space="preserve">Policy </w:t>
            </w:r>
          </w:p>
        </w:tc>
        <w:tc>
          <w:tcPr>
            <w:tcW w:w="1620" w:type="dxa"/>
            <w:tcBorders>
              <w:top w:val="single" w:sz="8" w:space="0" w:color="241A40" w:themeColor="text1"/>
              <w:bottom w:val="single" w:sz="8" w:space="0" w:color="241A40" w:themeColor="text1"/>
            </w:tcBorders>
            <w:shd w:val="clear" w:color="auto" w:fill="85BAC8" w:themeFill="accent1"/>
            <w:hideMark/>
          </w:tcPr>
          <w:p w14:paraId="17FE7885" w14:textId="77777777" w:rsidR="004A0EEC" w:rsidRPr="004A0EEC" w:rsidRDefault="004A0EEC" w:rsidP="004A0EEC">
            <w:pPr>
              <w:spacing w:after="200" w:line="276" w:lineRule="auto"/>
              <w:cnfStyle w:val="100000000000" w:firstRow="1" w:lastRow="0" w:firstColumn="0" w:lastColumn="0" w:oddVBand="0" w:evenVBand="0" w:oddHBand="0" w:evenHBand="0" w:firstRowFirstColumn="0" w:firstRowLastColumn="0" w:lastRowFirstColumn="0" w:lastRowLastColumn="0"/>
            </w:pPr>
            <w:r w:rsidRPr="004A0EEC">
              <w:t>Summary</w:t>
            </w:r>
          </w:p>
        </w:tc>
        <w:tc>
          <w:tcPr>
            <w:tcW w:w="1964" w:type="dxa"/>
            <w:tcBorders>
              <w:top w:val="single" w:sz="8" w:space="0" w:color="241A40" w:themeColor="text1"/>
              <w:bottom w:val="single" w:sz="8" w:space="0" w:color="241A40" w:themeColor="text1"/>
            </w:tcBorders>
            <w:shd w:val="clear" w:color="auto" w:fill="85BAC8" w:themeFill="accent1"/>
            <w:hideMark/>
          </w:tcPr>
          <w:p w14:paraId="18625718" w14:textId="77777777" w:rsidR="004A0EEC" w:rsidRPr="004A0EEC" w:rsidRDefault="004A0EEC" w:rsidP="004A0EEC">
            <w:pPr>
              <w:spacing w:after="200" w:line="276" w:lineRule="auto"/>
              <w:cnfStyle w:val="100000000000" w:firstRow="1" w:lastRow="0" w:firstColumn="0" w:lastColumn="0" w:oddVBand="0" w:evenVBand="0" w:oddHBand="0" w:evenHBand="0" w:firstRowFirstColumn="0" w:firstRowLastColumn="0" w:lastRowFirstColumn="0" w:lastRowLastColumn="0"/>
            </w:pPr>
            <w:r w:rsidRPr="004A0EEC">
              <w:t>Benefits</w:t>
            </w:r>
          </w:p>
        </w:tc>
        <w:tc>
          <w:tcPr>
            <w:tcW w:w="2892" w:type="dxa"/>
            <w:tcBorders>
              <w:top w:val="single" w:sz="8" w:space="0" w:color="241A40" w:themeColor="text1"/>
              <w:bottom w:val="single" w:sz="8" w:space="0" w:color="241A40" w:themeColor="text1"/>
              <w:right w:val="single" w:sz="8" w:space="0" w:color="241A40" w:themeColor="text1"/>
            </w:tcBorders>
            <w:shd w:val="clear" w:color="auto" w:fill="85BAC8" w:themeFill="accent1"/>
            <w:hideMark/>
          </w:tcPr>
          <w:p w14:paraId="0FB3DFDB" w14:textId="77777777" w:rsidR="004A0EEC" w:rsidRPr="004A0EEC" w:rsidRDefault="004A0EEC" w:rsidP="004A0EEC">
            <w:pPr>
              <w:spacing w:after="200" w:line="276" w:lineRule="auto"/>
              <w:cnfStyle w:val="100000000000" w:firstRow="1" w:lastRow="0" w:firstColumn="0" w:lastColumn="0" w:oddVBand="0" w:evenVBand="0" w:oddHBand="0" w:evenHBand="0" w:firstRowFirstColumn="0" w:firstRowLastColumn="0" w:lastRowFirstColumn="0" w:lastRowLastColumn="0"/>
            </w:pPr>
            <w:r w:rsidRPr="004A0EEC">
              <w:t xml:space="preserve">Challenges </w:t>
            </w:r>
          </w:p>
        </w:tc>
      </w:tr>
      <w:tr w:rsidR="004A0EEC" w:rsidRPr="004A0EEC" w14:paraId="3CB1EDCC" w14:textId="77777777" w:rsidTr="004A0EEC">
        <w:trPr>
          <w:trHeight w:val="345"/>
        </w:trPr>
        <w:tc>
          <w:tcPr>
            <w:cnfStyle w:val="001000000000" w:firstRow="0" w:lastRow="0" w:firstColumn="1" w:lastColumn="0" w:oddVBand="0" w:evenVBand="0" w:oddHBand="0" w:evenHBand="0" w:firstRowFirstColumn="0" w:firstRowLastColumn="0" w:lastRowFirstColumn="0" w:lastRowLastColumn="0"/>
            <w:tcW w:w="1654" w:type="dxa"/>
            <w:tcBorders>
              <w:top w:val="single" w:sz="8" w:space="0" w:color="241A40" w:themeColor="text1"/>
              <w:left w:val="single" w:sz="8" w:space="0" w:color="666666"/>
              <w:bottom w:val="single" w:sz="8" w:space="0" w:color="666666"/>
              <w:right w:val="single" w:sz="8" w:space="0" w:color="666666"/>
            </w:tcBorders>
            <w:shd w:val="clear" w:color="auto" w:fill="FFFFFF" w:themeFill="background1"/>
            <w:hideMark/>
          </w:tcPr>
          <w:p w14:paraId="3D1E73D9" w14:textId="77777777" w:rsidR="004A0EEC" w:rsidRPr="004A0EEC" w:rsidRDefault="004A0EEC" w:rsidP="004A0EEC">
            <w:pPr>
              <w:spacing w:after="200" w:line="276" w:lineRule="auto"/>
            </w:pPr>
            <w:r w:rsidRPr="004A0EEC">
              <w:t>R&amp;D Tax Credits</w:t>
            </w:r>
          </w:p>
        </w:tc>
        <w:tc>
          <w:tcPr>
            <w:tcW w:w="1620" w:type="dxa"/>
            <w:tcBorders>
              <w:top w:val="single" w:sz="8" w:space="0" w:color="241A40" w:themeColor="text1"/>
              <w:left w:val="single" w:sz="8" w:space="0" w:color="666666"/>
              <w:bottom w:val="single" w:sz="8" w:space="0" w:color="666666"/>
              <w:right w:val="single" w:sz="8" w:space="0" w:color="666666"/>
            </w:tcBorders>
            <w:shd w:val="clear" w:color="auto" w:fill="FFFFFF" w:themeFill="background1"/>
            <w:hideMark/>
          </w:tcPr>
          <w:p w14:paraId="544F1BB5" w14:textId="14C0468A"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Allows businesses to deduct more than 100% of eligible R&amp;D costs from taxable profits</w:t>
            </w:r>
            <w:r w:rsidR="0062220A">
              <w:t>.</w:t>
            </w:r>
          </w:p>
        </w:tc>
        <w:tc>
          <w:tcPr>
            <w:tcW w:w="1964" w:type="dxa"/>
            <w:tcBorders>
              <w:top w:val="single" w:sz="8" w:space="0" w:color="241A40" w:themeColor="text1"/>
              <w:left w:val="single" w:sz="8" w:space="0" w:color="666666"/>
              <w:bottom w:val="single" w:sz="8" w:space="0" w:color="666666"/>
              <w:right w:val="single" w:sz="8" w:space="0" w:color="666666"/>
            </w:tcBorders>
            <w:shd w:val="clear" w:color="auto" w:fill="FFFFFF" w:themeFill="background1"/>
            <w:hideMark/>
          </w:tcPr>
          <w:p w14:paraId="26FA91C3" w14:textId="1D2AAD89"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Incentivises R&amp;D Spending</w:t>
            </w:r>
            <w:r w:rsidR="0062220A">
              <w:t>.</w:t>
            </w:r>
          </w:p>
          <w:p w14:paraId="75B6A97F" w14:textId="646BF88A"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Encourages investment</w:t>
            </w:r>
            <w:r w:rsidR="0062220A">
              <w:t>.</w:t>
            </w:r>
          </w:p>
          <w:p w14:paraId="7B916E29"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 xml:space="preserve"> </w:t>
            </w:r>
          </w:p>
        </w:tc>
        <w:tc>
          <w:tcPr>
            <w:tcW w:w="2892" w:type="dxa"/>
            <w:tcBorders>
              <w:top w:val="single" w:sz="8" w:space="0" w:color="241A40" w:themeColor="text1"/>
              <w:left w:val="single" w:sz="8" w:space="0" w:color="666666"/>
              <w:bottom w:val="single" w:sz="8" w:space="0" w:color="666666"/>
              <w:right w:val="single" w:sz="8" w:space="0" w:color="666666"/>
            </w:tcBorders>
            <w:shd w:val="clear" w:color="auto" w:fill="FFFFFF" w:themeFill="background1"/>
            <w:hideMark/>
          </w:tcPr>
          <w:p w14:paraId="153C1302" w14:textId="09502DB9"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Tax credits would be challenging to implement. If certain regions were given more generous tax breaks firms could register  activities there even if they don’t have significant economy activity in that area</w:t>
            </w:r>
            <w:r w:rsidR="008A2156">
              <w:rPr>
                <w:rStyle w:val="FootnoteReference"/>
              </w:rPr>
              <w:footnoteReference w:id="12"/>
            </w:r>
            <w:r w:rsidR="0062220A">
              <w:t>.</w:t>
            </w:r>
          </w:p>
        </w:tc>
      </w:tr>
      <w:tr w:rsidR="004A0EEC" w:rsidRPr="004A0EEC" w14:paraId="68432777" w14:textId="77777777" w:rsidTr="004A0EEC">
        <w:trPr>
          <w:trHeight w:val="330"/>
        </w:trPr>
        <w:tc>
          <w:tcPr>
            <w:cnfStyle w:val="001000000000" w:firstRow="0" w:lastRow="0" w:firstColumn="1" w:lastColumn="0" w:oddVBand="0" w:evenVBand="0" w:oddHBand="0" w:evenHBand="0" w:firstRowFirstColumn="0" w:firstRowLastColumn="0" w:lastRowFirstColumn="0" w:lastRowLastColumn="0"/>
            <w:tcW w:w="165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10FC7C2F" w14:textId="77777777" w:rsidR="004A0EEC" w:rsidRPr="004A0EEC" w:rsidRDefault="004A0EEC" w:rsidP="004A0EEC">
            <w:pPr>
              <w:spacing w:after="200" w:line="276" w:lineRule="auto"/>
            </w:pPr>
            <w:r w:rsidRPr="004A0EEC">
              <w:lastRenderedPageBreak/>
              <w:t>R&amp;D Spending</w:t>
            </w:r>
          </w:p>
        </w:tc>
        <w:tc>
          <w:tcPr>
            <w:tcW w:w="1620"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4134DF15" w14:textId="63F6DA96"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Government and Private Expenditure on R&amp;D</w:t>
            </w:r>
            <w:r w:rsidR="0062220A">
              <w:t>.</w:t>
            </w:r>
          </w:p>
        </w:tc>
        <w:tc>
          <w:tcPr>
            <w:tcW w:w="196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0DFA598C" w14:textId="4FD83897" w:rsidR="00F8484B"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Product Innovation</w:t>
            </w:r>
            <w:r w:rsidR="0062220A">
              <w:t>.</w:t>
            </w:r>
            <w:r w:rsidRPr="004A0EEC">
              <w:t xml:space="preserve"> </w:t>
            </w:r>
          </w:p>
          <w:p w14:paraId="70582FE9" w14:textId="19D65DC6"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Supports breakthroughs in research</w:t>
            </w:r>
            <w:r w:rsidR="0062220A">
              <w:t>.</w:t>
            </w:r>
            <w:r w:rsidRPr="004A0EEC">
              <w:t xml:space="preserve"> </w:t>
            </w:r>
          </w:p>
          <w:p w14:paraId="7644A1FA" w14:textId="102C982B"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Knowledge Spillovers</w:t>
            </w:r>
            <w:r w:rsidR="0062220A">
              <w:t>.</w:t>
            </w:r>
          </w:p>
          <w:p w14:paraId="4206EA36"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 xml:space="preserve"> </w:t>
            </w:r>
          </w:p>
        </w:tc>
        <w:tc>
          <w:tcPr>
            <w:tcW w:w="2892"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3DAD065E" w14:textId="34FFD385" w:rsidR="009C6F6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Unevenly distributed, most R&amp;D spending is concentrated in the Golden Triangle</w:t>
            </w:r>
            <w:r w:rsidR="008A2156">
              <w:rPr>
                <w:rStyle w:val="FootnoteReference"/>
              </w:rPr>
              <w:footnoteReference w:id="13"/>
            </w:r>
            <w:r w:rsidR="0062220A">
              <w:t>.</w:t>
            </w:r>
          </w:p>
          <w:p w14:paraId="74910B7A" w14:textId="556266EA"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Awards funding based on research excellence</w:t>
            </w:r>
            <w:r w:rsidR="008A2156">
              <w:rPr>
                <w:rStyle w:val="FootnoteReference"/>
              </w:rPr>
              <w:footnoteReference w:id="14"/>
            </w:r>
            <w:r w:rsidR="0062220A">
              <w:t>.</w:t>
            </w:r>
          </w:p>
          <w:p w14:paraId="7B723AB5" w14:textId="3B12F16E"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Factoring in the potential of place this leads to the ‘Matthew Effect’</w:t>
            </w:r>
            <w:r w:rsidR="008A2156">
              <w:rPr>
                <w:rStyle w:val="FootnoteReference"/>
              </w:rPr>
              <w:footnoteReference w:id="15"/>
            </w:r>
            <w:r w:rsidR="0062220A">
              <w:t>.</w:t>
            </w:r>
          </w:p>
        </w:tc>
      </w:tr>
      <w:tr w:rsidR="004A0EEC" w:rsidRPr="004A0EEC" w14:paraId="459910EC" w14:textId="77777777" w:rsidTr="004A0EEC">
        <w:trPr>
          <w:trHeight w:val="330"/>
        </w:trPr>
        <w:tc>
          <w:tcPr>
            <w:cnfStyle w:val="001000000000" w:firstRow="0" w:lastRow="0" w:firstColumn="1" w:lastColumn="0" w:oddVBand="0" w:evenVBand="0" w:oddHBand="0" w:evenHBand="0" w:firstRowFirstColumn="0" w:firstRowLastColumn="0" w:lastRowFirstColumn="0" w:lastRowLastColumn="0"/>
            <w:tcW w:w="165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734DE7DA" w14:textId="77777777" w:rsidR="004A0EEC" w:rsidRPr="004A0EEC" w:rsidRDefault="004A0EEC" w:rsidP="004A0EEC">
            <w:pPr>
              <w:spacing w:after="200" w:line="276" w:lineRule="auto"/>
            </w:pPr>
            <w:r w:rsidRPr="004A0EEC">
              <w:t>Catapult Centres</w:t>
            </w:r>
          </w:p>
        </w:tc>
        <w:tc>
          <w:tcPr>
            <w:tcW w:w="1620"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0EC49E6B"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Centres with R&amp;D facilities and technical expertise in varying fields.</w:t>
            </w:r>
          </w:p>
        </w:tc>
        <w:tc>
          <w:tcPr>
            <w:tcW w:w="196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6DAD259A" w14:textId="77777777" w:rsidR="005616BA"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Connects universities and businesses to commercialise ideas.</w:t>
            </w:r>
          </w:p>
          <w:p w14:paraId="21D6D870" w14:textId="268881A1" w:rsidR="001316DA" w:rsidRDefault="009F50AB" w:rsidP="004A0EEC">
            <w:pPr>
              <w:spacing w:after="200" w:line="276" w:lineRule="auto"/>
              <w:cnfStyle w:val="000000000000" w:firstRow="0" w:lastRow="0" w:firstColumn="0" w:lastColumn="0" w:oddVBand="0" w:evenVBand="0" w:oddHBand="0" w:evenHBand="0" w:firstRowFirstColumn="0" w:firstRowLastColumn="0" w:lastRowFirstColumn="0" w:lastRowLastColumn="0"/>
            </w:pPr>
            <w:r>
              <w:br/>
            </w:r>
            <w:r w:rsidR="004A0EEC" w:rsidRPr="004A0EEC">
              <w:t>Increases turnover of businesses and employment</w:t>
            </w:r>
            <w:hyperlink r:id="rId9" w:anchor="_ftn11" w:history="1">
              <w:r w:rsidR="004A0EEC" w:rsidRPr="004A0EEC">
                <w:rPr>
                  <w:rStyle w:val="Hyperlink"/>
                  <w:vertAlign w:val="superscript"/>
                </w:rPr>
                <w:t>[11]</w:t>
              </w:r>
            </w:hyperlink>
            <w:r w:rsidR="004A0EEC" w:rsidRPr="004A0EEC">
              <w:t>.</w:t>
            </w:r>
          </w:p>
          <w:p w14:paraId="5721BF29" w14:textId="496E26E4"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Potential to support regional growth.</w:t>
            </w:r>
          </w:p>
        </w:tc>
        <w:tc>
          <w:tcPr>
            <w:tcW w:w="2892"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1930C4DB" w14:textId="4A9CB609"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Rules for governing funding for innovation create barriers to collaboration.</w:t>
            </w:r>
          </w:p>
          <w:p w14:paraId="599BDE79" w14:textId="53288F5A" w:rsidR="0062220A"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Leveraged funding requirements place too much risk on industry</w:t>
            </w:r>
            <w:r w:rsidR="008A2156">
              <w:rPr>
                <w:rStyle w:val="FootnoteReference"/>
              </w:rPr>
              <w:footnoteReference w:id="16"/>
            </w:r>
          </w:p>
          <w:p w14:paraId="66C5995A" w14:textId="636AECA6"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Imbalance between competition and collaboration in UKRI, Innovation UK and Government frameworks which complicates collaboration between Catapults and Universities</w:t>
            </w:r>
            <w:r w:rsidR="008A2156">
              <w:rPr>
                <w:rStyle w:val="FootnoteReference"/>
              </w:rPr>
              <w:footnoteReference w:id="17"/>
            </w:r>
            <w:r w:rsidRPr="004A0EEC">
              <w:t>.</w:t>
            </w:r>
          </w:p>
        </w:tc>
      </w:tr>
      <w:tr w:rsidR="004A0EEC" w:rsidRPr="004A0EEC" w14:paraId="18590927" w14:textId="77777777" w:rsidTr="004A0EEC">
        <w:trPr>
          <w:trHeight w:val="345"/>
        </w:trPr>
        <w:tc>
          <w:tcPr>
            <w:cnfStyle w:val="001000000000" w:firstRow="0" w:lastRow="0" w:firstColumn="1" w:lastColumn="0" w:oddVBand="0" w:evenVBand="0" w:oddHBand="0" w:evenHBand="0" w:firstRowFirstColumn="0" w:firstRowLastColumn="0" w:lastRowFirstColumn="0" w:lastRowLastColumn="0"/>
            <w:tcW w:w="165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1C2B17E9" w14:textId="77777777" w:rsidR="004A0EEC" w:rsidRPr="004A0EEC" w:rsidRDefault="004A0EEC" w:rsidP="004A0EEC">
            <w:pPr>
              <w:spacing w:after="200" w:line="276" w:lineRule="auto"/>
            </w:pPr>
            <w:r w:rsidRPr="004A0EEC">
              <w:t>Patent Box Regime</w:t>
            </w:r>
          </w:p>
        </w:tc>
        <w:tc>
          <w:tcPr>
            <w:tcW w:w="1620"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3C4107E2"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 xml:space="preserve">Lower rate of corporation tax, 10%, for profits attributable </w:t>
            </w:r>
            <w:r w:rsidRPr="004A0EEC">
              <w:lastRenderedPageBreak/>
              <w:t xml:space="preserve">to patents or other IP. </w:t>
            </w:r>
          </w:p>
        </w:tc>
        <w:tc>
          <w:tcPr>
            <w:tcW w:w="196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25D83275"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lastRenderedPageBreak/>
              <w:t xml:space="preserve">Encourages businesses to patent and commercialise </w:t>
            </w:r>
            <w:r w:rsidRPr="004A0EEC">
              <w:lastRenderedPageBreak/>
              <w:t>innovations in the UK.</w:t>
            </w:r>
          </w:p>
        </w:tc>
        <w:tc>
          <w:tcPr>
            <w:tcW w:w="2892"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721485AC"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lastRenderedPageBreak/>
              <w:t xml:space="preserve"> </w:t>
            </w:r>
          </w:p>
        </w:tc>
      </w:tr>
      <w:tr w:rsidR="004A0EEC" w:rsidRPr="004A0EEC" w14:paraId="47FE4676" w14:textId="77777777" w:rsidTr="004A0EEC">
        <w:trPr>
          <w:trHeight w:val="330"/>
        </w:trPr>
        <w:tc>
          <w:tcPr>
            <w:cnfStyle w:val="001000000000" w:firstRow="0" w:lastRow="0" w:firstColumn="1" w:lastColumn="0" w:oddVBand="0" w:evenVBand="0" w:oddHBand="0" w:evenHBand="0" w:firstRowFirstColumn="0" w:firstRowLastColumn="0" w:lastRowFirstColumn="0" w:lastRowLastColumn="0"/>
            <w:tcW w:w="165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2AC0E5C6" w14:textId="77777777" w:rsidR="004A0EEC" w:rsidRPr="004A0EEC" w:rsidRDefault="004A0EEC" w:rsidP="004A0EEC">
            <w:pPr>
              <w:spacing w:after="200" w:line="276" w:lineRule="auto"/>
            </w:pPr>
            <w:r w:rsidRPr="004A0EEC">
              <w:t xml:space="preserve">Strength in Places Fund </w:t>
            </w:r>
          </w:p>
        </w:tc>
        <w:tc>
          <w:tcPr>
            <w:tcW w:w="1620"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453BB725"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UKRI competitive funding scheme with a place-based approach.</w:t>
            </w:r>
          </w:p>
        </w:tc>
        <w:tc>
          <w:tcPr>
            <w:tcW w:w="196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1EEDD498"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Supports place-based innovation.</w:t>
            </w:r>
          </w:p>
        </w:tc>
        <w:tc>
          <w:tcPr>
            <w:tcW w:w="2892"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25019001"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 xml:space="preserve"> </w:t>
            </w:r>
          </w:p>
        </w:tc>
      </w:tr>
      <w:tr w:rsidR="004A0EEC" w:rsidRPr="004A0EEC" w14:paraId="3BD71764" w14:textId="77777777" w:rsidTr="004A0EEC">
        <w:trPr>
          <w:trHeight w:val="90"/>
        </w:trPr>
        <w:tc>
          <w:tcPr>
            <w:cnfStyle w:val="001000000000" w:firstRow="0" w:lastRow="0" w:firstColumn="1" w:lastColumn="0" w:oddVBand="0" w:evenVBand="0" w:oddHBand="0" w:evenHBand="0" w:firstRowFirstColumn="0" w:firstRowLastColumn="0" w:lastRowFirstColumn="0" w:lastRowLastColumn="0"/>
            <w:tcW w:w="165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00E1FD61" w14:textId="77777777" w:rsidR="004A0EEC" w:rsidRPr="004A0EEC" w:rsidRDefault="004A0EEC" w:rsidP="004A0EEC">
            <w:pPr>
              <w:spacing w:after="200" w:line="276" w:lineRule="auto"/>
            </w:pPr>
            <w:r w:rsidRPr="004A0EEC">
              <w:t>Advanced Research +Innovation Agency (ARIA)</w:t>
            </w:r>
          </w:p>
        </w:tc>
        <w:tc>
          <w:tcPr>
            <w:tcW w:w="1620"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78C223EA" w14:textId="4BB2AB63"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R&amp;D funding agency located in London</w:t>
            </w:r>
            <w:r w:rsidR="0062220A">
              <w:t>.</w:t>
            </w:r>
          </w:p>
        </w:tc>
        <w:tc>
          <w:tcPr>
            <w:tcW w:w="196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4AE8B242"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Autonomy to operate at speed.</w:t>
            </w:r>
          </w:p>
        </w:tc>
        <w:tc>
          <w:tcPr>
            <w:tcW w:w="2892"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5C0B62B8"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Long-term impact and delivery challenges are not yet known.</w:t>
            </w:r>
          </w:p>
        </w:tc>
      </w:tr>
      <w:tr w:rsidR="004A0EEC" w:rsidRPr="004A0EEC" w14:paraId="5ECB5C9D" w14:textId="77777777" w:rsidTr="004A0EEC">
        <w:trPr>
          <w:trHeight w:val="90"/>
        </w:trPr>
        <w:tc>
          <w:tcPr>
            <w:cnfStyle w:val="001000000000" w:firstRow="0" w:lastRow="0" w:firstColumn="1" w:lastColumn="0" w:oddVBand="0" w:evenVBand="0" w:oddHBand="0" w:evenHBand="0" w:firstRowFirstColumn="0" w:firstRowLastColumn="0" w:lastRowFirstColumn="0" w:lastRowLastColumn="0"/>
            <w:tcW w:w="165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45A93C68" w14:textId="77777777" w:rsidR="004A0EEC" w:rsidRPr="004A0EEC" w:rsidRDefault="004A0EEC" w:rsidP="004A0EEC">
            <w:pPr>
              <w:spacing w:after="200" w:line="276" w:lineRule="auto"/>
            </w:pPr>
            <w:r w:rsidRPr="004A0EEC">
              <w:t>Innovation Accelerators</w:t>
            </w:r>
          </w:p>
        </w:tc>
        <w:tc>
          <w:tcPr>
            <w:tcW w:w="1620"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087F3CE6"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Pilot programme to support the West Midlands, Greater Manchester and Glasgow in becoming innovation centres. Investing £100 million across 26 projects.</w:t>
            </w:r>
          </w:p>
        </w:tc>
        <w:tc>
          <w:tcPr>
            <w:tcW w:w="196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144FF23D"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Enabled city regions to become competitive innovation centres.</w:t>
            </w:r>
          </w:p>
          <w:p w14:paraId="375BF127" w14:textId="2065D03B"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Attracting private investment. Glasgow’s £7.5m investment in Chemical Manufacturing has raised over £28m in funding from private investment</w:t>
            </w:r>
            <w:r w:rsidR="008A2156">
              <w:rPr>
                <w:rStyle w:val="FootnoteReference"/>
              </w:rPr>
              <w:footnoteReference w:id="18"/>
            </w:r>
            <w:r w:rsidRPr="004A0EEC">
              <w:t>.</w:t>
            </w:r>
          </w:p>
        </w:tc>
        <w:tc>
          <w:tcPr>
            <w:tcW w:w="2892"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5D3F41C7"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Long-term impact and delivery challenges are not yet known.</w:t>
            </w:r>
          </w:p>
        </w:tc>
      </w:tr>
      <w:tr w:rsidR="004A0EEC" w:rsidRPr="004A0EEC" w14:paraId="2C97864B" w14:textId="77777777" w:rsidTr="004A0EEC">
        <w:trPr>
          <w:trHeight w:val="90"/>
        </w:trPr>
        <w:tc>
          <w:tcPr>
            <w:cnfStyle w:val="001000000000" w:firstRow="0" w:lastRow="0" w:firstColumn="1" w:lastColumn="0" w:oddVBand="0" w:evenVBand="0" w:oddHBand="0" w:evenHBand="0" w:firstRowFirstColumn="0" w:firstRowLastColumn="0" w:lastRowFirstColumn="0" w:lastRowLastColumn="0"/>
            <w:tcW w:w="165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3AACCD66" w14:textId="77777777" w:rsidR="004A0EEC" w:rsidRPr="004A0EEC" w:rsidRDefault="004A0EEC" w:rsidP="004A0EEC">
            <w:pPr>
              <w:spacing w:after="200" w:line="276" w:lineRule="auto"/>
            </w:pPr>
            <w:r w:rsidRPr="004A0EEC">
              <w:t>Investment Zones</w:t>
            </w:r>
          </w:p>
        </w:tc>
        <w:tc>
          <w:tcPr>
            <w:tcW w:w="1620"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12509E25"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 xml:space="preserve">Six investment zones across England which gives areas a £160 million </w:t>
            </w:r>
            <w:r w:rsidRPr="004A0EEC">
              <w:lastRenderedPageBreak/>
              <w:t xml:space="preserve">envelope to catalyse growth and investment. </w:t>
            </w:r>
          </w:p>
        </w:tc>
        <w:tc>
          <w:tcPr>
            <w:tcW w:w="1964"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39CFADFC"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lastRenderedPageBreak/>
              <w:t>Encourages regional growth and region’s capitalising on their sectoral strengths.</w:t>
            </w:r>
          </w:p>
          <w:p w14:paraId="483B9528" w14:textId="3C66ADDE"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lastRenderedPageBreak/>
              <w:t xml:space="preserve"> Provide financial investment zones such as business rates relief, stamp duty tax relief, lower NI contributions</w:t>
            </w:r>
            <w:r w:rsidR="008A2156">
              <w:rPr>
                <w:rStyle w:val="FootnoteReference"/>
              </w:rPr>
              <w:footnoteReference w:id="19"/>
            </w:r>
          </w:p>
          <w:p w14:paraId="30D5F4E0"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 xml:space="preserve"> </w:t>
            </w:r>
          </w:p>
          <w:p w14:paraId="1B200AF2"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t>Stimulates private investment.</w:t>
            </w:r>
          </w:p>
        </w:tc>
        <w:tc>
          <w:tcPr>
            <w:tcW w:w="2892" w:type="dxa"/>
            <w:tcBorders>
              <w:top w:val="single" w:sz="8" w:space="0" w:color="666666"/>
              <w:left w:val="single" w:sz="8" w:space="0" w:color="666666"/>
              <w:bottom w:val="single" w:sz="8" w:space="0" w:color="666666"/>
              <w:right w:val="single" w:sz="8" w:space="0" w:color="666666"/>
            </w:tcBorders>
            <w:shd w:val="clear" w:color="auto" w:fill="FFFFFF" w:themeFill="background1"/>
            <w:hideMark/>
          </w:tcPr>
          <w:p w14:paraId="3750AA06" w14:textId="77777777" w:rsidR="004A0EEC" w:rsidRPr="004A0EEC" w:rsidRDefault="004A0EEC" w:rsidP="004A0EEC">
            <w:pPr>
              <w:spacing w:after="200" w:line="276" w:lineRule="auto"/>
              <w:cnfStyle w:val="000000000000" w:firstRow="0" w:lastRow="0" w:firstColumn="0" w:lastColumn="0" w:oddVBand="0" w:evenVBand="0" w:oddHBand="0" w:evenHBand="0" w:firstRowFirstColumn="0" w:firstRowLastColumn="0" w:lastRowFirstColumn="0" w:lastRowLastColumn="0"/>
            </w:pPr>
            <w:r w:rsidRPr="004A0EEC">
              <w:lastRenderedPageBreak/>
              <w:t>Long-term impact and delivery challenges are not yet known.</w:t>
            </w:r>
          </w:p>
        </w:tc>
      </w:tr>
    </w:tbl>
    <w:p w14:paraId="014B1DED" w14:textId="77777777" w:rsidR="00A76A9F" w:rsidRDefault="00A76A9F" w:rsidP="00136103"/>
    <w:p w14:paraId="6FCEE0C3" w14:textId="75E069A8" w:rsidR="004A0EEC" w:rsidRDefault="00644ECB" w:rsidP="00136103">
      <w:r>
        <w:t>O</w:t>
      </w:r>
      <w:r w:rsidR="00136103">
        <w:t>ne of the key factors of the effectiveness of these policies is absorptive capacity</w:t>
      </w:r>
      <w:r>
        <w:t>,</w:t>
      </w:r>
      <w:r w:rsidR="00136103">
        <w:t xml:space="preserve"> which is whether businesses and local economies have the skills, structure and capacity to adopt and implement innovations</w:t>
      </w:r>
      <w:r w:rsidR="009C53CB">
        <w:rPr>
          <w:rStyle w:val="FootnoteReference"/>
        </w:rPr>
        <w:footnoteReference w:id="20"/>
      </w:r>
      <w:r w:rsidR="00136103">
        <w:t>. As set out by the Institute for Government, innovation policy primarily focuses on R&amp;D</w:t>
      </w:r>
      <w:r w:rsidR="005541A4">
        <w:t>,</w:t>
      </w:r>
      <w:r w:rsidR="00136103">
        <w:t xml:space="preserve"> which mainly benefits manufacturing, high-tech and science-oriented firms. However, to drive up productivity it is likely more important to adopt existing technological innovations to improve company logistics</w:t>
      </w:r>
      <w:r w:rsidR="005541A4">
        <w:t>, for example</w:t>
      </w:r>
      <w:r w:rsidR="00136103">
        <w:t xml:space="preserve">. Therefore, policies to increase an </w:t>
      </w:r>
      <w:r w:rsidR="005541A4">
        <w:t>area's</w:t>
      </w:r>
      <w:r w:rsidR="00136103">
        <w:t xml:space="preserve"> absorptive capacity and encourage innovation diffusion within </w:t>
      </w:r>
      <w:r w:rsidR="005541A4">
        <w:t>its</w:t>
      </w:r>
      <w:r w:rsidR="00136103">
        <w:t xml:space="preserve"> foundational economy sectors are also relevant areas to consider.  </w:t>
      </w:r>
    </w:p>
    <w:p w14:paraId="25C431A0" w14:textId="72B0828A" w:rsidR="000F2DA6" w:rsidRDefault="000F2DA6">
      <w:r>
        <w:br w:type="page"/>
      </w:r>
    </w:p>
    <w:p w14:paraId="15EF262E" w14:textId="31C350AE" w:rsidR="000F2DA6" w:rsidRDefault="000F2DA6" w:rsidP="000F2DA6">
      <w:pPr>
        <w:pStyle w:val="Heading1"/>
      </w:pPr>
      <w:bookmarkStart w:id="10" w:name="_Toc201831795"/>
      <w:r>
        <w:lastRenderedPageBreak/>
        <w:t xml:space="preserve">/04. </w:t>
      </w:r>
      <w:r w:rsidR="00E72EA9" w:rsidRPr="00E72EA9">
        <w:t>R&amp;D Spending</w:t>
      </w:r>
      <w:bookmarkEnd w:id="10"/>
    </w:p>
    <w:p w14:paraId="4226E497" w14:textId="30CC66DE" w:rsidR="009B0AAE" w:rsidRPr="009B0AAE" w:rsidRDefault="009B0AAE" w:rsidP="009B0AAE">
      <w:r w:rsidRPr="009B0AAE">
        <w:t>R&amp;D is important for the UK economy for several reasons. Firstly, R&amp;D is considered a key driver of long-term economic growth</w:t>
      </w:r>
      <w:r w:rsidRPr="009B0AAE">
        <w:rPr>
          <w:vertAlign w:val="superscript"/>
        </w:rPr>
        <w:footnoteReference w:id="21"/>
      </w:r>
      <w:r w:rsidRPr="009B0AAE">
        <w:t>, which in turn is positively associated with better productivity outcomes</w:t>
      </w:r>
      <w:r w:rsidRPr="009B0AAE">
        <w:rPr>
          <w:vertAlign w:val="superscript"/>
        </w:rPr>
        <w:footnoteReference w:id="22"/>
      </w:r>
      <w:r w:rsidRPr="009B0AAE">
        <w:t xml:space="preserve"> and higher rates of innovation, measured by new patents and product development. Secondly, certain sectors such as </w:t>
      </w:r>
      <w:r w:rsidR="00FA5E29">
        <w:t>pharmaceuticals and technology have benefited</w:t>
      </w:r>
      <w:r w:rsidRPr="009B0AAE">
        <w:t xml:space="preserve"> from R&amp;D funding. For example, Rolls-Royce’s development of Small Modular Reactors (SMRs) is a major technological advancement in the renewables industry</w:t>
      </w:r>
      <w:r w:rsidR="00FA5E29">
        <w:t>. Initial</w:t>
      </w:r>
      <w:r w:rsidRPr="009B0AAE">
        <w:t xml:space="preserve"> public investment helped to demonstrate the viability of the technology, acting as a catalyst and accelerating the technological progress in the nuclear field. </w:t>
      </w:r>
      <w:r w:rsidR="00FA5E29">
        <w:t xml:space="preserve">Many other examples across emerging industries </w:t>
      </w:r>
      <w:r w:rsidRPr="009B0AAE">
        <w:t xml:space="preserve">can demonstrate the impact of R&amp;D spending in the UK, such as </w:t>
      </w:r>
      <w:r w:rsidR="00FA5E29">
        <w:t>Siemens’ role in Digital Twin Printing and the University of Manchester’s research in Graphene,</w:t>
      </w:r>
      <w:r w:rsidRPr="009B0AAE">
        <w:t xml:space="preserve"> leading to innovations in electronics and advanced materials.</w:t>
      </w:r>
    </w:p>
    <w:p w14:paraId="2D4DA269" w14:textId="00BD222F" w:rsidR="009B0AAE" w:rsidRPr="009B0AAE" w:rsidRDefault="009B0AAE" w:rsidP="009B0AAE">
      <w:r w:rsidRPr="009B0AAE">
        <w:t>R&amp;D in the UK has yielded significant advancements across various sectors, demonstrating a strong return on investment through innovation and job creation.</w:t>
      </w:r>
      <w:r w:rsidR="00204721" w:rsidRPr="00204721">
        <w:t xml:space="preserve"> </w:t>
      </w:r>
      <w:r w:rsidR="00204721">
        <w:t>Businesses engaged in R&amp;D and process or product innovation exhibit around 10% higher labour productivity, highlighting the significant economic return on investment in innovation.</w:t>
      </w:r>
      <w:r w:rsidR="00204721" w:rsidRPr="009B0AAE">
        <w:rPr>
          <w:vertAlign w:val="superscript"/>
        </w:rPr>
        <w:t xml:space="preserve"> </w:t>
      </w:r>
      <w:r w:rsidRPr="009B0AAE">
        <w:rPr>
          <w:vertAlign w:val="superscript"/>
        </w:rPr>
        <w:footnoteReference w:id="23"/>
      </w:r>
      <w:r w:rsidRPr="009B0AAE">
        <w:t xml:space="preserve">. The </w:t>
      </w:r>
      <w:r w:rsidR="00FA5E29">
        <w:t>UK's universities and research institutions consistently rank among the top globally, producing high-quality research outputs and fostering collaboration that enhances</w:t>
      </w:r>
      <w:r w:rsidRPr="009B0AAE">
        <w:t xml:space="preserve"> technological advancements. The UK produces around 15% of the world’s most cited research articles, despite only holding 0.9% of the world’s population</w:t>
      </w:r>
      <w:r w:rsidRPr="009B0AAE">
        <w:rPr>
          <w:vertAlign w:val="superscript"/>
        </w:rPr>
        <w:footnoteReference w:id="24"/>
      </w:r>
      <w:r w:rsidRPr="009B0AAE">
        <w:t xml:space="preserve">. </w:t>
      </w:r>
    </w:p>
    <w:p w14:paraId="4089B0AE" w14:textId="3F06193C" w:rsidR="00FA4C48" w:rsidRPr="00FA4C48" w:rsidRDefault="00FA4C48" w:rsidP="00B40625">
      <w:pPr>
        <w:pStyle w:val="Heading2"/>
      </w:pPr>
      <w:bookmarkStart w:id="11" w:name="_Toc365151819"/>
      <w:r w:rsidRPr="00FA4C48">
        <w:lastRenderedPageBreak/>
        <w:t xml:space="preserve">Figure </w:t>
      </w:r>
      <w:r w:rsidR="005411BA">
        <w:t>1</w:t>
      </w:r>
      <w:r w:rsidRPr="00FA4C48">
        <w:t>: Gross R&amp;D expenditure per capita (public and private)</w:t>
      </w:r>
      <w:bookmarkEnd w:id="11"/>
      <w:r w:rsidRPr="00FA4C48">
        <w:t xml:space="preserve"> </w:t>
      </w:r>
    </w:p>
    <w:p w14:paraId="7D4BE2D1" w14:textId="34C259B4" w:rsidR="00FA4C48" w:rsidRPr="00FA4C48" w:rsidRDefault="00FA4C48" w:rsidP="00FA4C48">
      <w:r w:rsidRPr="00FA4C48">
        <w:rPr>
          <w:noProof/>
        </w:rPr>
        <w:drawing>
          <wp:inline distT="0" distB="0" distL="0" distR="0" wp14:anchorId="3A614465" wp14:editId="49D2BDA6">
            <wp:extent cx="5727700" cy="6184900"/>
            <wp:effectExtent l="19050" t="19050" r="25400" b="25400"/>
            <wp:docPr id="2083710549" name="Picture 5" descr="A map of england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map of england with different colored area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6184900"/>
                    </a:xfrm>
                    <a:prstGeom prst="rect">
                      <a:avLst/>
                    </a:prstGeom>
                    <a:noFill/>
                    <a:ln w="15875" cmpd="sng">
                      <a:solidFill>
                        <a:srgbClr val="000000"/>
                      </a:solidFill>
                      <a:miter lim="800000"/>
                      <a:headEnd/>
                      <a:tailEnd/>
                    </a:ln>
                    <a:effectLst/>
                  </pic:spPr>
                </pic:pic>
              </a:graphicData>
            </a:graphic>
          </wp:inline>
        </w:drawing>
      </w:r>
      <w:r w:rsidRPr="00FA4C48">
        <w:t>Source: UK Gross Expenditure on R&amp;D and ONS population estimates (2022)</w:t>
      </w:r>
    </w:p>
    <w:p w14:paraId="1969CDF7" w14:textId="74759992" w:rsidR="00A426F7" w:rsidRPr="00A426F7" w:rsidRDefault="00A426F7" w:rsidP="00A426F7">
      <w:r w:rsidRPr="00A426F7">
        <w:t xml:space="preserve">In 2022, gross expenditure on research and development in England stood at £63bn. Over 62% of this expenditure belonged to the Golden Triangle area of the South East, East of England and London, with London alone accounting for 22%. Conversely, the North of England </w:t>
      </w:r>
      <w:r w:rsidR="00FA5E29">
        <w:t>comprised</w:t>
      </w:r>
      <w:r w:rsidRPr="00A426F7">
        <w:t xml:space="preserve"> 17% of this figure</w:t>
      </w:r>
      <w:r w:rsidR="00FA5E29">
        <w:t>,</w:t>
      </w:r>
      <w:r w:rsidRPr="00A426F7">
        <w:t xml:space="preserve"> with the North West accounting for 10%. The North East had the lowest proportion in England for R&amp;D expenditure</w:t>
      </w:r>
      <w:r w:rsidR="00F50D70">
        <w:t>,</w:t>
      </w:r>
      <w:r w:rsidRPr="00A426F7">
        <w:t xml:space="preserve"> accounting for just 2%. Given the differing sizes of each region, adjusting to measure on a per capita </w:t>
      </w:r>
      <w:r w:rsidR="00FA5E29">
        <w:t xml:space="preserve">basis </w:t>
      </w:r>
      <w:r w:rsidRPr="00A426F7">
        <w:t xml:space="preserve">still </w:t>
      </w:r>
      <w:r w:rsidRPr="00A426F7">
        <w:lastRenderedPageBreak/>
        <w:t xml:space="preserve">highlights clear disparities in gross R&amp;D expenditure. As shown on the map above, R&amp;D expenditure in the East of England is £1,991 per capita. This is twice as high as the North’s top-performing </w:t>
      </w:r>
      <w:r w:rsidR="00FA5E29" w:rsidRPr="00A426F7">
        <w:t>region, the</w:t>
      </w:r>
      <w:r w:rsidRPr="00A426F7">
        <w:t xml:space="preserve"> North West, where per capita expenditure is £865. Overall, England’s average R&amp;D expenditure per capita is £1,017 which is clearly driven by the Golden Triangle regions. The average when these regions are removed is £716 per capita which means the only region in the North which performs above average compared to more similar counterparts is the North West at £865. </w:t>
      </w:r>
    </w:p>
    <w:p w14:paraId="114B0988" w14:textId="77777777" w:rsidR="00172627" w:rsidRDefault="00A426F7" w:rsidP="00A426F7">
      <w:pPr>
        <w:rPr>
          <w:highlight w:val="yellow"/>
        </w:rPr>
      </w:pPr>
      <w:r w:rsidRPr="00A426F7">
        <w:t>Research by Richard Jones and Tom Forth in ‘The missing £4bn’</w:t>
      </w:r>
      <w:r w:rsidR="009C53CB">
        <w:rPr>
          <w:rStyle w:val="FootnoteReference"/>
        </w:rPr>
        <w:footnoteReference w:id="25"/>
      </w:r>
      <w:r w:rsidR="009C53CB">
        <w:t xml:space="preserve"> </w:t>
      </w:r>
      <w:r w:rsidRPr="00A426F7">
        <w:t>highlighted the mismatch between the amount spent in different regions, and how in Scotland</w:t>
      </w:r>
      <w:r w:rsidR="009144F2">
        <w:t>,</w:t>
      </w:r>
      <w:r w:rsidRPr="00A426F7">
        <w:t xml:space="preserve"> for example</w:t>
      </w:r>
      <w:r w:rsidR="009144F2">
        <w:t>,</w:t>
      </w:r>
      <w:r w:rsidRPr="00A426F7">
        <w:t xml:space="preserve"> as well as in London</w:t>
      </w:r>
      <w:r w:rsidR="009144F2">
        <w:t>,</w:t>
      </w:r>
      <w:r w:rsidRPr="00A426F7">
        <w:t xml:space="preserve"> private investment was low compared to the significant public funds invested</w:t>
      </w:r>
      <w:r w:rsidRPr="00172627">
        <w:t>. In the No</w:t>
      </w:r>
      <w:r w:rsidR="009144F2" w:rsidRPr="00172627">
        <w:t>r</w:t>
      </w:r>
      <w:r w:rsidRPr="00172627">
        <w:t xml:space="preserve">th West, most notably in Cheshire, the reverse </w:t>
      </w:r>
      <w:r w:rsidR="001E25AA" w:rsidRPr="00172627">
        <w:t>was</w:t>
      </w:r>
      <w:r w:rsidRPr="00172627">
        <w:t xml:space="preserve"> true. </w:t>
      </w:r>
    </w:p>
    <w:p w14:paraId="0B0F40D8" w14:textId="5A7E7DD1" w:rsidR="00A426F7" w:rsidRPr="00A426F7" w:rsidRDefault="00172627" w:rsidP="00A426F7">
      <w:r w:rsidRPr="00172627">
        <w:t xml:space="preserve">Updated data and decisions </w:t>
      </w:r>
      <w:r w:rsidR="007F44B7">
        <w:t xml:space="preserve">since </w:t>
      </w:r>
      <w:r w:rsidRPr="00172627">
        <w:t>locating the</w:t>
      </w:r>
      <w:r w:rsidR="00A426F7" w:rsidRPr="00172627">
        <w:t xml:space="preserve"> Crick in London as just one example, have </w:t>
      </w:r>
      <w:r w:rsidR="007F44B7">
        <w:t>helped London to increase its private R&amp;D investment levels</w:t>
      </w:r>
      <w:r w:rsidRPr="00172627">
        <w:rPr>
          <w:rStyle w:val="FootnoteReference"/>
        </w:rPr>
        <w:footnoteReference w:id="26"/>
      </w:r>
      <w:r w:rsidR="00A426F7" w:rsidRPr="00172627">
        <w:t>. National institutions can be anywhere in the UK</w:t>
      </w:r>
      <w:r w:rsidR="001E25AA" w:rsidRPr="00172627">
        <w:t>, and the placing of these largely in London has crowded in private investment. The</w:t>
      </w:r>
      <w:r w:rsidR="001E25AA">
        <w:t xml:space="preserve"> positive case </w:t>
      </w:r>
      <w:r w:rsidR="00C30ADD">
        <w:t xml:space="preserve">that </w:t>
      </w:r>
      <w:r w:rsidR="001E25AA">
        <w:t xml:space="preserve">we at the Northern Powerhouse Partnership will advance is that placing </w:t>
      </w:r>
      <w:r w:rsidR="00625793">
        <w:t>ambitious bets from the public sector can and will draw in more private</w:t>
      </w:r>
      <w:r w:rsidR="001E25AA">
        <w:t xml:space="preserve"> investment than would otherwise happen</w:t>
      </w:r>
      <w:r w:rsidR="007F44B7">
        <w:t>, which means that a lack of private R&amp;D in a particular region can be addressed</w:t>
      </w:r>
      <w:r w:rsidR="001E25AA">
        <w:t xml:space="preserve">. </w:t>
      </w:r>
    </w:p>
    <w:p w14:paraId="100C84DD" w14:textId="7BF2BE10" w:rsidR="00B40625" w:rsidRPr="00B40625" w:rsidRDefault="00B40625" w:rsidP="00B40625">
      <w:pPr>
        <w:pStyle w:val="Heading2"/>
      </w:pPr>
      <w:bookmarkStart w:id="12" w:name="_Toc453777496"/>
      <w:r w:rsidRPr="00B40625">
        <w:lastRenderedPageBreak/>
        <w:t xml:space="preserve">Figure </w:t>
      </w:r>
      <w:r w:rsidR="005411BA">
        <w:t>2</w:t>
      </w:r>
      <w:r w:rsidRPr="00B40625">
        <w:t>: R&amp;D Expenditure by sector of performance, 2022</w:t>
      </w:r>
      <w:bookmarkEnd w:id="12"/>
    </w:p>
    <w:p w14:paraId="4B51D3C6" w14:textId="2AD3DAE6" w:rsidR="00B40625" w:rsidRPr="00B40625" w:rsidRDefault="00B40625" w:rsidP="00B40625">
      <w:r w:rsidRPr="00B40625">
        <w:rPr>
          <w:noProof/>
        </w:rPr>
        <w:drawing>
          <wp:inline distT="0" distB="0" distL="0" distR="0" wp14:anchorId="7F53A032" wp14:editId="26D22C08">
            <wp:extent cx="5722620" cy="3535680"/>
            <wp:effectExtent l="0" t="0" r="0" b="7620"/>
            <wp:docPr id="2123455804" name="Picture 7" descr="A graph showing the amount of income p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55804" name="Picture 7" descr="A graph showing the amount of income per perso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3535680"/>
                    </a:xfrm>
                    <a:prstGeom prst="rect">
                      <a:avLst/>
                    </a:prstGeom>
                    <a:noFill/>
                    <a:ln>
                      <a:noFill/>
                    </a:ln>
                  </pic:spPr>
                </pic:pic>
              </a:graphicData>
            </a:graphic>
          </wp:inline>
        </w:drawing>
      </w:r>
      <w:r w:rsidRPr="00B40625">
        <w:t>Source: UK Gross Expenditure on research and development,</w:t>
      </w:r>
      <w:r w:rsidR="00FB7A36">
        <w:t xml:space="preserve"> </w:t>
      </w:r>
      <w:r w:rsidRPr="00B40625">
        <w:t>2022</w:t>
      </w:r>
    </w:p>
    <w:p w14:paraId="33D06D23" w14:textId="026B6BD4" w:rsidR="00E72EA9" w:rsidRPr="00C30ADD" w:rsidRDefault="00B40625" w:rsidP="00E72EA9">
      <w:pPr>
        <w:rPr>
          <w:b/>
          <w:bCs/>
        </w:rPr>
      </w:pPr>
      <w:r w:rsidRPr="00C30ADD">
        <w:rPr>
          <w:b/>
          <w:bCs/>
        </w:rPr>
        <w:t>Business and public components of R&amp;D spending</w:t>
      </w:r>
    </w:p>
    <w:p w14:paraId="3A3204C8" w14:textId="77777777" w:rsidR="007F44B7" w:rsidRDefault="00244B0A">
      <w:r w:rsidRPr="00244B0A">
        <w:t xml:space="preserve">As seen in the graph above, both public and privately funded R&amp;D expenditure is focused in the </w:t>
      </w:r>
      <w:r w:rsidR="00C30ADD">
        <w:t>G</w:t>
      </w:r>
      <w:r w:rsidRPr="00244B0A">
        <w:t xml:space="preserve">olden </w:t>
      </w:r>
      <w:r w:rsidR="00C30ADD">
        <w:t>T</w:t>
      </w:r>
      <w:r w:rsidRPr="00244B0A">
        <w:t xml:space="preserve">riangle. Despite the fact that the majority </w:t>
      </w:r>
      <w:r w:rsidR="00FB7A36">
        <w:t xml:space="preserve">(63%) </w:t>
      </w:r>
      <w:r w:rsidRPr="00244B0A">
        <w:t>of privately funded R&amp;D goes into the East of England, London and the South Eas</w:t>
      </w:r>
      <w:r w:rsidR="00FB7A36">
        <w:t xml:space="preserve">t, </w:t>
      </w:r>
      <w:r w:rsidRPr="00244B0A">
        <w:t xml:space="preserve">the majority </w:t>
      </w:r>
      <w:r w:rsidR="00FB7A36">
        <w:t>(66%)</w:t>
      </w:r>
      <w:r w:rsidRPr="00244B0A">
        <w:t xml:space="preserve"> of public R&amp;D expenditure is also targeted into the same region. We need to critically examine if that produces the optimal outcome: is public R&amp;D in the </w:t>
      </w:r>
      <w:r w:rsidR="00C30ADD">
        <w:t>G</w:t>
      </w:r>
      <w:r w:rsidRPr="00244B0A">
        <w:t xml:space="preserve">olden </w:t>
      </w:r>
      <w:r w:rsidR="00C30ADD">
        <w:t>T</w:t>
      </w:r>
      <w:r w:rsidRPr="00244B0A">
        <w:t xml:space="preserve">riangle crowding out private expenditure, is the R&amp;D performed in this region significantly better than elsewhere in the country to justify this position, and should R&amp;D investment also be a feature of </w:t>
      </w:r>
      <w:r w:rsidR="00763016">
        <w:t>policies to rebalance regional economic disparities</w:t>
      </w:r>
      <w:r w:rsidRPr="00244B0A">
        <w:t xml:space="preserve"> given the positive spillover effects that can occur in local economies from innovative activities.</w:t>
      </w:r>
    </w:p>
    <w:p w14:paraId="70D37A29" w14:textId="5ABEC552" w:rsidR="007F44B7" w:rsidRPr="007F44B7" w:rsidRDefault="007F44B7">
      <w:pPr>
        <w:rPr>
          <w:b/>
          <w:bCs/>
        </w:rPr>
      </w:pPr>
      <w:r w:rsidRPr="007F44B7">
        <w:rPr>
          <w:b/>
          <w:bCs/>
        </w:rPr>
        <w:t>EU regional funding and innovation</w:t>
      </w:r>
    </w:p>
    <w:p w14:paraId="3B783BE0" w14:textId="77777777" w:rsidR="007F44B7" w:rsidRPr="007F44B7" w:rsidRDefault="007F44B7" w:rsidP="007F44B7">
      <w:r w:rsidRPr="007F44B7">
        <w:t>Innovation was one of the pillars of the 2014-20 EU funding programme, with lead authorities required to prepare a supporting ‘smart specialisation' strategy. In England these tended to be incorporated into local Strategic Economic Plans, agreed between government and Local Enterprise Partnership (or combined authorities) around 2014/15 and ostensibly plans for long term growth. Innovation</w:t>
      </w:r>
    </w:p>
    <w:p w14:paraId="0E9DE562" w14:textId="77777777" w:rsidR="007F44B7" w:rsidRPr="007F44B7" w:rsidRDefault="007F44B7" w:rsidP="007F44B7">
      <w:r w:rsidRPr="007F44B7">
        <w:t xml:space="preserve">With introduction of the Shared Prosperity Fund programme (The UK’s post-Brexit replacement for the EU regional funds), innovation was scaled back significantly, with </w:t>
      </w:r>
      <w:r w:rsidRPr="007F44B7">
        <w:lastRenderedPageBreak/>
        <w:t>university partners playing a much smaller role, to the extent that some have questioned the value of ongoing participation if SPF or something like was to continue in a similar way. Where SPF was devolved to the lowest administrative geography, a smaller proportion was allocated to innovation projects and a larger proportion allocated to “community and place” interventions. In addition, much shorter timescales and a decision to backload most of the SPF into year three of the programme, created difficulties in developing and managing a sustained programme of innovation work.</w:t>
      </w:r>
    </w:p>
    <w:p w14:paraId="6AE41EC4" w14:textId="127AD3DF" w:rsidR="007F44B7" w:rsidRPr="007F44B7" w:rsidRDefault="007F44B7" w:rsidP="007F44B7">
      <w:r w:rsidRPr="007F44B7">
        <w:t>In cash terms, the shift from the EU funding programme to SPF saw a reduction in the overall value of SPF compared with the EU funds combined with a reduction in the proportion of available funding invested in innovation. A freedom of information request by Northern Powerhouse Partnership revealed that the lead authorities that responded had assigned an overall 4.7% of core SPF to innovation projects</w:t>
      </w:r>
      <w:r>
        <w:t>.</w:t>
      </w:r>
      <w:r>
        <w:rPr>
          <w:rStyle w:val="FootnoteReference"/>
        </w:rPr>
        <w:footnoteReference w:id="27"/>
      </w:r>
      <w:r>
        <w:t xml:space="preserve"> </w:t>
      </w:r>
      <w:r w:rsidRPr="007F44B7">
        <w:t>Applying this % to the total England SPF allocation suggests a total of £24.9 million per year might be spent in England on “innovation” over the course of three years of SPF. In comparison, analysis of the EU funds</w:t>
      </w:r>
      <w:r>
        <w:rPr>
          <w:rStyle w:val="FootnoteReference"/>
        </w:rPr>
        <w:footnoteReference w:id="28"/>
      </w:r>
      <w:r>
        <w:t xml:space="preserve"> </w:t>
      </w:r>
      <w:r w:rsidRPr="007F44B7">
        <w:t>shows £86.6 million per year was allocated to “research an innovation” over the course of the seven-year programme. This is a clearly a large reduction and, while these overall funding figures are comparatively small compared to mainstream innovation budgets controlled by central government, the locally controlled funds meet a different need, often funding smaller projects targeted at supporting innovation and growth amongst SMEs rather than large ‘pure’ science programmes.</w:t>
      </w:r>
    </w:p>
    <w:p w14:paraId="77FCF0A7" w14:textId="77777777" w:rsidR="007F44B7" w:rsidRPr="007F44B7" w:rsidRDefault="007F44B7" w:rsidP="007F44B7"/>
    <w:p w14:paraId="788CE9E8" w14:textId="2BEE522E" w:rsidR="00244B0A" w:rsidRDefault="00244B0A">
      <w:r>
        <w:br w:type="page"/>
      </w:r>
    </w:p>
    <w:p w14:paraId="12E0A7FF" w14:textId="16B9D834" w:rsidR="00244B0A" w:rsidRDefault="00244B0A" w:rsidP="00244B0A">
      <w:pPr>
        <w:pStyle w:val="Heading1"/>
      </w:pPr>
      <w:bookmarkStart w:id="13" w:name="_Toc201831796"/>
      <w:r>
        <w:lastRenderedPageBreak/>
        <w:t>/05. Methodology</w:t>
      </w:r>
      <w:bookmarkEnd w:id="13"/>
    </w:p>
    <w:p w14:paraId="2FEB4E19" w14:textId="3C94C8F7" w:rsidR="00244B0A" w:rsidRDefault="00244B0A" w:rsidP="00244B0A">
      <w:pPr>
        <w:pStyle w:val="Heading2"/>
      </w:pPr>
      <w:r>
        <w:t>Productivity Framework</w:t>
      </w:r>
    </w:p>
    <w:p w14:paraId="56F27796" w14:textId="4351C850" w:rsidR="00914A13" w:rsidRPr="00914A13" w:rsidRDefault="00914A13" w:rsidP="00914A13">
      <w:r w:rsidRPr="00914A13">
        <w:t xml:space="preserve">Given that the aim of the NPIER and its innovation and technology scenario in the 2023 refresh was to see an improvement in productivity in the Northern Powerhouse economy, we have </w:t>
      </w:r>
      <w:r w:rsidR="0026747B">
        <w:t>worked</w:t>
      </w:r>
      <w:r w:rsidRPr="00914A13">
        <w:t xml:space="preserve"> with colleagues at Durham University to develop a productivity framework showing the key innovation factors that drive productivity. </w:t>
      </w:r>
      <w:r w:rsidR="0026747B">
        <w:t xml:space="preserve">A summary of these factors can be seen in Figure </w:t>
      </w:r>
      <w:r w:rsidR="005411BA">
        <w:t>3</w:t>
      </w:r>
      <w:r w:rsidR="0026747B">
        <w:t xml:space="preserve"> below, which covers</w:t>
      </w:r>
      <w:r w:rsidRPr="00914A13">
        <w:t xml:space="preserve"> technology, skills, absorptive capacity and structure. This is followed by Figure </w:t>
      </w:r>
      <w:r w:rsidR="005411BA">
        <w:t>4</w:t>
      </w:r>
      <w:r w:rsidR="0026747B">
        <w:t>,</w:t>
      </w:r>
      <w:r w:rsidRPr="00914A13">
        <w:t xml:space="preserve"> which illustrates the interactions between each </w:t>
      </w:r>
      <w:r w:rsidR="0026747B">
        <w:t>framework component</w:t>
      </w:r>
      <w:r w:rsidRPr="00914A13">
        <w:t>.</w:t>
      </w:r>
    </w:p>
    <w:p w14:paraId="70A1D860" w14:textId="266C4F50" w:rsidR="00C31383" w:rsidRPr="00C31383" w:rsidRDefault="00C31383" w:rsidP="00C31383">
      <w:pPr>
        <w:pStyle w:val="Heading2"/>
      </w:pPr>
      <w:bookmarkStart w:id="14" w:name="_Toc1976847264"/>
      <w:r w:rsidRPr="00C31383">
        <w:t xml:space="preserve">Figure </w:t>
      </w:r>
      <w:r w:rsidR="005411BA">
        <w:t>3</w:t>
      </w:r>
      <w:r w:rsidRPr="00C31383">
        <w:t>: Key Factors of Innovation</w:t>
      </w:r>
      <w:bookmarkEnd w:id="14"/>
    </w:p>
    <w:tbl>
      <w:tblPr>
        <w:tblStyle w:val="TableGrid"/>
        <w:tblW w:w="0" w:type="auto"/>
        <w:tblLayout w:type="fixed"/>
        <w:tblLook w:val="06A0" w:firstRow="1" w:lastRow="0" w:firstColumn="1" w:lastColumn="0" w:noHBand="1" w:noVBand="1"/>
      </w:tblPr>
      <w:tblGrid>
        <w:gridCol w:w="1418"/>
        <w:gridCol w:w="2238"/>
        <w:gridCol w:w="2453"/>
        <w:gridCol w:w="2589"/>
      </w:tblGrid>
      <w:tr w:rsidR="00C31383" w:rsidRPr="00C31383" w14:paraId="664C0361" w14:textId="77777777" w:rsidTr="00C31383">
        <w:trPr>
          <w:trHeight w:val="300"/>
        </w:trPr>
        <w:tc>
          <w:tcPr>
            <w:tcW w:w="1418" w:type="dxa"/>
            <w:tcBorders>
              <w:top w:val="single" w:sz="8" w:space="0" w:color="auto"/>
              <w:left w:val="single" w:sz="8" w:space="0" w:color="auto"/>
              <w:bottom w:val="single" w:sz="8" w:space="0" w:color="auto"/>
              <w:right w:val="single" w:sz="8" w:space="0" w:color="auto"/>
            </w:tcBorders>
            <w:shd w:val="clear" w:color="auto" w:fill="85BAC8" w:themeFill="accent1"/>
          </w:tcPr>
          <w:p w14:paraId="0BF6CDBF" w14:textId="77777777" w:rsidR="00C31383" w:rsidRPr="00C31383" w:rsidRDefault="00C31383" w:rsidP="00C31383">
            <w:pPr>
              <w:spacing w:after="200" w:line="276" w:lineRule="auto"/>
              <w:rPr>
                <w:b/>
                <w:bCs/>
              </w:rPr>
            </w:pPr>
          </w:p>
          <w:p w14:paraId="163FCDF7" w14:textId="77777777" w:rsidR="00C31383" w:rsidRPr="00C31383" w:rsidRDefault="00C31383" w:rsidP="00C31383">
            <w:pPr>
              <w:spacing w:after="200" w:line="276" w:lineRule="auto"/>
            </w:pPr>
            <w:r w:rsidRPr="00C31383">
              <w:rPr>
                <w:b/>
                <w:bCs/>
              </w:rPr>
              <w:t>Factor</w:t>
            </w:r>
          </w:p>
        </w:tc>
        <w:tc>
          <w:tcPr>
            <w:tcW w:w="2238" w:type="dxa"/>
            <w:tcBorders>
              <w:top w:val="single" w:sz="8" w:space="0" w:color="auto"/>
              <w:left w:val="single" w:sz="8" w:space="0" w:color="auto"/>
              <w:bottom w:val="single" w:sz="8" w:space="0" w:color="auto"/>
              <w:right w:val="single" w:sz="8" w:space="0" w:color="auto"/>
            </w:tcBorders>
            <w:shd w:val="clear" w:color="auto" w:fill="85BAC8" w:themeFill="accent1"/>
            <w:hideMark/>
          </w:tcPr>
          <w:p w14:paraId="28CD2B56" w14:textId="77777777" w:rsidR="00C31383" w:rsidRPr="00C31383" w:rsidRDefault="00C31383" w:rsidP="00C31383">
            <w:pPr>
              <w:spacing w:after="200" w:line="276" w:lineRule="auto"/>
            </w:pPr>
            <w:r w:rsidRPr="00C31383">
              <w:rPr>
                <w:b/>
                <w:bCs/>
              </w:rPr>
              <w:t xml:space="preserve"> </w:t>
            </w:r>
          </w:p>
          <w:p w14:paraId="62045B55" w14:textId="77777777" w:rsidR="00C31383" w:rsidRPr="00C31383" w:rsidRDefault="00C31383" w:rsidP="00C31383">
            <w:pPr>
              <w:spacing w:after="200" w:line="276" w:lineRule="auto"/>
            </w:pPr>
            <w:r w:rsidRPr="00C31383">
              <w:rPr>
                <w:b/>
                <w:bCs/>
              </w:rPr>
              <w:t>Summary</w:t>
            </w:r>
          </w:p>
        </w:tc>
        <w:tc>
          <w:tcPr>
            <w:tcW w:w="2453" w:type="dxa"/>
            <w:tcBorders>
              <w:top w:val="single" w:sz="8" w:space="0" w:color="auto"/>
              <w:left w:val="single" w:sz="8" w:space="0" w:color="auto"/>
              <w:bottom w:val="single" w:sz="8" w:space="0" w:color="auto"/>
              <w:right w:val="single" w:sz="8" w:space="0" w:color="auto"/>
            </w:tcBorders>
            <w:shd w:val="clear" w:color="auto" w:fill="85BAC8" w:themeFill="accent1"/>
            <w:hideMark/>
          </w:tcPr>
          <w:p w14:paraId="5C30A498" w14:textId="77777777" w:rsidR="00C31383" w:rsidRPr="00C31383" w:rsidRDefault="00C31383" w:rsidP="00C31383">
            <w:pPr>
              <w:spacing w:after="200" w:line="276" w:lineRule="auto"/>
            </w:pPr>
            <w:r w:rsidRPr="00C31383">
              <w:rPr>
                <w:b/>
                <w:bCs/>
              </w:rPr>
              <w:t xml:space="preserve"> </w:t>
            </w:r>
          </w:p>
          <w:p w14:paraId="51273774" w14:textId="77777777" w:rsidR="00C31383" w:rsidRPr="00C31383" w:rsidRDefault="00C31383" w:rsidP="00C31383">
            <w:pPr>
              <w:spacing w:after="200" w:line="276" w:lineRule="auto"/>
            </w:pPr>
            <w:r w:rsidRPr="00C31383">
              <w:rPr>
                <w:b/>
                <w:bCs/>
              </w:rPr>
              <w:t>Benefits</w:t>
            </w:r>
          </w:p>
        </w:tc>
        <w:tc>
          <w:tcPr>
            <w:tcW w:w="2589" w:type="dxa"/>
            <w:tcBorders>
              <w:top w:val="single" w:sz="8" w:space="0" w:color="auto"/>
              <w:left w:val="single" w:sz="8" w:space="0" w:color="auto"/>
              <w:bottom w:val="single" w:sz="8" w:space="0" w:color="auto"/>
              <w:right w:val="single" w:sz="8" w:space="0" w:color="auto"/>
            </w:tcBorders>
            <w:shd w:val="clear" w:color="auto" w:fill="85BAC8" w:themeFill="accent1"/>
            <w:hideMark/>
          </w:tcPr>
          <w:p w14:paraId="68874DFB" w14:textId="77777777" w:rsidR="00C31383" w:rsidRPr="00C31383" w:rsidRDefault="00C31383" w:rsidP="00C31383">
            <w:pPr>
              <w:spacing w:after="200" w:line="276" w:lineRule="auto"/>
            </w:pPr>
            <w:r w:rsidRPr="00C31383">
              <w:rPr>
                <w:b/>
                <w:bCs/>
              </w:rPr>
              <w:t xml:space="preserve"> </w:t>
            </w:r>
          </w:p>
          <w:p w14:paraId="29C78527" w14:textId="77777777" w:rsidR="00C31383" w:rsidRPr="00C31383" w:rsidRDefault="00C31383" w:rsidP="00C31383">
            <w:pPr>
              <w:spacing w:after="200" w:line="276" w:lineRule="auto"/>
            </w:pPr>
            <w:r w:rsidRPr="00C31383">
              <w:rPr>
                <w:b/>
                <w:bCs/>
              </w:rPr>
              <w:t xml:space="preserve">Challenges </w:t>
            </w:r>
          </w:p>
        </w:tc>
      </w:tr>
      <w:tr w:rsidR="00C31383" w:rsidRPr="00C31383" w14:paraId="2DDB5905" w14:textId="77777777" w:rsidTr="00C31383">
        <w:trPr>
          <w:trHeight w:val="300"/>
        </w:trPr>
        <w:tc>
          <w:tcPr>
            <w:tcW w:w="1418" w:type="dxa"/>
            <w:tcBorders>
              <w:top w:val="single" w:sz="8" w:space="0" w:color="auto"/>
              <w:left w:val="single" w:sz="8" w:space="0" w:color="auto"/>
              <w:bottom w:val="single" w:sz="8" w:space="0" w:color="auto"/>
              <w:right w:val="single" w:sz="8" w:space="0" w:color="auto"/>
            </w:tcBorders>
            <w:hideMark/>
          </w:tcPr>
          <w:p w14:paraId="0D2A94C1" w14:textId="77777777" w:rsidR="00C31383" w:rsidRPr="00C31383" w:rsidRDefault="00C31383" w:rsidP="00C31383">
            <w:pPr>
              <w:spacing w:after="200" w:line="276" w:lineRule="auto"/>
            </w:pPr>
            <w:r w:rsidRPr="00C31383">
              <w:rPr>
                <w:b/>
                <w:bCs/>
              </w:rPr>
              <w:t xml:space="preserve"> </w:t>
            </w:r>
          </w:p>
          <w:p w14:paraId="359974E6" w14:textId="77777777" w:rsidR="00C31383" w:rsidRPr="00C31383" w:rsidRDefault="00C31383" w:rsidP="00C31383">
            <w:pPr>
              <w:spacing w:after="200" w:line="276" w:lineRule="auto"/>
            </w:pPr>
            <w:r w:rsidRPr="00C31383">
              <w:rPr>
                <w:b/>
                <w:bCs/>
              </w:rPr>
              <w:t xml:space="preserve"> </w:t>
            </w:r>
          </w:p>
          <w:p w14:paraId="78C23108" w14:textId="77777777" w:rsidR="00216DBC" w:rsidRDefault="00C31383" w:rsidP="00C31383">
            <w:pPr>
              <w:spacing w:after="200" w:line="276" w:lineRule="auto"/>
            </w:pPr>
            <w:r w:rsidRPr="00C31383">
              <w:rPr>
                <w:b/>
                <w:bCs/>
              </w:rPr>
              <w:t xml:space="preserve"> </w:t>
            </w:r>
          </w:p>
          <w:p w14:paraId="7B22B449" w14:textId="17D59BAE" w:rsidR="00C31383" w:rsidRPr="00C31383" w:rsidRDefault="00C31383" w:rsidP="00C31383">
            <w:pPr>
              <w:spacing w:after="200" w:line="276" w:lineRule="auto"/>
            </w:pPr>
            <w:r w:rsidRPr="00C31383">
              <w:rPr>
                <w:b/>
                <w:bCs/>
              </w:rPr>
              <w:t>Technology</w:t>
            </w:r>
          </w:p>
        </w:tc>
        <w:tc>
          <w:tcPr>
            <w:tcW w:w="2238" w:type="dxa"/>
            <w:tcBorders>
              <w:top w:val="single" w:sz="8" w:space="0" w:color="auto"/>
              <w:left w:val="single" w:sz="8" w:space="0" w:color="auto"/>
              <w:bottom w:val="single" w:sz="8" w:space="0" w:color="auto"/>
              <w:right w:val="single" w:sz="8" w:space="0" w:color="auto"/>
            </w:tcBorders>
            <w:hideMark/>
          </w:tcPr>
          <w:p w14:paraId="7D6B4B0D" w14:textId="77777777" w:rsidR="00C31383" w:rsidRPr="00C31383" w:rsidRDefault="00C31383" w:rsidP="00C31383">
            <w:pPr>
              <w:spacing w:after="200" w:line="276" w:lineRule="auto"/>
            </w:pPr>
            <w:r w:rsidRPr="00C31383">
              <w:t>A crucial driver of productivity in value chains. Tools and systems (e.g., AI, IoT, automation) optimize processes, reduce costs, and improve decision-making.</w:t>
            </w:r>
          </w:p>
        </w:tc>
        <w:tc>
          <w:tcPr>
            <w:tcW w:w="2453" w:type="dxa"/>
            <w:tcBorders>
              <w:top w:val="single" w:sz="8" w:space="0" w:color="auto"/>
              <w:left w:val="single" w:sz="8" w:space="0" w:color="auto"/>
              <w:bottom w:val="single" w:sz="8" w:space="0" w:color="auto"/>
              <w:right w:val="single" w:sz="8" w:space="0" w:color="auto"/>
            </w:tcBorders>
            <w:hideMark/>
          </w:tcPr>
          <w:p w14:paraId="182B3FB7" w14:textId="77777777" w:rsidR="00C31383" w:rsidRPr="00C31383" w:rsidRDefault="00C31383" w:rsidP="00C31383">
            <w:pPr>
              <w:spacing w:after="200" w:line="276" w:lineRule="auto"/>
            </w:pPr>
            <w:r w:rsidRPr="00C31383">
              <w:t xml:space="preserve">Facilitates automation, communication and data analysis. </w:t>
            </w:r>
          </w:p>
          <w:p w14:paraId="570CB4B5" w14:textId="622222D8" w:rsidR="00C31383" w:rsidRPr="00C31383" w:rsidRDefault="00C31383" w:rsidP="00C31383">
            <w:pPr>
              <w:spacing w:after="200" w:line="276" w:lineRule="auto"/>
            </w:pPr>
            <w:r w:rsidRPr="00C31383">
              <w:t>Streamlines operations and reduces costs</w:t>
            </w:r>
            <w:r w:rsidR="00C30ADD">
              <w:t>.</w:t>
            </w:r>
          </w:p>
          <w:p w14:paraId="6FB58848" w14:textId="4FEA84CB" w:rsidR="00C31383" w:rsidRPr="00C31383" w:rsidRDefault="00C31383" w:rsidP="00C31383">
            <w:pPr>
              <w:spacing w:after="200" w:line="276" w:lineRule="auto"/>
            </w:pPr>
            <w:r w:rsidRPr="00C31383">
              <w:t>Enables data-driven decision-making</w:t>
            </w:r>
            <w:r w:rsidR="00C30ADD">
              <w:t>.</w:t>
            </w:r>
            <w:r w:rsidRPr="00C31383">
              <w:br/>
            </w:r>
          </w:p>
        </w:tc>
        <w:tc>
          <w:tcPr>
            <w:tcW w:w="2589" w:type="dxa"/>
            <w:tcBorders>
              <w:top w:val="single" w:sz="8" w:space="0" w:color="auto"/>
              <w:left w:val="single" w:sz="8" w:space="0" w:color="auto"/>
              <w:bottom w:val="single" w:sz="8" w:space="0" w:color="auto"/>
              <w:right w:val="single" w:sz="8" w:space="0" w:color="auto"/>
            </w:tcBorders>
            <w:hideMark/>
          </w:tcPr>
          <w:p w14:paraId="223A2792" w14:textId="77777777" w:rsidR="00C31383" w:rsidRPr="00C31383" w:rsidRDefault="00C31383" w:rsidP="00C31383">
            <w:pPr>
              <w:spacing w:after="200" w:line="276" w:lineRule="auto"/>
            </w:pPr>
            <w:r w:rsidRPr="00C31383">
              <w:t>High initial costs, cybersecurity risks, and the need for maintenance.</w:t>
            </w:r>
          </w:p>
          <w:p w14:paraId="03BF52BA" w14:textId="4302B46F" w:rsidR="00C31383" w:rsidRPr="00C31383" w:rsidRDefault="00C31383" w:rsidP="00C31383">
            <w:pPr>
              <w:spacing w:after="200" w:line="276" w:lineRule="auto"/>
            </w:pPr>
            <w:r w:rsidRPr="00C31383">
              <w:t>Potential for job displacement</w:t>
            </w:r>
            <w:r w:rsidR="00C30ADD">
              <w:t>.</w:t>
            </w:r>
          </w:p>
          <w:p w14:paraId="5E6D9AE0" w14:textId="59D0E003" w:rsidR="00C31383" w:rsidRPr="00C31383" w:rsidRDefault="00C31383" w:rsidP="00C31383">
            <w:pPr>
              <w:spacing w:after="200" w:line="276" w:lineRule="auto"/>
            </w:pPr>
            <w:r w:rsidRPr="00C31383">
              <w:t>Requires a skilled workforce for adoption and infrastructure.</w:t>
            </w:r>
          </w:p>
        </w:tc>
      </w:tr>
      <w:tr w:rsidR="00C31383" w:rsidRPr="00C31383" w14:paraId="173C5525" w14:textId="77777777" w:rsidTr="00C31383">
        <w:trPr>
          <w:trHeight w:val="300"/>
        </w:trPr>
        <w:tc>
          <w:tcPr>
            <w:tcW w:w="1418" w:type="dxa"/>
            <w:tcBorders>
              <w:top w:val="single" w:sz="8" w:space="0" w:color="auto"/>
              <w:left w:val="single" w:sz="8" w:space="0" w:color="auto"/>
              <w:bottom w:val="single" w:sz="8" w:space="0" w:color="auto"/>
              <w:right w:val="single" w:sz="8" w:space="0" w:color="auto"/>
            </w:tcBorders>
            <w:hideMark/>
          </w:tcPr>
          <w:p w14:paraId="52F2DFE5" w14:textId="77777777" w:rsidR="00C31383" w:rsidRPr="00C31383" w:rsidRDefault="00C31383" w:rsidP="00C31383">
            <w:pPr>
              <w:spacing w:after="200" w:line="276" w:lineRule="auto"/>
            </w:pPr>
            <w:r w:rsidRPr="00C31383">
              <w:rPr>
                <w:b/>
                <w:bCs/>
              </w:rPr>
              <w:t xml:space="preserve"> </w:t>
            </w:r>
          </w:p>
          <w:p w14:paraId="4A842E2E" w14:textId="77777777" w:rsidR="00C31383" w:rsidRPr="00C31383" w:rsidRDefault="00C31383" w:rsidP="00C31383">
            <w:pPr>
              <w:spacing w:after="200" w:line="276" w:lineRule="auto"/>
            </w:pPr>
            <w:r w:rsidRPr="00C31383">
              <w:rPr>
                <w:b/>
                <w:bCs/>
              </w:rPr>
              <w:t xml:space="preserve"> </w:t>
            </w:r>
          </w:p>
          <w:p w14:paraId="4D633BD2" w14:textId="77777777" w:rsidR="00216DBC" w:rsidRDefault="00C31383" w:rsidP="00C31383">
            <w:pPr>
              <w:spacing w:after="200" w:line="276" w:lineRule="auto"/>
            </w:pPr>
            <w:r w:rsidRPr="00C31383">
              <w:rPr>
                <w:b/>
                <w:bCs/>
              </w:rPr>
              <w:t xml:space="preserve"> </w:t>
            </w:r>
          </w:p>
          <w:p w14:paraId="4DC4F839" w14:textId="4770CC87" w:rsidR="00C31383" w:rsidRPr="00C31383" w:rsidRDefault="00C31383" w:rsidP="00C31383">
            <w:pPr>
              <w:spacing w:after="200" w:line="276" w:lineRule="auto"/>
            </w:pPr>
            <w:r w:rsidRPr="00C31383">
              <w:rPr>
                <w:b/>
                <w:bCs/>
              </w:rPr>
              <w:t>Skills</w:t>
            </w:r>
          </w:p>
        </w:tc>
        <w:tc>
          <w:tcPr>
            <w:tcW w:w="2238" w:type="dxa"/>
            <w:tcBorders>
              <w:top w:val="single" w:sz="8" w:space="0" w:color="auto"/>
              <w:left w:val="single" w:sz="8" w:space="0" w:color="auto"/>
              <w:bottom w:val="single" w:sz="8" w:space="0" w:color="auto"/>
              <w:right w:val="single" w:sz="8" w:space="0" w:color="auto"/>
            </w:tcBorders>
            <w:hideMark/>
          </w:tcPr>
          <w:p w14:paraId="18738757" w14:textId="77777777" w:rsidR="00C31383" w:rsidRPr="00C31383" w:rsidRDefault="00C31383" w:rsidP="00C31383">
            <w:pPr>
              <w:spacing w:after="200" w:line="276" w:lineRule="auto"/>
            </w:pPr>
            <w:r w:rsidRPr="00C31383">
              <w:t>The expertise and capabilities of the workforce that enable efficient operations, innovation, and effective technology use.</w:t>
            </w:r>
          </w:p>
        </w:tc>
        <w:tc>
          <w:tcPr>
            <w:tcW w:w="2453" w:type="dxa"/>
            <w:tcBorders>
              <w:top w:val="single" w:sz="8" w:space="0" w:color="auto"/>
              <w:left w:val="single" w:sz="8" w:space="0" w:color="auto"/>
              <w:bottom w:val="single" w:sz="8" w:space="0" w:color="auto"/>
              <w:right w:val="single" w:sz="8" w:space="0" w:color="auto"/>
            </w:tcBorders>
          </w:tcPr>
          <w:p w14:paraId="231BC5E9" w14:textId="77777777" w:rsidR="00C31383" w:rsidRPr="00C31383" w:rsidRDefault="00C31383" w:rsidP="00C31383">
            <w:pPr>
              <w:spacing w:after="200" w:line="276" w:lineRule="auto"/>
            </w:pPr>
            <w:r w:rsidRPr="00C31383">
              <w:t>Increases operational efficiency and quality control.</w:t>
            </w:r>
          </w:p>
          <w:p w14:paraId="1C0D2789" w14:textId="3D2EBD30" w:rsidR="00C31383" w:rsidRPr="00C31383" w:rsidRDefault="00C31383" w:rsidP="00C31383">
            <w:pPr>
              <w:spacing w:after="200" w:line="276" w:lineRule="auto"/>
            </w:pPr>
            <w:r w:rsidRPr="00C31383">
              <w:t>Supports adoption of new technologies</w:t>
            </w:r>
            <w:r w:rsidR="00C30ADD">
              <w:t>.</w:t>
            </w:r>
          </w:p>
          <w:p w14:paraId="3C6AB524" w14:textId="451CBC12" w:rsidR="00C31383" w:rsidRPr="00C31383" w:rsidRDefault="00C31383" w:rsidP="00C31383">
            <w:pPr>
              <w:spacing w:after="200" w:line="276" w:lineRule="auto"/>
            </w:pPr>
            <w:r w:rsidRPr="00C31383">
              <w:t>Enhances problem-solving and adaptability</w:t>
            </w:r>
            <w:r w:rsidR="00C30ADD">
              <w:t>.</w:t>
            </w:r>
          </w:p>
        </w:tc>
        <w:tc>
          <w:tcPr>
            <w:tcW w:w="2589" w:type="dxa"/>
            <w:tcBorders>
              <w:top w:val="single" w:sz="8" w:space="0" w:color="auto"/>
              <w:left w:val="single" w:sz="8" w:space="0" w:color="auto"/>
              <w:bottom w:val="single" w:sz="8" w:space="0" w:color="auto"/>
              <w:right w:val="single" w:sz="8" w:space="0" w:color="auto"/>
            </w:tcBorders>
            <w:hideMark/>
          </w:tcPr>
          <w:p w14:paraId="64B40828" w14:textId="7A67CC03" w:rsidR="00C31383" w:rsidRPr="00C31383" w:rsidRDefault="00C31383" w:rsidP="00C31383">
            <w:pPr>
              <w:spacing w:after="200" w:line="276" w:lineRule="auto"/>
            </w:pPr>
            <w:r w:rsidRPr="00C31383">
              <w:t>Implementing knowledge and learning practices may face resistance to change</w:t>
            </w:r>
            <w:r w:rsidR="00C30ADD">
              <w:t>.</w:t>
            </w:r>
          </w:p>
          <w:p w14:paraId="0933C31E" w14:textId="7B0A883F" w:rsidR="00216DBC" w:rsidRDefault="00C31383" w:rsidP="00C31383">
            <w:pPr>
              <w:spacing w:after="200" w:line="276" w:lineRule="auto"/>
            </w:pPr>
            <w:r w:rsidRPr="00C31383">
              <w:t xml:space="preserve"> Skills shortages and mismatches and resistance to upskilling</w:t>
            </w:r>
            <w:r w:rsidR="00C30ADD">
              <w:t>.</w:t>
            </w:r>
          </w:p>
          <w:p w14:paraId="4B1C497E" w14:textId="5E19CE26" w:rsidR="00C31383" w:rsidRPr="00C31383" w:rsidRDefault="00C31383" w:rsidP="00C31383">
            <w:pPr>
              <w:spacing w:after="200" w:line="276" w:lineRule="auto"/>
            </w:pPr>
            <w:r w:rsidRPr="00C31383">
              <w:t>Funding of education and training</w:t>
            </w:r>
            <w:r w:rsidR="00C30ADD">
              <w:t>.</w:t>
            </w:r>
          </w:p>
        </w:tc>
      </w:tr>
      <w:tr w:rsidR="00C31383" w:rsidRPr="00C31383" w14:paraId="3EA4A9B4" w14:textId="77777777" w:rsidTr="00C31383">
        <w:trPr>
          <w:trHeight w:val="300"/>
        </w:trPr>
        <w:tc>
          <w:tcPr>
            <w:tcW w:w="1418" w:type="dxa"/>
            <w:tcBorders>
              <w:top w:val="single" w:sz="8" w:space="0" w:color="auto"/>
              <w:left w:val="single" w:sz="8" w:space="0" w:color="auto"/>
              <w:bottom w:val="single" w:sz="8" w:space="0" w:color="auto"/>
              <w:right w:val="single" w:sz="8" w:space="0" w:color="auto"/>
            </w:tcBorders>
            <w:hideMark/>
          </w:tcPr>
          <w:p w14:paraId="009B3547" w14:textId="77777777" w:rsidR="00C31383" w:rsidRPr="00C31383" w:rsidRDefault="00C31383" w:rsidP="00C31383">
            <w:pPr>
              <w:spacing w:after="200" w:line="276" w:lineRule="auto"/>
            </w:pPr>
            <w:r w:rsidRPr="00C31383">
              <w:rPr>
                <w:b/>
                <w:bCs/>
              </w:rPr>
              <w:lastRenderedPageBreak/>
              <w:t xml:space="preserve"> </w:t>
            </w:r>
          </w:p>
          <w:p w14:paraId="5D57872F" w14:textId="77777777" w:rsidR="00C31383" w:rsidRPr="00C31383" w:rsidRDefault="00C31383" w:rsidP="00C31383">
            <w:pPr>
              <w:spacing w:after="200" w:line="276" w:lineRule="auto"/>
            </w:pPr>
            <w:r w:rsidRPr="00C31383">
              <w:rPr>
                <w:b/>
                <w:bCs/>
              </w:rPr>
              <w:t xml:space="preserve"> </w:t>
            </w:r>
          </w:p>
          <w:p w14:paraId="01E9FE3B" w14:textId="77777777" w:rsidR="00C31383" w:rsidRPr="00C31383" w:rsidRDefault="00C31383" w:rsidP="00C31383">
            <w:pPr>
              <w:spacing w:after="200" w:line="276" w:lineRule="auto"/>
            </w:pPr>
            <w:r w:rsidRPr="00C31383">
              <w:rPr>
                <w:b/>
                <w:bCs/>
              </w:rPr>
              <w:t xml:space="preserve"> </w:t>
            </w:r>
          </w:p>
          <w:p w14:paraId="66787AEE" w14:textId="58AD3822" w:rsidR="00C31383" w:rsidRPr="00C31383" w:rsidRDefault="00C31383" w:rsidP="00C31383">
            <w:pPr>
              <w:spacing w:after="200" w:line="276" w:lineRule="auto"/>
            </w:pPr>
            <w:r w:rsidRPr="00C31383">
              <w:rPr>
                <w:b/>
                <w:bCs/>
              </w:rPr>
              <w:t xml:space="preserve"> Absorptive Capacity</w:t>
            </w:r>
          </w:p>
        </w:tc>
        <w:tc>
          <w:tcPr>
            <w:tcW w:w="2238" w:type="dxa"/>
            <w:tcBorders>
              <w:top w:val="single" w:sz="8" w:space="0" w:color="auto"/>
              <w:left w:val="single" w:sz="8" w:space="0" w:color="auto"/>
              <w:bottom w:val="single" w:sz="8" w:space="0" w:color="auto"/>
              <w:right w:val="single" w:sz="8" w:space="0" w:color="auto"/>
            </w:tcBorders>
            <w:hideMark/>
          </w:tcPr>
          <w:p w14:paraId="3710F22A" w14:textId="77777777" w:rsidR="00C31383" w:rsidRPr="00C31383" w:rsidRDefault="00C31383" w:rsidP="00C31383">
            <w:pPr>
              <w:spacing w:after="200" w:line="276" w:lineRule="auto"/>
            </w:pPr>
            <w:r w:rsidRPr="00C31383">
              <w:t xml:space="preserve">A firm’s ability to recognise, assimilate and apply external knowledge to enhance processes and innovation. </w:t>
            </w:r>
          </w:p>
        </w:tc>
        <w:tc>
          <w:tcPr>
            <w:tcW w:w="2453" w:type="dxa"/>
            <w:tcBorders>
              <w:top w:val="single" w:sz="8" w:space="0" w:color="auto"/>
              <w:left w:val="single" w:sz="8" w:space="0" w:color="auto"/>
              <w:bottom w:val="single" w:sz="8" w:space="0" w:color="auto"/>
              <w:right w:val="single" w:sz="8" w:space="0" w:color="auto"/>
            </w:tcBorders>
          </w:tcPr>
          <w:p w14:paraId="20270D87" w14:textId="77777777" w:rsidR="00C31383" w:rsidRPr="00C31383" w:rsidRDefault="00C31383" w:rsidP="00C31383">
            <w:pPr>
              <w:spacing w:after="200" w:line="276" w:lineRule="auto"/>
            </w:pPr>
            <w:r w:rsidRPr="00C31383">
              <w:t>Accelerates technology adoption.</w:t>
            </w:r>
          </w:p>
          <w:p w14:paraId="1F852CCD" w14:textId="04C65513" w:rsidR="00C31383" w:rsidRPr="00C31383" w:rsidRDefault="00C31383" w:rsidP="00C31383">
            <w:pPr>
              <w:spacing w:after="200" w:line="276" w:lineRule="auto"/>
            </w:pPr>
            <w:r w:rsidRPr="00C31383">
              <w:t>Increases ability to integrate new knowledge into value chain operations.</w:t>
            </w:r>
          </w:p>
          <w:p w14:paraId="53B9065C" w14:textId="77777777" w:rsidR="00C31383" w:rsidRPr="00C31383" w:rsidRDefault="00C31383" w:rsidP="00C31383">
            <w:pPr>
              <w:spacing w:after="200" w:line="276" w:lineRule="auto"/>
            </w:pPr>
            <w:r w:rsidRPr="00C31383">
              <w:t>Enhances adaptability and resilience.</w:t>
            </w:r>
          </w:p>
        </w:tc>
        <w:tc>
          <w:tcPr>
            <w:tcW w:w="2589" w:type="dxa"/>
            <w:tcBorders>
              <w:top w:val="single" w:sz="8" w:space="0" w:color="auto"/>
              <w:left w:val="single" w:sz="8" w:space="0" w:color="auto"/>
              <w:bottom w:val="single" w:sz="8" w:space="0" w:color="auto"/>
              <w:right w:val="single" w:sz="8" w:space="0" w:color="auto"/>
            </w:tcBorders>
            <w:hideMark/>
          </w:tcPr>
          <w:p w14:paraId="7C35CE1C" w14:textId="1F066BFC" w:rsidR="00C31383" w:rsidRPr="00C31383" w:rsidRDefault="00C31383" w:rsidP="00C31383">
            <w:pPr>
              <w:spacing w:after="200" w:line="276" w:lineRule="auto"/>
            </w:pPr>
            <w:r w:rsidRPr="00C31383">
              <w:t>Varied access to knowledge/research dependent on region and size of firms</w:t>
            </w:r>
            <w:r w:rsidR="00C30ADD">
              <w:t>.</w:t>
            </w:r>
          </w:p>
          <w:p w14:paraId="7003F212" w14:textId="546976C4" w:rsidR="00C31383" w:rsidRPr="00C31383" w:rsidRDefault="00C31383" w:rsidP="00C31383">
            <w:pPr>
              <w:spacing w:after="200" w:line="276" w:lineRule="auto"/>
            </w:pPr>
            <w:r w:rsidRPr="00C31383">
              <w:t>Requires a skilled workforce to absorb and apply new knowledge</w:t>
            </w:r>
            <w:r w:rsidR="00C30ADD">
              <w:t>.</w:t>
            </w:r>
          </w:p>
          <w:p w14:paraId="2AF2C60D" w14:textId="6CFE1D55" w:rsidR="00C31383" w:rsidRPr="00C31383" w:rsidRDefault="00C31383" w:rsidP="00C31383">
            <w:pPr>
              <w:spacing w:after="200" w:line="276" w:lineRule="auto"/>
            </w:pPr>
            <w:r w:rsidRPr="00C31383">
              <w:t>Necessitated by having the infrastructure to adapt</w:t>
            </w:r>
            <w:r w:rsidR="00C30ADD">
              <w:t>.</w:t>
            </w:r>
          </w:p>
        </w:tc>
      </w:tr>
      <w:tr w:rsidR="00C31383" w:rsidRPr="00C31383" w14:paraId="43971B92" w14:textId="77777777" w:rsidTr="00C31383">
        <w:trPr>
          <w:trHeight w:val="300"/>
        </w:trPr>
        <w:tc>
          <w:tcPr>
            <w:tcW w:w="1418" w:type="dxa"/>
            <w:tcBorders>
              <w:top w:val="single" w:sz="8" w:space="0" w:color="auto"/>
              <w:left w:val="single" w:sz="8" w:space="0" w:color="auto"/>
              <w:bottom w:val="single" w:sz="8" w:space="0" w:color="auto"/>
              <w:right w:val="single" w:sz="8" w:space="0" w:color="auto"/>
            </w:tcBorders>
            <w:hideMark/>
          </w:tcPr>
          <w:p w14:paraId="4E0F3515" w14:textId="77777777" w:rsidR="00C31383" w:rsidRPr="00C31383" w:rsidRDefault="00C31383" w:rsidP="00C31383">
            <w:pPr>
              <w:spacing w:after="200" w:line="276" w:lineRule="auto"/>
            </w:pPr>
            <w:r w:rsidRPr="00C31383">
              <w:rPr>
                <w:b/>
                <w:bCs/>
              </w:rPr>
              <w:t xml:space="preserve"> </w:t>
            </w:r>
          </w:p>
          <w:p w14:paraId="3874468A" w14:textId="77777777" w:rsidR="00C31383" w:rsidRPr="00C31383" w:rsidRDefault="00C31383" w:rsidP="00C31383">
            <w:pPr>
              <w:spacing w:after="200" w:line="276" w:lineRule="auto"/>
            </w:pPr>
            <w:r w:rsidRPr="00C31383">
              <w:rPr>
                <w:b/>
                <w:bCs/>
              </w:rPr>
              <w:t xml:space="preserve"> </w:t>
            </w:r>
          </w:p>
          <w:p w14:paraId="5FC2E2CA" w14:textId="77777777" w:rsidR="00C31383" w:rsidRPr="00C31383" w:rsidRDefault="00C31383" w:rsidP="00C31383">
            <w:pPr>
              <w:spacing w:after="200" w:line="276" w:lineRule="auto"/>
            </w:pPr>
            <w:r w:rsidRPr="00C31383">
              <w:rPr>
                <w:b/>
                <w:bCs/>
              </w:rPr>
              <w:t xml:space="preserve"> </w:t>
            </w:r>
          </w:p>
          <w:p w14:paraId="5283443C" w14:textId="77777777" w:rsidR="00C31383" w:rsidRPr="00C31383" w:rsidRDefault="00C31383" w:rsidP="00C31383">
            <w:pPr>
              <w:spacing w:after="200" w:line="276" w:lineRule="auto"/>
            </w:pPr>
            <w:r w:rsidRPr="00C31383">
              <w:rPr>
                <w:b/>
                <w:bCs/>
              </w:rPr>
              <w:t xml:space="preserve"> </w:t>
            </w:r>
          </w:p>
          <w:p w14:paraId="10DD9E5F" w14:textId="77777777" w:rsidR="00C31383" w:rsidRPr="00C31383" w:rsidRDefault="00C31383" w:rsidP="00C31383">
            <w:pPr>
              <w:spacing w:after="200" w:line="276" w:lineRule="auto"/>
            </w:pPr>
            <w:r w:rsidRPr="00C31383">
              <w:rPr>
                <w:b/>
                <w:bCs/>
              </w:rPr>
              <w:t xml:space="preserve"> </w:t>
            </w:r>
          </w:p>
          <w:p w14:paraId="21115D8F" w14:textId="77777777" w:rsidR="00C31383" w:rsidRPr="00C31383" w:rsidRDefault="00C31383" w:rsidP="00C31383">
            <w:pPr>
              <w:spacing w:after="200" w:line="276" w:lineRule="auto"/>
            </w:pPr>
            <w:r w:rsidRPr="00C31383">
              <w:rPr>
                <w:b/>
                <w:bCs/>
              </w:rPr>
              <w:t>Structure</w:t>
            </w:r>
          </w:p>
        </w:tc>
        <w:tc>
          <w:tcPr>
            <w:tcW w:w="2238" w:type="dxa"/>
            <w:tcBorders>
              <w:top w:val="single" w:sz="8" w:space="0" w:color="auto"/>
              <w:left w:val="single" w:sz="8" w:space="0" w:color="auto"/>
              <w:bottom w:val="single" w:sz="8" w:space="0" w:color="auto"/>
              <w:right w:val="single" w:sz="8" w:space="0" w:color="auto"/>
            </w:tcBorders>
            <w:hideMark/>
          </w:tcPr>
          <w:p w14:paraId="323EEF85" w14:textId="77777777" w:rsidR="00C31383" w:rsidRPr="00C31383" w:rsidRDefault="00C31383" w:rsidP="00C31383">
            <w:pPr>
              <w:spacing w:after="200" w:line="276" w:lineRule="auto"/>
            </w:pPr>
            <w:r w:rsidRPr="00C31383">
              <w:t xml:space="preserve">Includes physical (transport, logistics) and digital (broadband, cloud computing) and organisational infrastructure that is necessary for efficient value chains. </w:t>
            </w:r>
          </w:p>
        </w:tc>
        <w:tc>
          <w:tcPr>
            <w:tcW w:w="2453" w:type="dxa"/>
            <w:tcBorders>
              <w:top w:val="single" w:sz="8" w:space="0" w:color="auto"/>
              <w:left w:val="single" w:sz="8" w:space="0" w:color="auto"/>
              <w:bottom w:val="single" w:sz="8" w:space="0" w:color="auto"/>
              <w:right w:val="single" w:sz="8" w:space="0" w:color="auto"/>
            </w:tcBorders>
            <w:hideMark/>
          </w:tcPr>
          <w:p w14:paraId="3377A07A" w14:textId="77777777" w:rsidR="00C31383" w:rsidRPr="00C31383" w:rsidRDefault="00C31383" w:rsidP="00C31383">
            <w:pPr>
              <w:spacing w:after="200" w:line="276" w:lineRule="auto"/>
            </w:pPr>
            <w:r w:rsidRPr="00C31383">
              <w:t>Supports efficient logistics, supply chain management and absorptive capacity.</w:t>
            </w:r>
          </w:p>
          <w:p w14:paraId="2CA94585" w14:textId="04176F5B" w:rsidR="00C31383" w:rsidRPr="00C31383" w:rsidRDefault="00C31383" w:rsidP="00C31383">
            <w:pPr>
              <w:spacing w:after="200" w:line="276" w:lineRule="auto"/>
            </w:pPr>
            <w:r w:rsidRPr="00C31383">
              <w:t>Speeds up the movement of goods.</w:t>
            </w:r>
          </w:p>
          <w:p w14:paraId="5402CD8D" w14:textId="1466EB66" w:rsidR="00C31383" w:rsidRPr="00C31383" w:rsidRDefault="00C31383" w:rsidP="00C31383">
            <w:pPr>
              <w:spacing w:after="200" w:line="276" w:lineRule="auto"/>
            </w:pPr>
            <w:r w:rsidRPr="00C31383">
              <w:t>Digital infrastructure supports integration of IT systems and enable</w:t>
            </w:r>
            <w:r w:rsidR="0094546E">
              <w:t>s</w:t>
            </w:r>
            <w:r w:rsidRPr="00C31383">
              <w:t xml:space="preserve"> real-time data sharing and communication. This can optimise value chain activities.</w:t>
            </w:r>
          </w:p>
        </w:tc>
        <w:tc>
          <w:tcPr>
            <w:tcW w:w="2589" w:type="dxa"/>
            <w:tcBorders>
              <w:top w:val="single" w:sz="8" w:space="0" w:color="auto"/>
              <w:left w:val="single" w:sz="8" w:space="0" w:color="auto"/>
              <w:bottom w:val="single" w:sz="8" w:space="0" w:color="auto"/>
              <w:right w:val="single" w:sz="8" w:space="0" w:color="auto"/>
            </w:tcBorders>
            <w:hideMark/>
          </w:tcPr>
          <w:p w14:paraId="0A94878C" w14:textId="4B61528A" w:rsidR="00C31383" w:rsidRPr="00C31383" w:rsidRDefault="00C31383" w:rsidP="00C31383">
            <w:pPr>
              <w:spacing w:after="200" w:line="276" w:lineRule="auto"/>
            </w:pPr>
            <w:r w:rsidRPr="00C31383">
              <w:t>Regional disparities in infrastructure investment</w:t>
            </w:r>
            <w:r w:rsidR="0094546E">
              <w:t>.</w:t>
            </w:r>
          </w:p>
          <w:p w14:paraId="487174B5" w14:textId="274F2FC7" w:rsidR="00C31383" w:rsidRPr="00C31383" w:rsidRDefault="00C31383" w:rsidP="00C31383">
            <w:pPr>
              <w:spacing w:after="200" w:line="276" w:lineRule="auto"/>
            </w:pPr>
            <w:r w:rsidRPr="00C31383">
              <w:t>High costs for maintenance and expansion</w:t>
            </w:r>
            <w:r w:rsidR="0094546E">
              <w:t>.</w:t>
            </w:r>
            <w:r w:rsidRPr="00C31383">
              <w:br/>
            </w:r>
            <w:r w:rsidRPr="00C31383">
              <w:br/>
              <w:t>Digital divide limits access in some areas</w:t>
            </w:r>
            <w:r w:rsidR="0094546E">
              <w:t>.</w:t>
            </w:r>
          </w:p>
        </w:tc>
      </w:tr>
    </w:tbl>
    <w:p w14:paraId="627B1A18" w14:textId="75F72EAC" w:rsidR="00C31383" w:rsidRPr="00C31383" w:rsidRDefault="00763016" w:rsidP="00763016">
      <w:pPr>
        <w:pStyle w:val="Heading2"/>
      </w:pPr>
      <w:bookmarkStart w:id="15" w:name="_Toc848840545"/>
      <w:r>
        <w:lastRenderedPageBreak/>
        <w:br/>
      </w:r>
      <w:r w:rsidR="00C31383" w:rsidRPr="00C31383">
        <w:t xml:space="preserve">Figure </w:t>
      </w:r>
      <w:r w:rsidR="005411BA">
        <w:t>4</w:t>
      </w:r>
      <w:r w:rsidR="00C31383" w:rsidRPr="00C31383">
        <w:t>: Interactions within the productivity framework</w:t>
      </w:r>
      <w:bookmarkEnd w:id="15"/>
    </w:p>
    <w:p w14:paraId="27A4E8D5" w14:textId="23257FB6" w:rsidR="00C31383" w:rsidRPr="00C31383" w:rsidRDefault="00C31383" w:rsidP="00C31383">
      <w:r w:rsidRPr="00C31383">
        <w:rPr>
          <w:noProof/>
        </w:rPr>
        <w:drawing>
          <wp:inline distT="0" distB="0" distL="0" distR="0" wp14:anchorId="0250CBAA" wp14:editId="472CF697">
            <wp:extent cx="5722620" cy="4290060"/>
            <wp:effectExtent l="0" t="0" r="0" b="0"/>
            <wp:docPr id="367734196" name="Picture 9" descr="A diagram of company's company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34196" name="Picture 9" descr="A diagram of company's company structur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4290060"/>
                    </a:xfrm>
                    <a:prstGeom prst="rect">
                      <a:avLst/>
                    </a:prstGeom>
                    <a:noFill/>
                    <a:ln>
                      <a:noFill/>
                    </a:ln>
                  </pic:spPr>
                </pic:pic>
              </a:graphicData>
            </a:graphic>
          </wp:inline>
        </w:drawing>
      </w:r>
    </w:p>
    <w:p w14:paraId="5E5FB9E0" w14:textId="3243CED3" w:rsidR="00DB49BD" w:rsidRPr="00DB49BD" w:rsidRDefault="00DB49BD" w:rsidP="00DB49BD">
      <w:r w:rsidRPr="00DB49BD">
        <w:t xml:space="preserve">The first stage of our research was to assess </w:t>
      </w:r>
      <w:r w:rsidR="003A0224">
        <w:t>each region's performance in each of the productivity framework's components. This was done using several indicators, such as the number of patents, the number of spinoffs, the presence of incubators/accelerators/catapults, and skills shortages. Each region was assessed on these indicators relative to the national average and was</w:t>
      </w:r>
      <w:r w:rsidRPr="00DB49BD">
        <w:t xml:space="preserve"> </w:t>
      </w:r>
      <w:r w:rsidR="003A0224">
        <w:t>evaluated</w:t>
      </w:r>
      <w:r w:rsidRPr="00DB49BD">
        <w:t xml:space="preserve"> as over or underperforming. </w:t>
      </w:r>
    </w:p>
    <w:p w14:paraId="273742DC" w14:textId="77777777" w:rsidR="00763016" w:rsidRDefault="00763016" w:rsidP="00F759C4">
      <w:pPr>
        <w:rPr>
          <w:b/>
          <w:bCs/>
        </w:rPr>
      </w:pPr>
    </w:p>
    <w:p w14:paraId="18E10CD2" w14:textId="77777777" w:rsidR="00763016" w:rsidRDefault="00763016" w:rsidP="00F759C4">
      <w:pPr>
        <w:rPr>
          <w:b/>
          <w:bCs/>
        </w:rPr>
      </w:pPr>
    </w:p>
    <w:p w14:paraId="2CF5070E" w14:textId="77777777" w:rsidR="00763016" w:rsidRDefault="00763016" w:rsidP="00F759C4">
      <w:pPr>
        <w:rPr>
          <w:b/>
          <w:bCs/>
        </w:rPr>
      </w:pPr>
    </w:p>
    <w:p w14:paraId="11547314" w14:textId="77777777" w:rsidR="00763016" w:rsidRDefault="00763016" w:rsidP="00F759C4">
      <w:pPr>
        <w:rPr>
          <w:b/>
          <w:bCs/>
        </w:rPr>
      </w:pPr>
    </w:p>
    <w:p w14:paraId="04A6A966" w14:textId="77777777" w:rsidR="00763016" w:rsidRDefault="00763016" w:rsidP="00F759C4">
      <w:pPr>
        <w:rPr>
          <w:b/>
          <w:bCs/>
        </w:rPr>
      </w:pPr>
    </w:p>
    <w:p w14:paraId="64986CF9" w14:textId="77777777" w:rsidR="00763016" w:rsidRDefault="00763016" w:rsidP="00F759C4">
      <w:pPr>
        <w:rPr>
          <w:b/>
          <w:bCs/>
        </w:rPr>
      </w:pPr>
    </w:p>
    <w:p w14:paraId="0851E820" w14:textId="77777777" w:rsidR="00763016" w:rsidRDefault="00763016" w:rsidP="00F759C4">
      <w:pPr>
        <w:rPr>
          <w:b/>
          <w:bCs/>
        </w:rPr>
      </w:pPr>
    </w:p>
    <w:p w14:paraId="4AA467D1" w14:textId="46997608" w:rsidR="00F759C4" w:rsidRPr="0094546E" w:rsidRDefault="00F759C4" w:rsidP="00F759C4">
      <w:pPr>
        <w:rPr>
          <w:b/>
          <w:bCs/>
        </w:rPr>
      </w:pPr>
      <w:r w:rsidRPr="00F759C4">
        <w:rPr>
          <w:b/>
          <w:bCs/>
        </w:rPr>
        <w:lastRenderedPageBreak/>
        <w:t xml:space="preserve">Productivity Dashboard </w:t>
      </w:r>
    </w:p>
    <w:p w14:paraId="202FA7A0" w14:textId="4E695288" w:rsidR="00F759C4" w:rsidRPr="00F759C4" w:rsidRDefault="00F759C4" w:rsidP="00F759C4">
      <w:r w:rsidRPr="00F759C4">
        <w:rPr>
          <w:noProof/>
        </w:rPr>
        <w:drawing>
          <wp:inline distT="0" distB="0" distL="0" distR="0" wp14:anchorId="782AB27B" wp14:editId="1675DC32">
            <wp:extent cx="5727700" cy="2757170"/>
            <wp:effectExtent l="19050" t="19050" r="25400" b="24130"/>
            <wp:docPr id="127436183" name="Picture 11" descr="A group of colorful gau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6183" name="Picture 11" descr="A group of colorful gaug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2757170"/>
                    </a:xfrm>
                    <a:prstGeom prst="rect">
                      <a:avLst/>
                    </a:prstGeom>
                    <a:noFill/>
                    <a:ln w="12700" cmpd="sng">
                      <a:solidFill>
                        <a:srgbClr val="000000"/>
                      </a:solidFill>
                      <a:miter lim="800000"/>
                      <a:headEnd/>
                      <a:tailEnd/>
                    </a:ln>
                    <a:effectLst/>
                  </pic:spPr>
                </pic:pic>
              </a:graphicData>
            </a:graphic>
          </wp:inline>
        </w:drawing>
      </w:r>
      <w:r w:rsidRPr="00F759C4">
        <w:t xml:space="preserve">Source: Durham University </w:t>
      </w:r>
    </w:p>
    <w:p w14:paraId="7AB48ACF" w14:textId="77777777" w:rsidR="00F759C4" w:rsidRPr="00F759C4" w:rsidRDefault="00F759C4" w:rsidP="00F759C4">
      <w:pPr>
        <w:rPr>
          <w:b/>
          <w:bCs/>
        </w:rPr>
      </w:pPr>
      <w:r w:rsidRPr="00F759C4">
        <w:rPr>
          <w:b/>
          <w:bCs/>
        </w:rPr>
        <w:t xml:space="preserve">Absorptive Capacity </w:t>
      </w:r>
    </w:p>
    <w:p w14:paraId="1A522DFA" w14:textId="41669699" w:rsidR="00F759C4" w:rsidRPr="00F759C4" w:rsidRDefault="00F759C4" w:rsidP="00F759C4">
      <w:r w:rsidRPr="00F759C4">
        <w:t>Absorptive Capacity is a firm's ability to identify and apply new technologies and innovations into its busines</w:t>
      </w:r>
      <w:r w:rsidR="0094546E">
        <w:t>s, f</w:t>
      </w:r>
      <w:r w:rsidRPr="00F759C4">
        <w:t>rom acquiring new technology to having a workforce ready to integrate it.  Across the North, there is a mixed picture in terms of absorptive capacity. In the North West, absorptive capacity is strong</w:t>
      </w:r>
      <w:r w:rsidR="0094546E">
        <w:t>,</w:t>
      </w:r>
      <w:r w:rsidRPr="00F759C4">
        <w:t xml:space="preserve"> scoring well across all underlying metrics. </w:t>
      </w:r>
      <w:r w:rsidR="0094546E">
        <w:t>This is c</w:t>
      </w:r>
      <w:r w:rsidRPr="00F759C4">
        <w:t xml:space="preserve">losely followed by Yorkshire and </w:t>
      </w:r>
      <w:r w:rsidR="0094546E">
        <w:t>t</w:t>
      </w:r>
      <w:r w:rsidRPr="00F759C4">
        <w:t>he Humber, whereby economic efficiency requires improvement with regard to productivity and GVA per hour worked. However, the North East illustrates a lack of absorptive capacity with process and operations, economic conditions and collaboration underperforming.</w:t>
      </w:r>
    </w:p>
    <w:p w14:paraId="5B2E5F88" w14:textId="55A3C1E3" w:rsidR="00F759C4" w:rsidRPr="00F759C4" w:rsidRDefault="00F759C4" w:rsidP="00F759C4">
      <w:pPr>
        <w:rPr>
          <w:b/>
          <w:bCs/>
        </w:rPr>
      </w:pPr>
      <w:r w:rsidRPr="00F759C4">
        <w:rPr>
          <w:b/>
          <w:bCs/>
        </w:rPr>
        <w:t xml:space="preserve">Structure </w:t>
      </w:r>
    </w:p>
    <w:p w14:paraId="1D13DDB8" w14:textId="2FEC73F8" w:rsidR="00F759C4" w:rsidRPr="00F759C4" w:rsidRDefault="00F759C4" w:rsidP="00F759C4">
      <w:r w:rsidRPr="00F759C4">
        <w:t>Structure includes the physical and digital capabilities existing within each region</w:t>
      </w:r>
      <w:r w:rsidR="0094546E">
        <w:t>, f</w:t>
      </w:r>
      <w:r w:rsidRPr="00F759C4">
        <w:t xml:space="preserve">rom the number of catapults, the Higher Education density, </w:t>
      </w:r>
      <w:r w:rsidR="0094546E">
        <w:t xml:space="preserve">the </w:t>
      </w:r>
      <w:r w:rsidRPr="00F759C4">
        <w:t>number of spinoffs and collaboration. Across the North</w:t>
      </w:r>
      <w:r w:rsidR="007F6134">
        <w:t>,</w:t>
      </w:r>
      <w:r w:rsidRPr="00F759C4">
        <w:t xml:space="preserve"> structure</w:t>
      </w:r>
      <w:r w:rsidR="007F6134">
        <w:t>s</w:t>
      </w:r>
      <w:r w:rsidRPr="00F759C4">
        <w:t xml:space="preserve"> to support innovation in the North </w:t>
      </w:r>
      <w:r w:rsidR="007F6134">
        <w:t>are</w:t>
      </w:r>
      <w:r w:rsidRPr="00F759C4">
        <w:t xml:space="preserve"> underperforming on </w:t>
      </w:r>
      <w:r w:rsidR="000E79DD">
        <w:t>several</w:t>
      </w:r>
      <w:r w:rsidRPr="00F759C4">
        <w:t xml:space="preserve"> fronts. In all regions</w:t>
      </w:r>
      <w:r w:rsidRPr="000E79DD">
        <w:t>, industry dynamics</w:t>
      </w:r>
      <w:r w:rsidRPr="00F759C4">
        <w:t xml:space="preserve"> (business density, number of incubators, accelerators and catapults) underperforms relative to other English regions. </w:t>
      </w:r>
      <w:r w:rsidR="000E79DD">
        <w:t>Additionally</w:t>
      </w:r>
      <w:r w:rsidRPr="00F759C4">
        <w:t xml:space="preserve">, the number of spinoffs by higher education, innovative SMEs collaborating and business density is low in the North of England relative to the rest of England. On the other hand, the North East demonstrates strength in having a range of </w:t>
      </w:r>
      <w:r w:rsidR="00245ACE" w:rsidRPr="00F759C4">
        <w:t>institutions</w:t>
      </w:r>
      <w:r w:rsidRPr="00F759C4">
        <w:t xml:space="preserve"> which facilitate innovation from incubators, accelerators, catapults and innovation clusters. </w:t>
      </w:r>
    </w:p>
    <w:p w14:paraId="5550296B" w14:textId="77777777" w:rsidR="00F759C4" w:rsidRPr="00F759C4" w:rsidRDefault="00F759C4" w:rsidP="00F759C4">
      <w:pPr>
        <w:rPr>
          <w:b/>
          <w:bCs/>
        </w:rPr>
      </w:pPr>
      <w:r w:rsidRPr="00F759C4">
        <w:rPr>
          <w:b/>
          <w:bCs/>
        </w:rPr>
        <w:t xml:space="preserve">Technology </w:t>
      </w:r>
    </w:p>
    <w:p w14:paraId="7E3F501B" w14:textId="5DAFAD89" w:rsidR="00F759C4" w:rsidRPr="00F759C4" w:rsidRDefault="00F759C4" w:rsidP="00F759C4">
      <w:r w:rsidRPr="00F759C4">
        <w:lastRenderedPageBreak/>
        <w:t xml:space="preserve">Technology enables the optimisation of processes, competitive innovations and data-driven decision making. A range of metrics underscore this metric from public/private sector innovation, number of patents, spinoffs to technology absorption. </w:t>
      </w:r>
    </w:p>
    <w:p w14:paraId="5DF11E1B" w14:textId="77777777" w:rsidR="00F759C4" w:rsidRPr="00F759C4" w:rsidRDefault="00F759C4" w:rsidP="00F759C4">
      <w:pPr>
        <w:rPr>
          <w:b/>
          <w:bCs/>
        </w:rPr>
      </w:pPr>
      <w:r w:rsidRPr="00F759C4">
        <w:rPr>
          <w:b/>
          <w:bCs/>
        </w:rPr>
        <w:t>Skills</w:t>
      </w:r>
    </w:p>
    <w:p w14:paraId="061CED38" w14:textId="52AE74F0" w:rsidR="00F759C4" w:rsidRPr="00F759C4" w:rsidRDefault="00F759C4" w:rsidP="00F759C4">
      <w:r w:rsidRPr="00F759C4">
        <w:t xml:space="preserve">Skills are fundamental to a workforce's ability to both create and </w:t>
      </w:r>
      <w:r w:rsidR="006F36C8">
        <w:t>adapt</w:t>
      </w:r>
      <w:r w:rsidRPr="00F759C4">
        <w:t xml:space="preserve"> to innovations. Across the North’s regions</w:t>
      </w:r>
      <w:r w:rsidR="006F36C8">
        <w:t>, skills are in need of improvement</w:t>
      </w:r>
      <w:r w:rsidR="0094546E">
        <w:t xml:space="preserve">, with </w:t>
      </w:r>
      <w:r w:rsidRPr="00F759C4">
        <w:t>the degree to which they require attention var</w:t>
      </w:r>
      <w:r w:rsidR="0094546E">
        <w:t>ying</w:t>
      </w:r>
      <w:r w:rsidRPr="00F759C4">
        <w:t xml:space="preserve"> by region. The only metric by which all three </w:t>
      </w:r>
      <w:r w:rsidR="0094546E">
        <w:t xml:space="preserve">regions </w:t>
      </w:r>
      <w:r w:rsidRPr="00F759C4">
        <w:t>underperform is the amount of entry level training which indicates that this is a pan-northern challenge. In terms of pan-northern strengths</w:t>
      </w:r>
      <w:r w:rsidR="0094546E">
        <w:t>,</w:t>
      </w:r>
      <w:r w:rsidRPr="00F759C4">
        <w:t xml:space="preserve"> each region performs well in terms of continuing professional development and management practices. </w:t>
      </w:r>
    </w:p>
    <w:p w14:paraId="040A0337" w14:textId="77777777" w:rsidR="007D5732" w:rsidRDefault="007D5732" w:rsidP="00FB7A36">
      <w:pPr>
        <w:pStyle w:val="Heading2"/>
      </w:pPr>
      <w:bookmarkStart w:id="16" w:name="_Toc1489486504"/>
    </w:p>
    <w:p w14:paraId="6F5B7BC4" w14:textId="724CB6B4" w:rsidR="00F759C4" w:rsidRPr="00F759C4" w:rsidRDefault="00F759C4" w:rsidP="00FB7A36">
      <w:pPr>
        <w:pStyle w:val="Heading2"/>
      </w:pPr>
      <w:r w:rsidRPr="00F759C4">
        <w:t>Value Chain Analysis</w:t>
      </w:r>
      <w:bookmarkEnd w:id="16"/>
    </w:p>
    <w:p w14:paraId="2EA8E99C" w14:textId="2116D027" w:rsidR="00FB7A36" w:rsidRDefault="00F759C4" w:rsidP="00214F46">
      <w:r w:rsidRPr="00F759C4">
        <w:t xml:space="preserve">The analysis presented in this paper will consider productivity impacts through the effects on value chains, broken down by industrial sector. A value chain is a series of activities </w:t>
      </w:r>
      <w:r w:rsidR="001938FA">
        <w:t>a company performs that create customer value</w:t>
      </w:r>
      <w:r w:rsidRPr="00F759C4">
        <w:t xml:space="preserve">. </w:t>
      </w:r>
    </w:p>
    <w:p w14:paraId="1BA82347" w14:textId="0962CEEC" w:rsidR="00214F46" w:rsidRDefault="00214F46" w:rsidP="00214F46">
      <w:r w:rsidRPr="00214F46">
        <w:t xml:space="preserve">By analysing each component of the value chain, businesses can identify areas for improvement, cost reduction, technology adoption and several other ways to optimise processes. In this analysis, we </w:t>
      </w:r>
      <w:r w:rsidR="00B9423B">
        <w:t xml:space="preserve">assessed the value chains </w:t>
      </w:r>
      <w:r w:rsidRPr="00214F46">
        <w:t xml:space="preserve">in the North in each industrial sector. </w:t>
      </w:r>
    </w:p>
    <w:p w14:paraId="5CC6A8D4" w14:textId="77777777" w:rsidR="007D5732" w:rsidRPr="00214F46" w:rsidRDefault="007D5732" w:rsidP="00214F46"/>
    <w:p w14:paraId="7C84EC3F" w14:textId="6FD153E9" w:rsidR="00C31383" w:rsidRDefault="00214F46" w:rsidP="00214F46">
      <w:pPr>
        <w:pStyle w:val="Heading2"/>
      </w:pPr>
      <w:r>
        <w:t>Cluster Analysis</w:t>
      </w:r>
    </w:p>
    <w:p w14:paraId="03F65FF1" w14:textId="28802BCC" w:rsidR="007C2235" w:rsidRPr="007C2235" w:rsidRDefault="007C2235" w:rsidP="007C2235">
      <w:r w:rsidRPr="007C2235">
        <w:t xml:space="preserve">The next stage of our analysis was to understand the makeup of the industrial sectors of the </w:t>
      </w:r>
      <w:r w:rsidR="00817A50">
        <w:t>N</w:t>
      </w:r>
      <w:r w:rsidRPr="007C2235">
        <w:t>orth in terms of the number of companies, their contributions to GVA and their productivity.</w:t>
      </w:r>
    </w:p>
    <w:p w14:paraId="1C6921F5" w14:textId="0345F9C3" w:rsidR="007C2235" w:rsidRPr="007C2235" w:rsidRDefault="007C2235" w:rsidP="007C2235">
      <w:r w:rsidRPr="007C2235">
        <w:t>To explore how productivity could be boosted through unlocking innovation in the North, we followed a three-stage process:</w:t>
      </w:r>
    </w:p>
    <w:p w14:paraId="08488528" w14:textId="77777777" w:rsidR="007C2235" w:rsidRPr="007C2235" w:rsidRDefault="007C2235" w:rsidP="007C2235">
      <w:pPr>
        <w:numPr>
          <w:ilvl w:val="0"/>
          <w:numId w:val="2"/>
        </w:numPr>
      </w:pPr>
      <w:r w:rsidRPr="007C2235">
        <w:t>Identify mature and growth potential industrial clusters by region and sector.</w:t>
      </w:r>
    </w:p>
    <w:p w14:paraId="6128F824" w14:textId="77777777" w:rsidR="007C2235" w:rsidRPr="007C2235" w:rsidRDefault="007C2235" w:rsidP="007C2235">
      <w:pPr>
        <w:numPr>
          <w:ilvl w:val="0"/>
          <w:numId w:val="2"/>
        </w:numPr>
      </w:pPr>
      <w:r w:rsidRPr="007C2235">
        <w:t>Calculate the potential boost to GVA within each sector that would be gained by investing or allocating resources into improving absorptive capacity, technology, skills and structure of a region.</w:t>
      </w:r>
    </w:p>
    <w:p w14:paraId="38DC694C" w14:textId="0A463600" w:rsidR="007C2235" w:rsidRPr="007C2235" w:rsidRDefault="007C2235" w:rsidP="007C2235">
      <w:pPr>
        <w:numPr>
          <w:ilvl w:val="0"/>
          <w:numId w:val="2"/>
        </w:numPr>
      </w:pPr>
      <w:r w:rsidRPr="007C2235">
        <w:t>Produce a series of policy recommendations to achieve this outcome.</w:t>
      </w:r>
    </w:p>
    <w:p w14:paraId="432B94D4" w14:textId="37AF6F94" w:rsidR="007C2235" w:rsidRPr="007C2235" w:rsidRDefault="007C2235" w:rsidP="007C2235">
      <w:r w:rsidRPr="007C2235">
        <w:lastRenderedPageBreak/>
        <w:t xml:space="preserve">Figure </w:t>
      </w:r>
      <w:r w:rsidR="005411BA">
        <w:t>5</w:t>
      </w:r>
      <w:r w:rsidRPr="007C2235">
        <w:t xml:space="preserve"> below illustrates how we will classify each industrial sector into one of four quadrants. These will be determined by a sector’s productivity, defined as GVA per </w:t>
      </w:r>
      <w:r w:rsidR="00614F2D">
        <w:t>employee</w:t>
      </w:r>
      <w:r w:rsidRPr="007C2235">
        <w:t xml:space="preserve"> and how concentrated a sector is in a region through the use of location quotients resulting in a classification of either mature, scalable, non-clustered or foundational. </w:t>
      </w:r>
    </w:p>
    <w:p w14:paraId="79F95092" w14:textId="09C8F2B5" w:rsidR="007C2235" w:rsidRPr="007C2235" w:rsidRDefault="007C2235" w:rsidP="007C2235">
      <w:pPr>
        <w:rPr>
          <w:b/>
          <w:bCs/>
        </w:rPr>
      </w:pPr>
      <w:r w:rsidRPr="007C2235">
        <w:t xml:space="preserve">To create this we utilised two metrics, the first one being </w:t>
      </w:r>
      <w:r w:rsidR="00A965C4">
        <w:t>total employment</w:t>
      </w:r>
      <w:r w:rsidRPr="007C2235">
        <w:t xml:space="preserve"> in a region by industry and the Gross Value Added (GVA) for that industry in </w:t>
      </w:r>
      <w:r w:rsidR="001262E7">
        <w:t>20</w:t>
      </w:r>
      <w:r w:rsidR="006E4FC6">
        <w:t>22</w:t>
      </w:r>
      <w:r w:rsidRPr="007C2235">
        <w:t xml:space="preserve">. </w:t>
      </w:r>
      <w:r w:rsidR="000E173A">
        <w:t xml:space="preserve">Total employment was obtained from the Business Register </w:t>
      </w:r>
      <w:r w:rsidR="00AC2E06">
        <w:t>and Employment Survey,</w:t>
      </w:r>
      <w:r w:rsidRPr="007C2235">
        <w:t xml:space="preserve"> broken down by ITL1/ITL2 region and SIC code. This was paired with GVA data from the ONS. These datasets are from robust sources and paired together provide a strong indication of the business landscape across the North of England.</w:t>
      </w:r>
    </w:p>
    <w:p w14:paraId="2544934F" w14:textId="4798B668" w:rsidR="00253BC0" w:rsidRPr="00253BC0" w:rsidRDefault="00253BC0" w:rsidP="00253BC0">
      <w:bookmarkStart w:id="17" w:name="_Toc1141605774"/>
      <w:r w:rsidRPr="00253BC0">
        <w:t xml:space="preserve">Figure </w:t>
      </w:r>
      <w:r w:rsidR="005411BA">
        <w:t>5</w:t>
      </w:r>
      <w:r w:rsidRPr="00253BC0">
        <w:t>: Industrial Sector Quadrant Map</w:t>
      </w:r>
      <w:bookmarkEnd w:id="17"/>
    </w:p>
    <w:p w14:paraId="52D40422" w14:textId="1CF822F0" w:rsidR="00253BC0" w:rsidRPr="00253BC0" w:rsidRDefault="00E8389C" w:rsidP="00253BC0">
      <w:r>
        <w:rPr>
          <w:noProof/>
        </w:rPr>
        <w:drawing>
          <wp:inline distT="0" distB="0" distL="0" distR="0" wp14:anchorId="766109AE" wp14:editId="08687058">
            <wp:extent cx="6271260" cy="3527758"/>
            <wp:effectExtent l="0" t="0" r="0" b="0"/>
            <wp:docPr id="6630980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9802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272129" cy="3528247"/>
                    </a:xfrm>
                    <a:prstGeom prst="rect">
                      <a:avLst/>
                    </a:prstGeom>
                  </pic:spPr>
                </pic:pic>
              </a:graphicData>
            </a:graphic>
          </wp:inline>
        </w:drawing>
      </w:r>
    </w:p>
    <w:p w14:paraId="1E111E41" w14:textId="2EFE598A" w:rsidR="002236F2" w:rsidRDefault="002236F2" w:rsidP="002236F2">
      <w:r w:rsidRPr="002236F2">
        <w:t xml:space="preserve">Firstly, we assess the GVA of each </w:t>
      </w:r>
      <w:r w:rsidR="00D97260">
        <w:t>industrial sector</w:t>
      </w:r>
      <w:r w:rsidRPr="002236F2">
        <w:t xml:space="preserve"> in each region measured in chained volume measures in millions of pounds. Chained volume measures are a suitable metric for productivity as they reduce the potential distortions caused by inflation and provide a more accurate representation of the quantity of goods and services. The data used in this analysis is from 2022. For this analysis, the GVA went through a series of manipulations. Firstly, we divided the GVA of each sector in a region by the number of </w:t>
      </w:r>
      <w:r w:rsidR="00D97260">
        <w:t>employees</w:t>
      </w:r>
      <w:r w:rsidRPr="002236F2">
        <w:t xml:space="preserve">. This gave us a GVA per </w:t>
      </w:r>
      <w:r w:rsidR="00D97260">
        <w:t>employee</w:t>
      </w:r>
      <w:r w:rsidRPr="002236F2">
        <w:t xml:space="preserve"> figure. To enable reliable comparison across regions</w:t>
      </w:r>
      <w:r w:rsidR="006E4FC6">
        <w:t>, we then standardised the GVA per employee</w:t>
      </w:r>
      <w:r w:rsidRPr="002236F2">
        <w:t xml:space="preserve"> figure using the average and standard deviation of each subsector across the regions.</w:t>
      </w:r>
    </w:p>
    <w:p w14:paraId="667580E1" w14:textId="2C6D5811" w:rsidR="008A7FB9" w:rsidRPr="002236F2" w:rsidRDefault="008A7FB9" w:rsidP="002236F2"/>
    <w:p w14:paraId="464E2B3C" w14:textId="7AEA4E86" w:rsidR="002236F2" w:rsidRPr="002236F2" w:rsidRDefault="002236F2" w:rsidP="002236F2">
      <w:r w:rsidRPr="002236F2">
        <w:t>The result of this provides us with a z-score</w:t>
      </w:r>
      <w:r w:rsidR="006E4FC6">
        <w:t>, which tells us how many standard deviations a value is from the mean. Given that a z-score of 0 represents an exact average, as it is 0 deviations from the mean,</w:t>
      </w:r>
      <w:r w:rsidRPr="002236F2">
        <w:t xml:space="preserve"> the threshold is set at 0. The following table sets out in full what the values can tell us. </w:t>
      </w:r>
    </w:p>
    <w:tbl>
      <w:tblPr>
        <w:tblStyle w:val="TableGrid"/>
        <w:tblW w:w="0" w:type="auto"/>
        <w:tblLook w:val="04A0" w:firstRow="1" w:lastRow="0" w:firstColumn="1" w:lastColumn="0" w:noHBand="0" w:noVBand="1"/>
      </w:tblPr>
      <w:tblGrid>
        <w:gridCol w:w="2381"/>
        <w:gridCol w:w="5966"/>
      </w:tblGrid>
      <w:tr w:rsidR="002236F2" w:rsidRPr="002236F2" w14:paraId="519B7049" w14:textId="77777777" w:rsidTr="002236F2">
        <w:trPr>
          <w:trHeight w:val="300"/>
        </w:trPr>
        <w:tc>
          <w:tcPr>
            <w:tcW w:w="2381" w:type="dxa"/>
            <w:tcBorders>
              <w:top w:val="single" w:sz="4" w:space="0" w:color="auto"/>
              <w:left w:val="single" w:sz="4" w:space="0" w:color="auto"/>
              <w:bottom w:val="single" w:sz="4" w:space="0" w:color="auto"/>
              <w:right w:val="single" w:sz="4" w:space="0" w:color="auto"/>
            </w:tcBorders>
            <w:hideMark/>
          </w:tcPr>
          <w:p w14:paraId="3FDD6CBF" w14:textId="77777777" w:rsidR="002236F2" w:rsidRPr="002236F2" w:rsidRDefault="002236F2" w:rsidP="002236F2">
            <w:pPr>
              <w:spacing w:after="200" w:line="276" w:lineRule="auto"/>
              <w:rPr>
                <w:b/>
                <w:bCs/>
              </w:rPr>
            </w:pPr>
            <w:r w:rsidRPr="002236F2">
              <w:rPr>
                <w:b/>
                <w:bCs/>
              </w:rPr>
              <w:t>Score &lt; 0</w:t>
            </w:r>
          </w:p>
        </w:tc>
        <w:tc>
          <w:tcPr>
            <w:tcW w:w="5966" w:type="dxa"/>
            <w:tcBorders>
              <w:top w:val="single" w:sz="4" w:space="0" w:color="auto"/>
              <w:left w:val="single" w:sz="4" w:space="0" w:color="auto"/>
              <w:bottom w:val="single" w:sz="4" w:space="0" w:color="auto"/>
              <w:right w:val="single" w:sz="4" w:space="0" w:color="auto"/>
            </w:tcBorders>
            <w:hideMark/>
          </w:tcPr>
          <w:p w14:paraId="2CA1ADF6" w14:textId="03595825" w:rsidR="002236F2" w:rsidRPr="002236F2" w:rsidRDefault="002236F2" w:rsidP="002236F2">
            <w:pPr>
              <w:spacing w:after="200" w:line="276" w:lineRule="auto"/>
            </w:pPr>
            <w:r w:rsidRPr="002236F2">
              <w:t>This represents below average productivity suggesting that the industry’s productivity is lower than the national average and therefore makes a comparatively low</w:t>
            </w:r>
            <w:r w:rsidR="0016738D">
              <w:t>er</w:t>
            </w:r>
            <w:r w:rsidRPr="002236F2">
              <w:t xml:space="preserve"> economic contribution. </w:t>
            </w:r>
          </w:p>
        </w:tc>
      </w:tr>
      <w:tr w:rsidR="002236F2" w:rsidRPr="002236F2" w14:paraId="5191FE42" w14:textId="77777777" w:rsidTr="002236F2">
        <w:trPr>
          <w:trHeight w:val="300"/>
        </w:trPr>
        <w:tc>
          <w:tcPr>
            <w:tcW w:w="2381" w:type="dxa"/>
            <w:tcBorders>
              <w:top w:val="single" w:sz="4" w:space="0" w:color="auto"/>
              <w:left w:val="single" w:sz="4" w:space="0" w:color="auto"/>
              <w:bottom w:val="single" w:sz="4" w:space="0" w:color="auto"/>
              <w:right w:val="single" w:sz="4" w:space="0" w:color="auto"/>
            </w:tcBorders>
            <w:hideMark/>
          </w:tcPr>
          <w:p w14:paraId="532F8A05" w14:textId="77777777" w:rsidR="002236F2" w:rsidRPr="002236F2" w:rsidRDefault="002236F2" w:rsidP="002236F2">
            <w:pPr>
              <w:spacing w:after="200" w:line="276" w:lineRule="auto"/>
              <w:rPr>
                <w:b/>
                <w:bCs/>
              </w:rPr>
            </w:pPr>
            <w:r w:rsidRPr="002236F2">
              <w:rPr>
                <w:b/>
                <w:bCs/>
              </w:rPr>
              <w:t>Score  = 0</w:t>
            </w:r>
          </w:p>
        </w:tc>
        <w:tc>
          <w:tcPr>
            <w:tcW w:w="5966" w:type="dxa"/>
            <w:tcBorders>
              <w:top w:val="single" w:sz="4" w:space="0" w:color="auto"/>
              <w:left w:val="single" w:sz="4" w:space="0" w:color="auto"/>
              <w:bottom w:val="single" w:sz="4" w:space="0" w:color="auto"/>
              <w:right w:val="single" w:sz="4" w:space="0" w:color="auto"/>
            </w:tcBorders>
            <w:hideMark/>
          </w:tcPr>
          <w:p w14:paraId="61CEB210" w14:textId="77777777" w:rsidR="002236F2" w:rsidRPr="002236F2" w:rsidRDefault="002236F2" w:rsidP="002236F2">
            <w:pPr>
              <w:spacing w:after="200" w:line="276" w:lineRule="auto"/>
            </w:pPr>
            <w:r w:rsidRPr="002236F2">
              <w:t>This represents the exact average value for productivity.</w:t>
            </w:r>
          </w:p>
        </w:tc>
      </w:tr>
      <w:tr w:rsidR="002236F2" w:rsidRPr="002236F2" w14:paraId="60306B9F" w14:textId="77777777" w:rsidTr="002236F2">
        <w:trPr>
          <w:trHeight w:val="300"/>
        </w:trPr>
        <w:tc>
          <w:tcPr>
            <w:tcW w:w="2381" w:type="dxa"/>
            <w:tcBorders>
              <w:top w:val="single" w:sz="4" w:space="0" w:color="auto"/>
              <w:left w:val="single" w:sz="4" w:space="0" w:color="auto"/>
              <w:bottom w:val="single" w:sz="4" w:space="0" w:color="auto"/>
              <w:right w:val="single" w:sz="4" w:space="0" w:color="auto"/>
            </w:tcBorders>
            <w:hideMark/>
          </w:tcPr>
          <w:p w14:paraId="68D3F9C6" w14:textId="77777777" w:rsidR="002236F2" w:rsidRPr="002236F2" w:rsidRDefault="002236F2" w:rsidP="002236F2">
            <w:pPr>
              <w:spacing w:after="200" w:line="276" w:lineRule="auto"/>
              <w:rPr>
                <w:b/>
                <w:bCs/>
              </w:rPr>
            </w:pPr>
            <w:r w:rsidRPr="002236F2">
              <w:rPr>
                <w:b/>
                <w:bCs/>
              </w:rPr>
              <w:t>Score &gt; 0</w:t>
            </w:r>
          </w:p>
        </w:tc>
        <w:tc>
          <w:tcPr>
            <w:tcW w:w="5966" w:type="dxa"/>
            <w:tcBorders>
              <w:top w:val="single" w:sz="4" w:space="0" w:color="auto"/>
              <w:left w:val="single" w:sz="4" w:space="0" w:color="auto"/>
              <w:bottom w:val="single" w:sz="4" w:space="0" w:color="auto"/>
              <w:right w:val="single" w:sz="4" w:space="0" w:color="auto"/>
            </w:tcBorders>
            <w:hideMark/>
          </w:tcPr>
          <w:p w14:paraId="27220BEE" w14:textId="2FB52CCE" w:rsidR="002236F2" w:rsidRPr="002236F2" w:rsidRDefault="002236F2" w:rsidP="002236F2">
            <w:pPr>
              <w:spacing w:after="200" w:line="276" w:lineRule="auto"/>
            </w:pPr>
            <w:r w:rsidRPr="002236F2">
              <w:t xml:space="preserve">A score above 0 indicates the industry has higher productivity </w:t>
            </w:r>
            <w:r w:rsidR="006E4FC6">
              <w:t>compared</w:t>
            </w:r>
            <w:r w:rsidRPr="002236F2">
              <w:t xml:space="preserve"> to the national average</w:t>
            </w:r>
            <w:r w:rsidR="006E4FC6">
              <w:t>.</w:t>
            </w:r>
          </w:p>
        </w:tc>
      </w:tr>
    </w:tbl>
    <w:p w14:paraId="326A0432" w14:textId="77777777" w:rsidR="002236F2" w:rsidRDefault="002236F2" w:rsidP="002236F2"/>
    <w:p w14:paraId="0563C7E3" w14:textId="2ED4BD2C" w:rsidR="002236F2" w:rsidRPr="002236F2" w:rsidRDefault="002236F2" w:rsidP="002236F2">
      <w:r w:rsidRPr="002236F2">
        <w:t>For example, if Manufacturing of Textiles in Greater Manchester has a score of 2 this indicates that this industry in GM is significantly above the national average.</w:t>
      </w:r>
    </w:p>
    <w:p w14:paraId="4659A2F5" w14:textId="0914CC3C" w:rsidR="002236F2" w:rsidRPr="002236F2" w:rsidRDefault="005607C7" w:rsidP="002236F2">
      <w:r>
        <w:t>A</w:t>
      </w:r>
      <w:r w:rsidR="002236F2" w:rsidRPr="002236F2">
        <w:t xml:space="preserve"> location quotient was </w:t>
      </w:r>
      <w:r>
        <w:t xml:space="preserve">then </w:t>
      </w:r>
      <w:r w:rsidR="002236F2" w:rsidRPr="002236F2">
        <w:t xml:space="preserve">calculated for each region relative to all other </w:t>
      </w:r>
      <w:r w:rsidR="00B025BC">
        <w:t>areas of</w:t>
      </w:r>
      <w:r w:rsidR="002236F2" w:rsidRPr="002236F2">
        <w:t xml:space="preserve"> England. This was done by calculating the regional proportion of </w:t>
      </w:r>
      <w:r w:rsidR="00E64675">
        <w:t>empl</w:t>
      </w:r>
      <w:r>
        <w:t xml:space="preserve">oyment </w:t>
      </w:r>
      <w:r w:rsidR="002236F2" w:rsidRPr="002236F2">
        <w:t xml:space="preserve">in a subsector by region and dividing that by the national proportion. </w:t>
      </w:r>
    </w:p>
    <w:p w14:paraId="4172879B" w14:textId="01C82071" w:rsidR="002236F2" w:rsidRPr="002236F2" w:rsidRDefault="002236F2" w:rsidP="002236F2">
      <w:r w:rsidRPr="002236F2">
        <w:t xml:space="preserve">This calculation then produced a location quotient score for all the regions’ industrial sectors which is an indicator of how specialised a region is in each sector relative to England. This results in a score of 0 and upwards, </w:t>
      </w:r>
      <w:r w:rsidR="00FB2BF3">
        <w:t xml:space="preserve">and </w:t>
      </w:r>
      <w:r w:rsidRPr="002236F2">
        <w:t xml:space="preserve">the table below shows the meaning of each location quotient score. </w:t>
      </w:r>
    </w:p>
    <w:tbl>
      <w:tblPr>
        <w:tblStyle w:val="TableGrid"/>
        <w:tblW w:w="0" w:type="auto"/>
        <w:tblLook w:val="04A0" w:firstRow="1" w:lastRow="0" w:firstColumn="1" w:lastColumn="0" w:noHBand="0" w:noVBand="1"/>
      </w:tblPr>
      <w:tblGrid>
        <w:gridCol w:w="2501"/>
        <w:gridCol w:w="6425"/>
      </w:tblGrid>
      <w:tr w:rsidR="002236F2" w:rsidRPr="002236F2" w14:paraId="56B32B97" w14:textId="77777777" w:rsidTr="002236F2">
        <w:trPr>
          <w:trHeight w:val="439"/>
        </w:trPr>
        <w:tc>
          <w:tcPr>
            <w:tcW w:w="2501" w:type="dxa"/>
            <w:tcBorders>
              <w:top w:val="single" w:sz="4" w:space="0" w:color="auto"/>
              <w:left w:val="single" w:sz="4" w:space="0" w:color="auto"/>
              <w:bottom w:val="single" w:sz="4" w:space="0" w:color="auto"/>
              <w:right w:val="single" w:sz="4" w:space="0" w:color="auto"/>
            </w:tcBorders>
            <w:hideMark/>
          </w:tcPr>
          <w:p w14:paraId="61C92CEF" w14:textId="77777777" w:rsidR="002236F2" w:rsidRPr="002236F2" w:rsidRDefault="002236F2" w:rsidP="002236F2">
            <w:pPr>
              <w:spacing w:after="200" w:line="276" w:lineRule="auto"/>
              <w:rPr>
                <w:b/>
                <w:bCs/>
              </w:rPr>
            </w:pPr>
            <w:r w:rsidRPr="002236F2">
              <w:rPr>
                <w:b/>
                <w:bCs/>
              </w:rPr>
              <w:t xml:space="preserve">LQ &lt; 1 </w:t>
            </w:r>
          </w:p>
        </w:tc>
        <w:tc>
          <w:tcPr>
            <w:tcW w:w="6425" w:type="dxa"/>
            <w:tcBorders>
              <w:top w:val="single" w:sz="4" w:space="0" w:color="auto"/>
              <w:left w:val="single" w:sz="4" w:space="0" w:color="auto"/>
              <w:bottom w:val="single" w:sz="4" w:space="0" w:color="auto"/>
              <w:right w:val="single" w:sz="4" w:space="0" w:color="auto"/>
            </w:tcBorders>
            <w:hideMark/>
          </w:tcPr>
          <w:p w14:paraId="7DCDAEAD" w14:textId="77777777" w:rsidR="002236F2" w:rsidRPr="002236F2" w:rsidRDefault="002236F2" w:rsidP="002236F2">
            <w:pPr>
              <w:spacing w:after="200" w:line="276" w:lineRule="auto"/>
            </w:pPr>
            <w:r w:rsidRPr="002236F2">
              <w:t>A location quotient below one means a subsector is less specialised/concentrated in a region compared to the national average.</w:t>
            </w:r>
          </w:p>
        </w:tc>
      </w:tr>
      <w:tr w:rsidR="002236F2" w:rsidRPr="002236F2" w14:paraId="610833DC" w14:textId="77777777" w:rsidTr="002236F2">
        <w:trPr>
          <w:trHeight w:val="439"/>
        </w:trPr>
        <w:tc>
          <w:tcPr>
            <w:tcW w:w="2501" w:type="dxa"/>
            <w:tcBorders>
              <w:top w:val="single" w:sz="4" w:space="0" w:color="auto"/>
              <w:left w:val="single" w:sz="4" w:space="0" w:color="auto"/>
              <w:bottom w:val="single" w:sz="4" w:space="0" w:color="auto"/>
              <w:right w:val="single" w:sz="4" w:space="0" w:color="auto"/>
            </w:tcBorders>
            <w:hideMark/>
          </w:tcPr>
          <w:p w14:paraId="329C2CBA" w14:textId="759139E8" w:rsidR="002236F2" w:rsidRPr="002236F2" w:rsidRDefault="002236F2" w:rsidP="002236F2">
            <w:pPr>
              <w:spacing w:after="200" w:line="276" w:lineRule="auto"/>
              <w:rPr>
                <w:b/>
                <w:bCs/>
              </w:rPr>
            </w:pPr>
            <w:r w:rsidRPr="002236F2">
              <w:rPr>
                <w:b/>
                <w:bCs/>
              </w:rPr>
              <w:t>LQ = 1</w:t>
            </w:r>
          </w:p>
        </w:tc>
        <w:tc>
          <w:tcPr>
            <w:tcW w:w="6425" w:type="dxa"/>
            <w:tcBorders>
              <w:top w:val="single" w:sz="4" w:space="0" w:color="auto"/>
              <w:left w:val="single" w:sz="4" w:space="0" w:color="auto"/>
              <w:bottom w:val="single" w:sz="4" w:space="0" w:color="auto"/>
              <w:right w:val="single" w:sz="4" w:space="0" w:color="auto"/>
            </w:tcBorders>
            <w:hideMark/>
          </w:tcPr>
          <w:p w14:paraId="2C6CB27D" w14:textId="77777777" w:rsidR="002236F2" w:rsidRPr="002236F2" w:rsidRDefault="002236F2" w:rsidP="002236F2">
            <w:pPr>
              <w:spacing w:after="200" w:line="276" w:lineRule="auto"/>
            </w:pPr>
            <w:r w:rsidRPr="002236F2">
              <w:t xml:space="preserve">A location quotient equal to 1 indicates that the given subsector in a region matches the national average. It suggests no particular specialisation or lack of. </w:t>
            </w:r>
          </w:p>
        </w:tc>
      </w:tr>
      <w:tr w:rsidR="002236F2" w:rsidRPr="002236F2" w14:paraId="5930D907" w14:textId="77777777" w:rsidTr="002236F2">
        <w:trPr>
          <w:trHeight w:val="421"/>
        </w:trPr>
        <w:tc>
          <w:tcPr>
            <w:tcW w:w="2501" w:type="dxa"/>
            <w:tcBorders>
              <w:top w:val="single" w:sz="4" w:space="0" w:color="auto"/>
              <w:left w:val="single" w:sz="4" w:space="0" w:color="auto"/>
              <w:bottom w:val="single" w:sz="4" w:space="0" w:color="auto"/>
              <w:right w:val="single" w:sz="4" w:space="0" w:color="auto"/>
            </w:tcBorders>
            <w:hideMark/>
          </w:tcPr>
          <w:p w14:paraId="12BA5F95" w14:textId="5F677597" w:rsidR="002236F2" w:rsidRPr="002236F2" w:rsidRDefault="002236F2" w:rsidP="002236F2">
            <w:pPr>
              <w:spacing w:after="200" w:line="276" w:lineRule="auto"/>
              <w:rPr>
                <w:b/>
                <w:bCs/>
              </w:rPr>
            </w:pPr>
            <w:r w:rsidRPr="002236F2">
              <w:rPr>
                <w:b/>
                <w:bCs/>
              </w:rPr>
              <w:t>LQ &gt;  1</w:t>
            </w:r>
          </w:p>
        </w:tc>
        <w:tc>
          <w:tcPr>
            <w:tcW w:w="6425" w:type="dxa"/>
            <w:tcBorders>
              <w:top w:val="single" w:sz="4" w:space="0" w:color="auto"/>
              <w:left w:val="single" w:sz="4" w:space="0" w:color="auto"/>
              <w:bottom w:val="single" w:sz="4" w:space="0" w:color="auto"/>
              <w:right w:val="single" w:sz="4" w:space="0" w:color="auto"/>
            </w:tcBorders>
            <w:hideMark/>
          </w:tcPr>
          <w:p w14:paraId="12F196BF" w14:textId="77777777" w:rsidR="002236F2" w:rsidRPr="002236F2" w:rsidRDefault="002236F2" w:rsidP="002236F2">
            <w:pPr>
              <w:spacing w:after="200" w:line="276" w:lineRule="auto"/>
            </w:pPr>
            <w:r w:rsidRPr="002236F2">
              <w:t>A location quotient above 1 indicates that the subsector in a region is higher than the national average. This indicates that the region has a potential cluster/ specialisation in said industry.</w:t>
            </w:r>
          </w:p>
        </w:tc>
      </w:tr>
    </w:tbl>
    <w:p w14:paraId="3EE07E21" w14:textId="77777777" w:rsidR="002236F2" w:rsidRDefault="002236F2" w:rsidP="002236F2"/>
    <w:p w14:paraId="0139C97B" w14:textId="109DB7FF" w:rsidR="002236F2" w:rsidRPr="002236F2" w:rsidRDefault="002236F2" w:rsidP="002236F2">
      <w:r w:rsidRPr="002236F2">
        <w:lastRenderedPageBreak/>
        <w:t xml:space="preserve">For example, if London had a location quotient of 3 in financial services it would mean that financial services </w:t>
      </w:r>
      <w:r w:rsidR="005607C7">
        <w:t>employment is</w:t>
      </w:r>
      <w:r w:rsidRPr="002236F2">
        <w:t xml:space="preserve"> three times as concentrated in London compared to the national average. Alternatively, if real estate activities in the North East have a location quotient 0.72 means that this subsector is underrepresented </w:t>
      </w:r>
      <w:r w:rsidR="00FB2BF3">
        <w:t>ther</w:t>
      </w:r>
      <w:r w:rsidRPr="002236F2">
        <w:t xml:space="preserve">e compared to the national average. </w:t>
      </w:r>
    </w:p>
    <w:p w14:paraId="29D37159" w14:textId="6C11AE14" w:rsidR="002236F2" w:rsidRPr="002236F2" w:rsidRDefault="002236F2" w:rsidP="002236F2">
      <w:r w:rsidRPr="002236F2">
        <w:t xml:space="preserve">Once both the location quotient and standardised GVA per </w:t>
      </w:r>
      <w:r w:rsidR="005607C7">
        <w:t>employee</w:t>
      </w:r>
      <w:r w:rsidRPr="002236F2">
        <w:t xml:space="preserve"> have been calculated, we classified the industrial </w:t>
      </w:r>
      <w:r w:rsidR="00901F2A">
        <w:t>sector into the relevant quadrant by assigning each score as either high or low. For the location quotient, a score above 1 is high, and below is low. For the GVA figure, a score above 0 is high,</w:t>
      </w:r>
      <w:r w:rsidRPr="002236F2">
        <w:t xml:space="preserve"> and below is low. </w:t>
      </w:r>
    </w:p>
    <w:p w14:paraId="13AB0AD1" w14:textId="4B4897A3" w:rsidR="002236F2" w:rsidRPr="002236F2" w:rsidRDefault="002236F2" w:rsidP="002236F2">
      <w:r w:rsidRPr="002236F2">
        <w:t xml:space="preserve">The purpose of these cluster classifications is to inform us on the current state of sectors and identify which sectors need certain policy responses dependent on whether they are a mature or growth sector. For example, a mature industry needs to be maintained and supported whereas a scalable cluster may </w:t>
      </w:r>
      <w:r w:rsidR="00FB2BF3">
        <w:t>require</w:t>
      </w:r>
      <w:r w:rsidRPr="002236F2">
        <w:t xml:space="preserve"> policies which help the sector to grow and potentially develop into a mature cluster.</w:t>
      </w:r>
    </w:p>
    <w:p w14:paraId="57188FDD" w14:textId="364930FD" w:rsidR="00893E21" w:rsidRDefault="00893E21">
      <w:r>
        <w:br w:type="page"/>
      </w:r>
    </w:p>
    <w:p w14:paraId="0FB2A0BA" w14:textId="7698568A" w:rsidR="00893E21" w:rsidRDefault="00893E21" w:rsidP="00893E21">
      <w:pPr>
        <w:pStyle w:val="Heading1"/>
      </w:pPr>
      <w:bookmarkStart w:id="18" w:name="_Toc201831797"/>
      <w:r>
        <w:lastRenderedPageBreak/>
        <w:t>/06. Analysis</w:t>
      </w:r>
      <w:bookmarkEnd w:id="18"/>
    </w:p>
    <w:p w14:paraId="3509F394" w14:textId="4E2133B6" w:rsidR="00893E21" w:rsidRDefault="00893E21" w:rsidP="00893E21">
      <w:pPr>
        <w:pStyle w:val="Heading2"/>
      </w:pPr>
      <w:r>
        <w:t>Regional Analysis</w:t>
      </w:r>
    </w:p>
    <w:p w14:paraId="681AB0C2" w14:textId="6DAFE25F" w:rsidR="005515F2" w:rsidRPr="005515F2" w:rsidRDefault="005515F2" w:rsidP="005515F2">
      <w:r w:rsidRPr="005515F2">
        <w:t xml:space="preserve">The productivity framework introduced earlier was created at a regional (ITL1) level due to the availability of data for </w:t>
      </w:r>
      <w:r w:rsidR="00C94701">
        <w:t>several of the indicators considered. Our first-stage analysis was, therefore, conducted at the same level,</w:t>
      </w:r>
      <w:r w:rsidRPr="005515F2">
        <w:t xml:space="preserve"> and the resulting quadrant diagrams for each region are briefly discussed below.</w:t>
      </w:r>
    </w:p>
    <w:p w14:paraId="62FBFEDB" w14:textId="62D3739D" w:rsidR="005515F2" w:rsidRPr="005515F2" w:rsidRDefault="005515F2" w:rsidP="005515F2">
      <w:bookmarkStart w:id="19" w:name="_Toc1685969646"/>
      <w:r w:rsidRPr="005515F2">
        <w:t xml:space="preserve">Figure </w:t>
      </w:r>
      <w:r w:rsidR="005411BA">
        <w:t>6</w:t>
      </w:r>
      <w:r w:rsidRPr="005515F2">
        <w:t xml:space="preserve">: Industrial Clusters in the </w:t>
      </w:r>
      <w:bookmarkStart w:id="20" w:name="_Int_DvYHGE0W"/>
      <w:r w:rsidRPr="005515F2">
        <w:t>North East</w:t>
      </w:r>
      <w:bookmarkEnd w:id="20"/>
      <w:r w:rsidRPr="005515F2">
        <w:t xml:space="preserve"> </w:t>
      </w:r>
      <w:bookmarkEnd w:id="19"/>
    </w:p>
    <w:p w14:paraId="6972D162" w14:textId="77777777" w:rsidR="0079489F" w:rsidRDefault="0079489F" w:rsidP="005515F2">
      <w:r>
        <w:rPr>
          <w:noProof/>
        </w:rPr>
        <w:drawing>
          <wp:inline distT="0" distB="0" distL="0" distR="0" wp14:anchorId="7E00DE3D" wp14:editId="69FE71A4">
            <wp:extent cx="5727700" cy="3222048"/>
            <wp:effectExtent l="0" t="0" r="6350" b="0"/>
            <wp:docPr id="1468985754" name="Picture 32" descr="A white and black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85754" name="Picture 32" descr="A white and black chart with black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222048"/>
                    </a:xfrm>
                    <a:prstGeom prst="rect">
                      <a:avLst/>
                    </a:prstGeom>
                    <a:noFill/>
                  </pic:spPr>
                </pic:pic>
              </a:graphicData>
            </a:graphic>
          </wp:inline>
        </w:drawing>
      </w:r>
    </w:p>
    <w:p w14:paraId="5C673ECE" w14:textId="615A8A26" w:rsidR="005515F2" w:rsidRDefault="005515F2" w:rsidP="005515F2">
      <w:r w:rsidRPr="005515F2">
        <w:t xml:space="preserve">Of the 19 industrial sectors in the analysis, </w:t>
      </w:r>
      <w:r w:rsidR="00575A37">
        <w:t>three</w:t>
      </w:r>
      <w:r w:rsidRPr="005515F2">
        <w:t xml:space="preserve"> of them are defined as mature in the North East. Of these, manufacturing would include the prime capability of advanced manufacturing from the NPIER. Health appears as a potential scalable cluster as does information and communication taken as a proxy for digital.</w:t>
      </w:r>
    </w:p>
    <w:p w14:paraId="5DA012E1" w14:textId="11BD066F" w:rsidR="009B58A9" w:rsidRPr="005515F2" w:rsidRDefault="009B58A9" w:rsidP="005515F2"/>
    <w:p w14:paraId="7FE158AC" w14:textId="77777777" w:rsidR="005515F2" w:rsidRPr="005515F2" w:rsidRDefault="005515F2" w:rsidP="005515F2"/>
    <w:p w14:paraId="0313B7A6" w14:textId="77777777" w:rsidR="005515F2" w:rsidRPr="005515F2" w:rsidRDefault="005515F2" w:rsidP="005515F2"/>
    <w:p w14:paraId="267903D8" w14:textId="77777777" w:rsidR="005515F2" w:rsidRPr="005515F2" w:rsidRDefault="005515F2" w:rsidP="005515F2"/>
    <w:p w14:paraId="0B953337" w14:textId="77777777" w:rsidR="005515F2" w:rsidRPr="005515F2" w:rsidRDefault="005515F2" w:rsidP="005515F2"/>
    <w:p w14:paraId="75DA82DE" w14:textId="77777777" w:rsidR="005515F2" w:rsidRPr="005515F2" w:rsidRDefault="005515F2" w:rsidP="005515F2"/>
    <w:p w14:paraId="2345C410" w14:textId="15EBA024" w:rsidR="005515F2" w:rsidRDefault="005515F2" w:rsidP="005515F2">
      <w:bookmarkStart w:id="21" w:name="_Toc155746212"/>
      <w:r w:rsidRPr="005515F2">
        <w:lastRenderedPageBreak/>
        <w:t xml:space="preserve">Figure </w:t>
      </w:r>
      <w:r w:rsidR="005411BA">
        <w:t>7</w:t>
      </w:r>
      <w:r w:rsidRPr="005515F2">
        <w:t xml:space="preserve">: Industrial Clusters in the </w:t>
      </w:r>
      <w:bookmarkStart w:id="22" w:name="_Int_A4T6Gd0Y"/>
      <w:r w:rsidRPr="005515F2">
        <w:t>North West</w:t>
      </w:r>
      <w:bookmarkEnd w:id="22"/>
      <w:r w:rsidRPr="005515F2">
        <w:t xml:space="preserve"> </w:t>
      </w:r>
      <w:bookmarkEnd w:id="21"/>
    </w:p>
    <w:p w14:paraId="41084B3B" w14:textId="493323E7" w:rsidR="00A44A24" w:rsidRPr="005515F2" w:rsidRDefault="0079489F" w:rsidP="005515F2">
      <w:r>
        <w:rPr>
          <w:noProof/>
        </w:rPr>
        <w:drawing>
          <wp:inline distT="0" distB="0" distL="0" distR="0" wp14:anchorId="7DAAF5B6" wp14:editId="31A2AF7D">
            <wp:extent cx="6431915" cy="3615055"/>
            <wp:effectExtent l="0" t="0" r="6985" b="4445"/>
            <wp:docPr id="11355553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1915" cy="3615055"/>
                    </a:xfrm>
                    <a:prstGeom prst="rect">
                      <a:avLst/>
                    </a:prstGeom>
                    <a:noFill/>
                  </pic:spPr>
                </pic:pic>
              </a:graphicData>
            </a:graphic>
          </wp:inline>
        </w:drawing>
      </w:r>
    </w:p>
    <w:p w14:paraId="467F50E2" w14:textId="5B922A40" w:rsidR="005515F2" w:rsidRPr="005515F2" w:rsidRDefault="005515F2" w:rsidP="005515F2">
      <w:r w:rsidRPr="005515F2">
        <w:t xml:space="preserve">As seen in the North East, manufacturing </w:t>
      </w:r>
      <w:r w:rsidR="006037AC">
        <w:t xml:space="preserve">also </w:t>
      </w:r>
      <w:r w:rsidRPr="005515F2">
        <w:t xml:space="preserve">appears as a mature cluster in the North West. Energy appears as a scalable cluster in the region but many others appear to score low for their GVA per </w:t>
      </w:r>
      <w:r w:rsidR="00A44A24">
        <w:t>employee</w:t>
      </w:r>
      <w:r w:rsidRPr="005515F2">
        <w:t xml:space="preserve"> which came as a surprise.</w:t>
      </w:r>
    </w:p>
    <w:p w14:paraId="1D4EDB59" w14:textId="77777777" w:rsidR="005515F2" w:rsidRPr="005515F2" w:rsidRDefault="005515F2" w:rsidP="005515F2"/>
    <w:p w14:paraId="7541B8B9" w14:textId="77777777" w:rsidR="005515F2" w:rsidRPr="005515F2" w:rsidRDefault="005515F2" w:rsidP="005515F2"/>
    <w:p w14:paraId="755897C6" w14:textId="77777777" w:rsidR="005515F2" w:rsidRPr="005515F2" w:rsidRDefault="005515F2" w:rsidP="005515F2"/>
    <w:p w14:paraId="62C38FD2" w14:textId="77777777" w:rsidR="005515F2" w:rsidRPr="005515F2" w:rsidRDefault="005515F2" w:rsidP="005515F2"/>
    <w:p w14:paraId="0371661A" w14:textId="77777777" w:rsidR="005515F2" w:rsidRPr="005515F2" w:rsidRDefault="005515F2" w:rsidP="005515F2"/>
    <w:p w14:paraId="30669BC2" w14:textId="77777777" w:rsidR="005515F2" w:rsidRPr="005515F2" w:rsidRDefault="005515F2" w:rsidP="005515F2"/>
    <w:p w14:paraId="6B7230AC" w14:textId="77777777" w:rsidR="005515F2" w:rsidRPr="005515F2" w:rsidRDefault="005515F2" w:rsidP="005515F2"/>
    <w:p w14:paraId="16C23677" w14:textId="77777777" w:rsidR="005515F2" w:rsidRPr="005515F2" w:rsidRDefault="005515F2" w:rsidP="005515F2"/>
    <w:p w14:paraId="33B03000" w14:textId="77777777" w:rsidR="005515F2" w:rsidRPr="005515F2" w:rsidRDefault="005515F2" w:rsidP="005515F2"/>
    <w:p w14:paraId="092E2F65" w14:textId="77777777" w:rsidR="005515F2" w:rsidRPr="005515F2" w:rsidRDefault="005515F2" w:rsidP="005515F2"/>
    <w:p w14:paraId="4BDCDC6E" w14:textId="77777777" w:rsidR="005515F2" w:rsidRPr="005515F2" w:rsidRDefault="005515F2" w:rsidP="005515F2"/>
    <w:p w14:paraId="73013E47" w14:textId="77777777" w:rsidR="005515F2" w:rsidRPr="005515F2" w:rsidRDefault="005515F2" w:rsidP="005515F2"/>
    <w:p w14:paraId="5A449F89" w14:textId="0DF91DDC" w:rsidR="009619F4" w:rsidRDefault="005515F2" w:rsidP="005515F2">
      <w:bookmarkStart w:id="23" w:name="_Toc499253107"/>
      <w:r w:rsidRPr="005515F2">
        <w:t xml:space="preserve">Figure </w:t>
      </w:r>
      <w:r w:rsidR="005411BA">
        <w:t>8</w:t>
      </w:r>
      <w:r w:rsidRPr="005515F2">
        <w:t>: Industrial Clusters in Yorkshire and the Humber</w:t>
      </w:r>
      <w:bookmarkEnd w:id="23"/>
    </w:p>
    <w:p w14:paraId="09966DFD" w14:textId="0FBF28E3" w:rsidR="005515F2" w:rsidRPr="005515F2" w:rsidRDefault="0079489F" w:rsidP="005515F2">
      <w:r>
        <w:rPr>
          <w:noProof/>
        </w:rPr>
        <w:drawing>
          <wp:inline distT="0" distB="0" distL="0" distR="0" wp14:anchorId="03010D1F" wp14:editId="43A799AC">
            <wp:extent cx="6456045" cy="3633470"/>
            <wp:effectExtent l="0" t="0" r="1905" b="5080"/>
            <wp:docPr id="21269289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6045" cy="3633470"/>
                    </a:xfrm>
                    <a:prstGeom prst="rect">
                      <a:avLst/>
                    </a:prstGeom>
                    <a:noFill/>
                  </pic:spPr>
                </pic:pic>
              </a:graphicData>
            </a:graphic>
          </wp:inline>
        </w:drawing>
      </w:r>
      <w:r w:rsidR="00542EEB">
        <w:t xml:space="preserve">Somewhat surprisingly only agriculture, forestry and fishing is classified as a mature </w:t>
      </w:r>
      <w:r w:rsidR="007D3008">
        <w:t>cluster</w:t>
      </w:r>
      <w:r w:rsidR="00542EEB">
        <w:t xml:space="preserve"> in Yorkshire and the Humber. </w:t>
      </w:r>
      <w:r w:rsidR="00E4798E">
        <w:t>Manufacturing which is a mature sector in the other two northern regions</w:t>
      </w:r>
      <w:r w:rsidR="006F472D">
        <w:t xml:space="preserve"> falls into the bottom right quadrant in Yorkshire due to low GVA per employee.</w:t>
      </w:r>
    </w:p>
    <w:p w14:paraId="68D16097" w14:textId="66B891E5" w:rsidR="005515F2" w:rsidRPr="005515F2" w:rsidRDefault="005515F2" w:rsidP="005515F2">
      <w:pPr>
        <w:rPr>
          <w:b/>
          <w:bCs/>
        </w:rPr>
      </w:pPr>
      <w:r w:rsidRPr="005515F2">
        <w:t xml:space="preserve">Analysis of clusters at the regional (ITL1) level of geography using SIC sectors provided a clear indication of the concentration and productivity of broad industries existing within each region. However, looking at this from a policymaker's perspective, trying to determine what to invest in and where, the broadness of SIC sections and </w:t>
      </w:r>
      <w:r w:rsidR="006F472D">
        <w:t>s</w:t>
      </w:r>
      <w:r w:rsidRPr="005515F2">
        <w:t xml:space="preserve">ize of ITL1 regions </w:t>
      </w:r>
      <w:r w:rsidR="006F472D">
        <w:t>does</w:t>
      </w:r>
      <w:r w:rsidRPr="005515F2">
        <w:t xml:space="preserve"> not provide enough of a granular insight into industrial strengths and emerging sectors. </w:t>
      </w:r>
    </w:p>
    <w:p w14:paraId="4005BB50" w14:textId="6A9F4AF6" w:rsidR="005515F2" w:rsidRPr="005515F2" w:rsidRDefault="005515F2" w:rsidP="005515F2">
      <w:r w:rsidRPr="005515F2">
        <w:t>Therefore, we</w:t>
      </w:r>
      <w:r w:rsidR="00DB3A89">
        <w:t xml:space="preserve"> will now</w:t>
      </w:r>
      <w:r w:rsidRPr="005515F2">
        <w:t xml:space="preserve"> utilise the same methodology for sub-regional (ITL2) geographies at </w:t>
      </w:r>
      <w:r w:rsidR="00E03414">
        <w:t xml:space="preserve">a </w:t>
      </w:r>
      <w:r w:rsidRPr="005515F2">
        <w:t xml:space="preserve">more disaggregated sector level. Our previous 19 SIC sections have now become 71 sub sections. </w:t>
      </w:r>
      <w:r w:rsidR="00DB3A89">
        <w:t xml:space="preserve">To aid presentation, rather than presenting them by </w:t>
      </w:r>
      <w:r w:rsidR="00250322">
        <w:t xml:space="preserve">geographic </w:t>
      </w:r>
      <w:r w:rsidR="00DB3A89">
        <w:t xml:space="preserve">area, we will present them by broad </w:t>
      </w:r>
      <w:r w:rsidR="00250322">
        <w:t xml:space="preserve">industrial </w:t>
      </w:r>
      <w:r w:rsidR="00DB3A89">
        <w:t xml:space="preserve">sector aligned to the </w:t>
      </w:r>
      <w:r w:rsidR="00E03414">
        <w:t>recently published Modern</w:t>
      </w:r>
      <w:r w:rsidR="00DB3A89">
        <w:t xml:space="preserve"> Industrial Strategy</w:t>
      </w:r>
      <w:r w:rsidR="00250322">
        <w:t xml:space="preserve">. </w:t>
      </w:r>
    </w:p>
    <w:p w14:paraId="541FA1CC" w14:textId="465CE029" w:rsidR="00893E21" w:rsidRDefault="005515F2" w:rsidP="005515F2">
      <w:pPr>
        <w:pStyle w:val="Heading2"/>
      </w:pPr>
      <w:r>
        <w:t>Subregional Results</w:t>
      </w:r>
    </w:p>
    <w:p w14:paraId="2E1B7CD9" w14:textId="72198BF6" w:rsidR="00FD55DF" w:rsidRDefault="00FD55DF" w:rsidP="00344500">
      <w:r>
        <w:t>One change in our approach to this analysis is that we have excluded all London IT</w:t>
      </w:r>
      <w:r w:rsidR="009939BB">
        <w:t>L</w:t>
      </w:r>
      <w:r>
        <w:t xml:space="preserve">2 regions. The rationale for this is that </w:t>
      </w:r>
      <w:r w:rsidR="0015796F">
        <w:t>London's dominance</w:t>
      </w:r>
      <w:r>
        <w:t xml:space="preserve">, especially in some sectors such as finance, skews </w:t>
      </w:r>
      <w:r w:rsidR="00092F44">
        <w:t>the</w:t>
      </w:r>
      <w:r>
        <w:t xml:space="preserve"> averages against which the </w:t>
      </w:r>
      <w:r w:rsidR="00092F44">
        <w:t xml:space="preserve">significance of sectors is measured. Given </w:t>
      </w:r>
      <w:r w:rsidR="00092F44">
        <w:lastRenderedPageBreak/>
        <w:t xml:space="preserve">that it is widely acknowledged that London has the largest concentrations of some industries, this allows us to identify </w:t>
      </w:r>
      <w:r w:rsidR="00FB50E0">
        <w:t>those important clusters outside of the capital.</w:t>
      </w:r>
      <w:r w:rsidR="007F0C47">
        <w:t xml:space="preserve"> </w:t>
      </w:r>
    </w:p>
    <w:p w14:paraId="6FBB6AD4" w14:textId="22532578" w:rsidR="002963E6" w:rsidRDefault="002963E6" w:rsidP="00344500">
      <w:r>
        <w:t xml:space="preserve">It should be noted here that it will not be </w:t>
      </w:r>
      <w:r w:rsidR="0015796F">
        <w:t>surprising</w:t>
      </w:r>
      <w:r>
        <w:t xml:space="preserve"> to see few sectors and regions in the top </w:t>
      </w:r>
      <w:r w:rsidR="00E40979">
        <w:t>right ‘mature’ quadrant. We are well aware that productivity level</w:t>
      </w:r>
      <w:r w:rsidR="0015796F">
        <w:t>s</w:t>
      </w:r>
      <w:r w:rsidR="00E40979">
        <w:t xml:space="preserve"> in the North still lag behind other areas of England, even when London is excluded, as shown in the recent NPIER refresh</w:t>
      </w:r>
      <w:r w:rsidR="008C4B53">
        <w:rPr>
          <w:rStyle w:val="FootnoteReference"/>
        </w:rPr>
        <w:footnoteReference w:id="29"/>
      </w:r>
      <w:r w:rsidR="00E40979">
        <w:t xml:space="preserve">. </w:t>
      </w:r>
      <w:r w:rsidR="00586BD7">
        <w:t xml:space="preserve">Focus could be given to growing those industries and </w:t>
      </w:r>
      <w:r w:rsidR="00020BFF">
        <w:t>locations in the top left quadrant with above average productivity, and those in the bottom right could be prioritised for measures to increase their productivity levels,</w:t>
      </w:r>
      <w:r w:rsidR="007E5B53">
        <w:t xml:space="preserve"> given the importance of these industries to these areas.</w:t>
      </w:r>
    </w:p>
    <w:p w14:paraId="5C0DC77C" w14:textId="436B445E" w:rsidR="00763016" w:rsidRDefault="00763016" w:rsidP="00344500">
      <w:r>
        <w:t xml:space="preserve">These cluster diagrams may be </w:t>
      </w:r>
      <w:r w:rsidR="000259D0">
        <w:t xml:space="preserve">difficult to read in this document and also do not show the detail of how close each data point could be to the border of another quadrant. We would therefore recommend viewing the interactive versions of these diagrams at: </w:t>
      </w:r>
      <w:hyperlink r:id="rId19" w:history="1">
        <w:r w:rsidR="000259D0" w:rsidRPr="00314255">
          <w:rPr>
            <w:rStyle w:val="Hyperlink"/>
          </w:rPr>
          <w:t>https://public.flourish.studio/story/3154346/</w:t>
        </w:r>
      </w:hyperlink>
      <w:r w:rsidR="000259D0">
        <w:t xml:space="preserve"> </w:t>
      </w:r>
    </w:p>
    <w:p w14:paraId="651E5323" w14:textId="149D4449" w:rsidR="00344500" w:rsidRDefault="00344500" w:rsidP="00344500">
      <w:r w:rsidRPr="005515F2">
        <w:t xml:space="preserve">Figure </w:t>
      </w:r>
      <w:r w:rsidR="005411BA">
        <w:t>9</w:t>
      </w:r>
      <w:r w:rsidRPr="005515F2">
        <w:t xml:space="preserve">: </w:t>
      </w:r>
      <w:r>
        <w:t>Advanced Manufacturing Industrial Clusters</w:t>
      </w:r>
    </w:p>
    <w:p w14:paraId="32404913" w14:textId="164940C1" w:rsidR="00344500" w:rsidRDefault="00CD2681" w:rsidP="00344500">
      <w:r>
        <w:rPr>
          <w:noProof/>
        </w:rPr>
        <w:drawing>
          <wp:inline distT="0" distB="0" distL="0" distR="0" wp14:anchorId="0BA9A289" wp14:editId="1BE64140">
            <wp:extent cx="6462433" cy="3634740"/>
            <wp:effectExtent l="0" t="0" r="0" b="3810"/>
            <wp:docPr id="6336004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4603" cy="3635961"/>
                    </a:xfrm>
                    <a:prstGeom prst="rect">
                      <a:avLst/>
                    </a:prstGeom>
                    <a:noFill/>
                  </pic:spPr>
                </pic:pic>
              </a:graphicData>
            </a:graphic>
          </wp:inline>
        </w:drawing>
      </w:r>
    </w:p>
    <w:p w14:paraId="32150F39" w14:textId="69EC44B4" w:rsidR="005515F2" w:rsidRDefault="00785D3D" w:rsidP="005515F2">
      <w:r>
        <w:t xml:space="preserve">Within the advanced manufacturing sector, </w:t>
      </w:r>
      <w:r w:rsidR="00DE3D46">
        <w:t xml:space="preserve">the manufacture of motor vehicles is a mature sector in Cheshire, no doubt recognising the presence of </w:t>
      </w:r>
      <w:r w:rsidR="00F166D3">
        <w:t>Bentley in Crewe and Vauxhall in Ellesmere Port.</w:t>
      </w:r>
      <w:r w:rsidR="001850B8">
        <w:t xml:space="preserve"> </w:t>
      </w:r>
      <w:r w:rsidR="008C0217">
        <w:t xml:space="preserve">However, </w:t>
      </w:r>
      <w:r w:rsidR="009C53CB">
        <w:t>it</w:t>
      </w:r>
      <w:r w:rsidR="008C0217">
        <w:t xml:space="preserve"> is a surprise</w:t>
      </w:r>
      <w:r w:rsidR="001850B8">
        <w:t xml:space="preserve"> that Nissan’s Sunderland plant does not mo</w:t>
      </w:r>
      <w:r w:rsidR="002963E6">
        <w:t xml:space="preserve">ve Northumberland, and Tyne and Wear into the mature </w:t>
      </w:r>
      <w:r w:rsidR="00933F7A">
        <w:t>quadrant</w:t>
      </w:r>
      <w:r w:rsidR="002963E6">
        <w:t>.</w:t>
      </w:r>
      <w:r w:rsidR="00ED3C14">
        <w:t xml:space="preserve"> Cheshire has </w:t>
      </w:r>
      <w:r w:rsidR="008C0217">
        <w:t>several</w:t>
      </w:r>
      <w:r w:rsidR="00ED3C14">
        <w:t xml:space="preserve"> sub-</w:t>
      </w:r>
      <w:r w:rsidR="00ED3C14">
        <w:lastRenderedPageBreak/>
        <w:t>sectors that show high levels of pro</w:t>
      </w:r>
      <w:r w:rsidR="00C86B0D">
        <w:t>ductivity</w:t>
      </w:r>
      <w:r w:rsidR="008C0217">
        <w:t>,</w:t>
      </w:r>
      <w:r w:rsidR="00E07C2D">
        <w:t xml:space="preserve"> though do not yet have significant geographic presence. Within this</w:t>
      </w:r>
      <w:r w:rsidR="00354D42">
        <w:t xml:space="preserve"> industrial</w:t>
      </w:r>
      <w:r w:rsidR="00E07C2D">
        <w:t xml:space="preserve"> sector</w:t>
      </w:r>
      <w:r w:rsidR="008C0217">
        <w:t>,</w:t>
      </w:r>
      <w:r w:rsidR="00E07C2D">
        <w:t xml:space="preserve"> Greater Manchester</w:t>
      </w:r>
      <w:r w:rsidR="00354D42">
        <w:t xml:space="preserve"> does not show any </w:t>
      </w:r>
      <w:r w:rsidR="00801FE6">
        <w:t>significant sub-sectors for an economy of its size.</w:t>
      </w:r>
    </w:p>
    <w:p w14:paraId="43F9D654" w14:textId="763C1BDE" w:rsidR="00801FE6" w:rsidRDefault="00801FE6" w:rsidP="005515F2">
      <w:r>
        <w:t xml:space="preserve">Figure </w:t>
      </w:r>
      <w:r w:rsidR="005411BA">
        <w:t>10</w:t>
      </w:r>
      <w:r>
        <w:t>: Clean Energy Industrial Clusters</w:t>
      </w:r>
    </w:p>
    <w:p w14:paraId="7F10589A" w14:textId="40912128" w:rsidR="00761B6A" w:rsidRDefault="0072725B" w:rsidP="005515F2">
      <w:r>
        <w:rPr>
          <w:noProof/>
        </w:rPr>
        <w:drawing>
          <wp:inline distT="0" distB="0" distL="0" distR="0" wp14:anchorId="15E26A2E" wp14:editId="54F025C8">
            <wp:extent cx="6354048" cy="3573780"/>
            <wp:effectExtent l="0" t="0" r="0" b="0"/>
            <wp:docPr id="17057568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2847" cy="3578729"/>
                    </a:xfrm>
                    <a:prstGeom prst="rect">
                      <a:avLst/>
                    </a:prstGeom>
                    <a:noFill/>
                  </pic:spPr>
                </pic:pic>
              </a:graphicData>
            </a:graphic>
          </wp:inline>
        </w:drawing>
      </w:r>
    </w:p>
    <w:p w14:paraId="4E380808" w14:textId="1C4090B5" w:rsidR="00761B6A" w:rsidRDefault="002950E2" w:rsidP="005515F2">
      <w:r>
        <w:t xml:space="preserve">The results for the Clean Energy sector </w:t>
      </w:r>
      <w:r w:rsidR="00A26D5D">
        <w:t xml:space="preserve">have been a surprise given the strength of green technologies in places such as the Humber. </w:t>
      </w:r>
      <w:r w:rsidR="000D3436">
        <w:t xml:space="preserve">However, this could represent which parts of the value chain are located within the region. Given the number of </w:t>
      </w:r>
      <w:r w:rsidR="005C1234">
        <w:t>areas appearing in the lower right quadrant</w:t>
      </w:r>
      <w:r w:rsidR="009216BA">
        <w:t>,</w:t>
      </w:r>
      <w:r w:rsidR="005C1234">
        <w:t xml:space="preserve"> where there is a significant concentration of employment in the sub-sector but </w:t>
      </w:r>
      <w:r w:rsidR="00227E54">
        <w:t>lower</w:t>
      </w:r>
      <w:r w:rsidR="005C1234">
        <w:t xml:space="preserve"> than average prod</w:t>
      </w:r>
      <w:r w:rsidR="00227E54">
        <w:t xml:space="preserve">uctivity, it does suggest that the region is attracting the lower </w:t>
      </w:r>
      <w:r w:rsidR="009216BA">
        <w:t>value-added employment in these</w:t>
      </w:r>
      <w:r w:rsidR="00227E54">
        <w:t xml:space="preserve"> sectors.</w:t>
      </w:r>
      <w:r w:rsidR="00832E31">
        <w:t xml:space="preserve"> The appearance of North Yorkshire in the mature quadrant will reflect the presence of Drax power station </w:t>
      </w:r>
      <w:r w:rsidR="000631A9">
        <w:t>in Selby</w:t>
      </w:r>
      <w:r w:rsidR="009216BA">
        <w:t>,</w:t>
      </w:r>
      <w:r w:rsidR="00921449">
        <w:t xml:space="preserve"> powered by biomass.</w:t>
      </w:r>
    </w:p>
    <w:p w14:paraId="306E63D0" w14:textId="77777777" w:rsidR="00E43CA6" w:rsidRDefault="00E43CA6" w:rsidP="005515F2"/>
    <w:p w14:paraId="62DD6CA5" w14:textId="77777777" w:rsidR="00E43CA6" w:rsidRDefault="00E43CA6" w:rsidP="005515F2"/>
    <w:p w14:paraId="395E3023" w14:textId="77777777" w:rsidR="00E43CA6" w:rsidRDefault="00E43CA6" w:rsidP="005515F2"/>
    <w:p w14:paraId="04D67F31" w14:textId="77777777" w:rsidR="00E43CA6" w:rsidRDefault="00E43CA6" w:rsidP="005515F2"/>
    <w:p w14:paraId="55C0995C" w14:textId="77777777" w:rsidR="00E43CA6" w:rsidRDefault="00E43CA6" w:rsidP="005515F2"/>
    <w:p w14:paraId="13D87761" w14:textId="77777777" w:rsidR="00E43CA6" w:rsidRDefault="00E43CA6" w:rsidP="005515F2"/>
    <w:p w14:paraId="2B8387A3" w14:textId="77777777" w:rsidR="00E43CA6" w:rsidRDefault="00E43CA6" w:rsidP="005515F2"/>
    <w:p w14:paraId="7E363334" w14:textId="77777777" w:rsidR="00E43CA6" w:rsidRDefault="00E43CA6" w:rsidP="005515F2"/>
    <w:p w14:paraId="07D51515" w14:textId="6FF752F3" w:rsidR="00227E54" w:rsidRDefault="00227E54" w:rsidP="005515F2">
      <w:r>
        <w:t xml:space="preserve">Figure </w:t>
      </w:r>
      <w:r w:rsidR="005411BA">
        <w:t>11</w:t>
      </w:r>
      <w:r>
        <w:t xml:space="preserve">: </w:t>
      </w:r>
      <w:r w:rsidR="004C4BC0">
        <w:t>Health</w:t>
      </w:r>
    </w:p>
    <w:p w14:paraId="46DD9EF2" w14:textId="1A9D54D6" w:rsidR="00761B6A" w:rsidRDefault="00E35611" w:rsidP="005515F2">
      <w:r w:rsidRPr="00E35611">
        <w:rPr>
          <w:noProof/>
        </w:rPr>
        <w:drawing>
          <wp:inline distT="0" distB="0" distL="0" distR="0" wp14:anchorId="20CC5296" wp14:editId="16426907">
            <wp:extent cx="5727700" cy="3221990"/>
            <wp:effectExtent l="0" t="0" r="0" b="3810"/>
            <wp:docPr id="1526088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88989" name=""/>
                    <pic:cNvPicPr/>
                  </pic:nvPicPr>
                  <pic:blipFill>
                    <a:blip r:embed="rId22"/>
                    <a:stretch>
                      <a:fillRect/>
                    </a:stretch>
                  </pic:blipFill>
                  <pic:spPr>
                    <a:xfrm>
                      <a:off x="0" y="0"/>
                      <a:ext cx="5727700" cy="3221990"/>
                    </a:xfrm>
                    <a:prstGeom prst="rect">
                      <a:avLst/>
                    </a:prstGeom>
                  </pic:spPr>
                </pic:pic>
              </a:graphicData>
            </a:graphic>
          </wp:inline>
        </w:drawing>
      </w:r>
    </w:p>
    <w:p w14:paraId="4501D129" w14:textId="1AD5DEF4" w:rsidR="008E531E" w:rsidRDefault="004C4BC0" w:rsidP="005515F2">
      <w:r>
        <w:t xml:space="preserve">Though the </w:t>
      </w:r>
      <w:r w:rsidR="00E43CA6">
        <w:t xml:space="preserve">Modern </w:t>
      </w:r>
      <w:r>
        <w:t xml:space="preserve">Industrial Strategy focuses on a Life Sciences sector, due to the way data is presented by the ONS it is difficult to create a subregional </w:t>
      </w:r>
      <w:r w:rsidR="008E531E">
        <w:t>life sciences dataset. Presented above are human health activities</w:t>
      </w:r>
      <w:r w:rsidR="004B5A55">
        <w:t>,</w:t>
      </w:r>
      <w:r w:rsidR="008E531E">
        <w:t xml:space="preserve"> which</w:t>
      </w:r>
      <w:r w:rsidR="004B5A55">
        <w:t xml:space="preserve"> </w:t>
      </w:r>
      <w:r w:rsidR="008E531E">
        <w:t>include</w:t>
      </w:r>
      <w:r w:rsidR="004B5A55">
        <w:t>s</w:t>
      </w:r>
      <w:r w:rsidR="008E531E">
        <w:t xml:space="preserve"> front line health delivery, and scientific research and development. Some areas will therefore find that their local economy is dominated by front line delivery rather than research and development with the resulting impact on levels of productivity given that research and development employment will generally be in higher </w:t>
      </w:r>
      <w:r w:rsidR="005F5400">
        <w:t>value-added</w:t>
      </w:r>
      <w:r w:rsidR="008E531E">
        <w:t xml:space="preserve"> positions. Additionally, again due to data issues</w:t>
      </w:r>
      <w:r w:rsidR="005F5400">
        <w:t>,</w:t>
      </w:r>
      <w:r w:rsidR="008E531E">
        <w:t xml:space="preserve"> some areas of what could be considered life sciences are represented in other parts of this analysis. The manufacture of pharmaceuticals is found within clean energy as it is grouped with the manufacture of petroleum and chemicals in the regional GVA statistics. </w:t>
      </w:r>
      <w:r w:rsidR="005F5400">
        <w:t>Likewise,</w:t>
      </w:r>
      <w:r w:rsidR="008E531E">
        <w:t xml:space="preserve"> some aspects of analysis are found within advanced manufacturing within technical testing and analysis. </w:t>
      </w:r>
    </w:p>
    <w:p w14:paraId="67C5CE00" w14:textId="5A208B0B" w:rsidR="00761B6A" w:rsidRDefault="00F15C92" w:rsidP="005515F2">
      <w:r>
        <w:t>West Yorkshire</w:t>
      </w:r>
      <w:r w:rsidR="008E531E">
        <w:t xml:space="preserve"> appears as having the most mature human health activities sector which supports the comments made by the Secretary of State for Health referring to Leeds as a “healthcare innovation powerhouse”</w:t>
      </w:r>
      <w:r w:rsidR="00063F90">
        <w:t>.</w:t>
      </w:r>
    </w:p>
    <w:p w14:paraId="6530CEF2" w14:textId="77777777" w:rsidR="00E43CA6" w:rsidRDefault="00E43CA6" w:rsidP="005515F2"/>
    <w:p w14:paraId="795A03DC" w14:textId="77777777" w:rsidR="00E43CA6" w:rsidRDefault="00E43CA6" w:rsidP="005515F2"/>
    <w:p w14:paraId="46D40C3C" w14:textId="77777777" w:rsidR="00E43CA6" w:rsidRDefault="00E43CA6" w:rsidP="005515F2"/>
    <w:p w14:paraId="4BCDF79B" w14:textId="77777777" w:rsidR="00E43CA6" w:rsidRDefault="00E43CA6" w:rsidP="005515F2"/>
    <w:p w14:paraId="5A5B55B3" w14:textId="4FE6295F" w:rsidR="005F71E0" w:rsidRDefault="005F71E0" w:rsidP="005515F2">
      <w:r>
        <w:t xml:space="preserve">Figure </w:t>
      </w:r>
      <w:r w:rsidR="005411BA">
        <w:t>12</w:t>
      </w:r>
      <w:r>
        <w:t>: Digital and Technologies</w:t>
      </w:r>
    </w:p>
    <w:p w14:paraId="1329B6FF" w14:textId="6762ADA0" w:rsidR="005F71E0" w:rsidRDefault="004740A1" w:rsidP="005515F2">
      <w:r>
        <w:rPr>
          <w:noProof/>
        </w:rPr>
        <w:drawing>
          <wp:inline distT="0" distB="0" distL="0" distR="0" wp14:anchorId="375925CD" wp14:editId="5AD91464">
            <wp:extent cx="6301740" cy="3544360"/>
            <wp:effectExtent l="0" t="0" r="3810" b="0"/>
            <wp:docPr id="7967247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5410" cy="3546424"/>
                    </a:xfrm>
                    <a:prstGeom prst="rect">
                      <a:avLst/>
                    </a:prstGeom>
                    <a:noFill/>
                  </pic:spPr>
                </pic:pic>
              </a:graphicData>
            </a:graphic>
          </wp:inline>
        </w:drawing>
      </w:r>
    </w:p>
    <w:p w14:paraId="2B789D12" w14:textId="4EFD2978" w:rsidR="005F71E0" w:rsidRDefault="00C12D27" w:rsidP="005515F2">
      <w:r>
        <w:t xml:space="preserve">The presence of any regions strengths in the foundational category, such as computer programming and </w:t>
      </w:r>
      <w:r w:rsidR="0015683A">
        <w:t>telecommunications</w:t>
      </w:r>
      <w:r>
        <w:t xml:space="preserve"> for Greater Manchester, is an opportunity to increase this sector</w:t>
      </w:r>
      <w:r w:rsidR="0015683A">
        <w:t>’</w:t>
      </w:r>
      <w:r>
        <w:t xml:space="preserve">s relative </w:t>
      </w:r>
      <w:r w:rsidR="0015683A">
        <w:t>productivity</w:t>
      </w:r>
      <w:r>
        <w:t xml:space="preserve"> to other regions based on the scale of these sectors. The presence of Cheshire as a neighbouring sub-region with computer programming as a mature cluster shows the opportunity to mirror that relative productivity to the average outside London with further investment. </w:t>
      </w:r>
    </w:p>
    <w:p w14:paraId="0D0459F9" w14:textId="77777777" w:rsidR="0015683A" w:rsidRDefault="0015683A" w:rsidP="005515F2"/>
    <w:p w14:paraId="3DE9BAA0" w14:textId="77777777" w:rsidR="0015683A" w:rsidRDefault="0015683A" w:rsidP="005515F2"/>
    <w:p w14:paraId="60493FEF" w14:textId="77777777" w:rsidR="0015683A" w:rsidRDefault="0015683A" w:rsidP="005515F2"/>
    <w:p w14:paraId="66A1DB90" w14:textId="77777777" w:rsidR="0015683A" w:rsidRDefault="0015683A" w:rsidP="005515F2"/>
    <w:p w14:paraId="0BF18FBD" w14:textId="77777777" w:rsidR="0015683A" w:rsidRDefault="0015683A" w:rsidP="005515F2"/>
    <w:p w14:paraId="7A752A3A" w14:textId="77777777" w:rsidR="0015683A" w:rsidRDefault="0015683A" w:rsidP="005515F2"/>
    <w:p w14:paraId="22F73BF1" w14:textId="77777777" w:rsidR="0015683A" w:rsidRDefault="0015683A" w:rsidP="005515F2"/>
    <w:p w14:paraId="3D957A85" w14:textId="77777777" w:rsidR="0015683A" w:rsidRDefault="0015683A" w:rsidP="005515F2"/>
    <w:p w14:paraId="110E82B5" w14:textId="77777777" w:rsidR="0015683A" w:rsidRDefault="0015683A" w:rsidP="005515F2"/>
    <w:p w14:paraId="0F36BB23" w14:textId="2A8A2732" w:rsidR="005F71E0" w:rsidRDefault="00FA3AE7" w:rsidP="005515F2">
      <w:r>
        <w:t xml:space="preserve">Figure </w:t>
      </w:r>
      <w:r w:rsidR="00F81140">
        <w:t>13</w:t>
      </w:r>
      <w:r>
        <w:t>: Creative Industries</w:t>
      </w:r>
    </w:p>
    <w:p w14:paraId="02D1384D" w14:textId="6299D7E7" w:rsidR="00FA3AE7" w:rsidRDefault="003E5FC6" w:rsidP="005515F2">
      <w:r>
        <w:rPr>
          <w:noProof/>
        </w:rPr>
        <w:drawing>
          <wp:inline distT="0" distB="0" distL="0" distR="0" wp14:anchorId="481355E4" wp14:editId="4D2D3863">
            <wp:extent cx="6408241" cy="3604260"/>
            <wp:effectExtent l="0" t="0" r="0" b="0"/>
            <wp:docPr id="17088852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9454" cy="3604942"/>
                    </a:xfrm>
                    <a:prstGeom prst="rect">
                      <a:avLst/>
                    </a:prstGeom>
                    <a:noFill/>
                  </pic:spPr>
                </pic:pic>
              </a:graphicData>
            </a:graphic>
          </wp:inline>
        </w:drawing>
      </w:r>
    </w:p>
    <w:p w14:paraId="00D94B7B" w14:textId="74B90F8D" w:rsidR="00FA3AE7" w:rsidRDefault="002C5E8C" w:rsidP="005515F2">
      <w:r>
        <w:t>Given the presence of MediaCity in Salford,</w:t>
      </w:r>
      <w:r w:rsidR="002B0650">
        <w:t xml:space="preserve"> and the arrival of Channel 4 in Leeds, it is disappointing to see both areas appear in the lower right quadrant for film and TV production. </w:t>
      </w:r>
      <w:r w:rsidR="00C12D27">
        <w:t>Attracting scale investment does not mean that the most highly productive jobs will be secured automatically and interventions such as Tileyard North in Wakefield which give businesses considering entering the region equivalent or better facilities than available in London have only just begun to take effect.</w:t>
      </w:r>
      <w:r w:rsidR="001D65B7">
        <w:t xml:space="preserve"> It should also be highlighted that as this analysis is based on 2022 data, the position </w:t>
      </w:r>
      <w:r w:rsidR="00E92FB0">
        <w:t>of these areas will hopefully begin to move upwards in future years.</w:t>
      </w:r>
    </w:p>
    <w:p w14:paraId="7A7051E1" w14:textId="77777777" w:rsidR="0015683A" w:rsidRDefault="0015683A" w:rsidP="005515F2"/>
    <w:p w14:paraId="685E3724" w14:textId="77777777" w:rsidR="0015683A" w:rsidRDefault="0015683A" w:rsidP="005515F2"/>
    <w:p w14:paraId="30031942" w14:textId="77777777" w:rsidR="0015683A" w:rsidRDefault="0015683A" w:rsidP="005515F2"/>
    <w:p w14:paraId="75749831" w14:textId="77777777" w:rsidR="0015683A" w:rsidRDefault="0015683A" w:rsidP="005515F2"/>
    <w:p w14:paraId="2912686F" w14:textId="77777777" w:rsidR="0015683A" w:rsidRDefault="0015683A" w:rsidP="005515F2"/>
    <w:p w14:paraId="43922F40" w14:textId="77777777" w:rsidR="0015683A" w:rsidRDefault="0015683A" w:rsidP="005515F2"/>
    <w:p w14:paraId="501E730E" w14:textId="77777777" w:rsidR="0015683A" w:rsidRDefault="0015683A" w:rsidP="005515F2"/>
    <w:p w14:paraId="59E04DAB" w14:textId="77777777" w:rsidR="0015683A" w:rsidRDefault="0015683A" w:rsidP="005515F2"/>
    <w:p w14:paraId="2115ABCF" w14:textId="3B30CAC9" w:rsidR="00FA3AE7" w:rsidRDefault="004F0831" w:rsidP="005515F2">
      <w:r>
        <w:t xml:space="preserve">Figure </w:t>
      </w:r>
      <w:r w:rsidR="00F81140">
        <w:t>14</w:t>
      </w:r>
      <w:r>
        <w:t>: Professional and Business Services</w:t>
      </w:r>
    </w:p>
    <w:p w14:paraId="13B99B3A" w14:textId="34C9559D" w:rsidR="004F0831" w:rsidRDefault="003C600E" w:rsidP="005515F2">
      <w:r>
        <w:rPr>
          <w:noProof/>
        </w:rPr>
        <w:drawing>
          <wp:inline distT="0" distB="0" distL="0" distR="0" wp14:anchorId="50DA3555" wp14:editId="74070A90">
            <wp:extent cx="6475981" cy="3642360"/>
            <wp:effectExtent l="0" t="0" r="1270" b="0"/>
            <wp:docPr id="162672250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9008" cy="3644063"/>
                    </a:xfrm>
                    <a:prstGeom prst="rect">
                      <a:avLst/>
                    </a:prstGeom>
                    <a:noFill/>
                  </pic:spPr>
                </pic:pic>
              </a:graphicData>
            </a:graphic>
          </wp:inline>
        </w:drawing>
      </w:r>
    </w:p>
    <w:p w14:paraId="0A7331B8" w14:textId="68A521C6" w:rsidR="00FA3AE7" w:rsidRDefault="00393F82" w:rsidP="005515F2">
      <w:r>
        <w:t xml:space="preserve">Greater Manchester appears </w:t>
      </w:r>
      <w:r w:rsidR="009B5744">
        <w:t>twice</w:t>
      </w:r>
      <w:r>
        <w:t xml:space="preserve"> in the mature quadrant with </w:t>
      </w:r>
      <w:r w:rsidR="00130A09">
        <w:t>advertising and office/business support services. Legal and accountancy services could be considered part of this industrial sector,</w:t>
      </w:r>
      <w:r w:rsidR="00E57A14">
        <w:t xml:space="preserve"> but we have placed them within the financial services sector </w:t>
      </w:r>
      <w:r w:rsidR="00325333">
        <w:t>that follows below.</w:t>
      </w:r>
    </w:p>
    <w:p w14:paraId="4FCB82DA" w14:textId="77777777" w:rsidR="0015683A" w:rsidRDefault="0015683A" w:rsidP="005515F2"/>
    <w:p w14:paraId="1FF8EF5E" w14:textId="77777777" w:rsidR="0015683A" w:rsidRDefault="0015683A" w:rsidP="005515F2"/>
    <w:p w14:paraId="22968C8C" w14:textId="77777777" w:rsidR="0015683A" w:rsidRDefault="0015683A" w:rsidP="005515F2"/>
    <w:p w14:paraId="3B6B8C5E" w14:textId="77777777" w:rsidR="0015683A" w:rsidRDefault="0015683A" w:rsidP="005515F2"/>
    <w:p w14:paraId="733A31FD" w14:textId="77777777" w:rsidR="0015683A" w:rsidRDefault="0015683A" w:rsidP="005515F2"/>
    <w:p w14:paraId="05E52AD8" w14:textId="77777777" w:rsidR="0015683A" w:rsidRDefault="0015683A" w:rsidP="005515F2"/>
    <w:p w14:paraId="53734C29" w14:textId="77777777" w:rsidR="0015683A" w:rsidRDefault="0015683A" w:rsidP="005515F2"/>
    <w:p w14:paraId="1D62B915" w14:textId="77777777" w:rsidR="0015683A" w:rsidRDefault="0015683A" w:rsidP="005515F2"/>
    <w:p w14:paraId="45FB9529" w14:textId="77777777" w:rsidR="0015683A" w:rsidRDefault="0015683A" w:rsidP="005515F2"/>
    <w:p w14:paraId="1F85675D" w14:textId="77777777" w:rsidR="0015683A" w:rsidRDefault="0015683A" w:rsidP="005515F2"/>
    <w:p w14:paraId="547192C1" w14:textId="5BDB29D5" w:rsidR="00325333" w:rsidRDefault="00325333" w:rsidP="005515F2">
      <w:r>
        <w:t xml:space="preserve">Figure </w:t>
      </w:r>
      <w:r w:rsidR="00F81140">
        <w:t>15</w:t>
      </w:r>
      <w:r>
        <w:t xml:space="preserve">: </w:t>
      </w:r>
      <w:r w:rsidR="00521ED8">
        <w:t>Financial Services</w:t>
      </w:r>
    </w:p>
    <w:p w14:paraId="2D68CA46" w14:textId="1BF8CB3F" w:rsidR="004C49DC" w:rsidRDefault="00D1474F" w:rsidP="005515F2">
      <w:r>
        <w:rPr>
          <w:noProof/>
        </w:rPr>
        <w:drawing>
          <wp:inline distT="0" distB="0" distL="0" distR="0" wp14:anchorId="01763D01" wp14:editId="2CEF511A">
            <wp:extent cx="6286308" cy="3535680"/>
            <wp:effectExtent l="0" t="0" r="635" b="7620"/>
            <wp:docPr id="312790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9915" cy="3537709"/>
                    </a:xfrm>
                    <a:prstGeom prst="rect">
                      <a:avLst/>
                    </a:prstGeom>
                    <a:noFill/>
                  </pic:spPr>
                </pic:pic>
              </a:graphicData>
            </a:graphic>
          </wp:inline>
        </w:drawing>
      </w:r>
    </w:p>
    <w:p w14:paraId="20B40278" w14:textId="268F6E3F" w:rsidR="004C49DC" w:rsidRDefault="0056124B" w:rsidP="005515F2">
      <w:r>
        <w:t>The financial services sector displays a real strength of the Northern economy</w:t>
      </w:r>
      <w:r w:rsidR="005E41EB">
        <w:t>, with Cheshire, Greater Manchester and West Yorkshire each appearing three times in the upper right quadrant, with Merseyside also appearing once. The decision to locate the Bank of England and the National Wealth Fund in Leeds has</w:t>
      </w:r>
      <w:r w:rsidR="00AD0EDC">
        <w:t xml:space="preserve"> clearly been driven by a desire to </w:t>
      </w:r>
      <w:r w:rsidR="00DE7324">
        <w:t>take advantage of the talent within the labour market.</w:t>
      </w:r>
    </w:p>
    <w:p w14:paraId="79FD9730" w14:textId="77777777" w:rsidR="0015683A" w:rsidRDefault="0015683A" w:rsidP="005515F2"/>
    <w:p w14:paraId="18E21224" w14:textId="77777777" w:rsidR="0015683A" w:rsidRDefault="0015683A" w:rsidP="005515F2"/>
    <w:p w14:paraId="7FD54A55" w14:textId="77777777" w:rsidR="0015683A" w:rsidRDefault="0015683A" w:rsidP="005515F2"/>
    <w:p w14:paraId="4F20F684" w14:textId="77777777" w:rsidR="0015683A" w:rsidRDefault="0015683A" w:rsidP="005515F2"/>
    <w:p w14:paraId="4C7996CA" w14:textId="77777777" w:rsidR="0015683A" w:rsidRDefault="0015683A" w:rsidP="005515F2"/>
    <w:p w14:paraId="1CD89F7D" w14:textId="77777777" w:rsidR="0015683A" w:rsidRDefault="0015683A" w:rsidP="005515F2"/>
    <w:p w14:paraId="575C80FE" w14:textId="77777777" w:rsidR="0015683A" w:rsidRDefault="0015683A" w:rsidP="005515F2"/>
    <w:p w14:paraId="710A4290" w14:textId="77777777" w:rsidR="0015683A" w:rsidRDefault="0015683A" w:rsidP="005515F2"/>
    <w:p w14:paraId="26FAD789" w14:textId="77777777" w:rsidR="0015683A" w:rsidRDefault="0015683A" w:rsidP="005515F2"/>
    <w:p w14:paraId="1B110F9F" w14:textId="77777777" w:rsidR="0015683A" w:rsidRDefault="0015683A" w:rsidP="005515F2"/>
    <w:p w14:paraId="7C114493" w14:textId="002B6011" w:rsidR="00DE7324" w:rsidRDefault="00DE7324" w:rsidP="005515F2">
      <w:r>
        <w:t xml:space="preserve">Figure </w:t>
      </w:r>
      <w:r w:rsidR="00F81140">
        <w:t>16</w:t>
      </w:r>
      <w:r>
        <w:t>: Defence</w:t>
      </w:r>
    </w:p>
    <w:p w14:paraId="48BB687D" w14:textId="7FD0A85E" w:rsidR="00DE7324" w:rsidRDefault="004F3384" w:rsidP="005515F2">
      <w:r>
        <w:rPr>
          <w:noProof/>
        </w:rPr>
        <w:drawing>
          <wp:inline distT="0" distB="0" distL="0" distR="0" wp14:anchorId="6073276B" wp14:editId="52B60BCB">
            <wp:extent cx="6416040" cy="3608647"/>
            <wp:effectExtent l="0" t="0" r="3810" b="0"/>
            <wp:docPr id="4315880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24325" cy="3613307"/>
                    </a:xfrm>
                    <a:prstGeom prst="rect">
                      <a:avLst/>
                    </a:prstGeom>
                    <a:noFill/>
                  </pic:spPr>
                </pic:pic>
              </a:graphicData>
            </a:graphic>
          </wp:inline>
        </w:drawing>
      </w:r>
    </w:p>
    <w:p w14:paraId="16D8C85D" w14:textId="6A7B3A9A" w:rsidR="004C49DC" w:rsidRDefault="000B7788" w:rsidP="005515F2">
      <w:r>
        <w:t xml:space="preserve">Defence is a </w:t>
      </w:r>
      <w:r w:rsidR="00445D34">
        <w:t>difficult</w:t>
      </w:r>
      <w:r>
        <w:t xml:space="preserve"> sector to classify given its very specialist nature. The two subsectors </w:t>
      </w:r>
      <w:r w:rsidR="00B01935">
        <w:t xml:space="preserve">above attempt to </w:t>
      </w:r>
      <w:r w:rsidR="004B2352">
        <w:t>capture some of this, though it may well be that many of the capabilities could be captured within the advanced manufacturing sector.</w:t>
      </w:r>
    </w:p>
    <w:p w14:paraId="6C613BC7" w14:textId="77777777" w:rsidR="0015683A" w:rsidRDefault="0015683A" w:rsidP="005515F2"/>
    <w:p w14:paraId="37C99907" w14:textId="77777777" w:rsidR="0015683A" w:rsidRDefault="0015683A" w:rsidP="005515F2"/>
    <w:p w14:paraId="46D56F71" w14:textId="77777777" w:rsidR="0015683A" w:rsidRDefault="0015683A" w:rsidP="005515F2"/>
    <w:p w14:paraId="6182B3A5" w14:textId="77777777" w:rsidR="0015683A" w:rsidRDefault="0015683A" w:rsidP="005515F2"/>
    <w:p w14:paraId="2AC12A48" w14:textId="77777777" w:rsidR="0015683A" w:rsidRDefault="0015683A" w:rsidP="005515F2"/>
    <w:p w14:paraId="754E9FD8" w14:textId="77777777" w:rsidR="0015683A" w:rsidRDefault="0015683A" w:rsidP="005515F2"/>
    <w:p w14:paraId="7DB3953A" w14:textId="77777777" w:rsidR="0015683A" w:rsidRDefault="0015683A" w:rsidP="005515F2"/>
    <w:p w14:paraId="1D39AE01" w14:textId="77777777" w:rsidR="0015683A" w:rsidRDefault="0015683A" w:rsidP="005515F2"/>
    <w:p w14:paraId="30D8FC43" w14:textId="77777777" w:rsidR="0015683A" w:rsidRDefault="0015683A" w:rsidP="005515F2"/>
    <w:p w14:paraId="661CC39C" w14:textId="77777777" w:rsidR="0015683A" w:rsidRDefault="0015683A" w:rsidP="005515F2"/>
    <w:p w14:paraId="3EF88EAC" w14:textId="77777777" w:rsidR="0015683A" w:rsidRDefault="0015683A" w:rsidP="005515F2"/>
    <w:p w14:paraId="0BEA313F" w14:textId="78891BB3" w:rsidR="004F3384" w:rsidRDefault="00545EF1" w:rsidP="005515F2">
      <w:r>
        <w:t xml:space="preserve">Figure </w:t>
      </w:r>
      <w:r w:rsidR="00F81140">
        <w:t>17</w:t>
      </w:r>
      <w:r>
        <w:t>: NPIER Additional Capabilities</w:t>
      </w:r>
    </w:p>
    <w:p w14:paraId="5A08E955" w14:textId="1B60AA9C" w:rsidR="00545EF1" w:rsidRDefault="0079435E" w:rsidP="005515F2">
      <w:r>
        <w:rPr>
          <w:noProof/>
        </w:rPr>
        <w:drawing>
          <wp:inline distT="0" distB="0" distL="0" distR="0" wp14:anchorId="628E56B2" wp14:editId="41B8342A">
            <wp:extent cx="6530173" cy="3672840"/>
            <wp:effectExtent l="0" t="0" r="4445" b="3810"/>
            <wp:docPr id="187514438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32889" cy="3674368"/>
                    </a:xfrm>
                    <a:prstGeom prst="rect">
                      <a:avLst/>
                    </a:prstGeom>
                    <a:noFill/>
                  </pic:spPr>
                </pic:pic>
              </a:graphicData>
            </a:graphic>
          </wp:inline>
        </w:drawing>
      </w:r>
    </w:p>
    <w:p w14:paraId="12EE1185" w14:textId="6084BDEC" w:rsidR="004F3384" w:rsidRDefault="00521926" w:rsidP="005515F2">
      <w:r>
        <w:t xml:space="preserve">The final ‘sector’ presented here reflects the additional capabilities identified in the </w:t>
      </w:r>
      <w:r w:rsidR="005303C7">
        <w:t xml:space="preserve">NPIER. Again, a significant number of areas appear in the top left and bottom right quadrants, </w:t>
      </w:r>
      <w:r w:rsidR="005E41EB">
        <w:t>indicating</w:t>
      </w:r>
      <w:r w:rsidR="005303C7">
        <w:t xml:space="preserve"> potential targets for growth or those </w:t>
      </w:r>
      <w:r w:rsidR="007F2AA4">
        <w:t xml:space="preserve">sub-sectors that could benefit the most from programmes designed to improve productivity. </w:t>
      </w:r>
    </w:p>
    <w:p w14:paraId="1A12467B" w14:textId="77777777" w:rsidR="0015683A" w:rsidRDefault="0015683A" w:rsidP="007F0C47">
      <w:pPr>
        <w:pStyle w:val="Heading2"/>
      </w:pPr>
    </w:p>
    <w:p w14:paraId="24971A9D" w14:textId="60864502" w:rsidR="007F0C47" w:rsidRDefault="007F0C47" w:rsidP="007F0C47">
      <w:pPr>
        <w:pStyle w:val="Heading2"/>
      </w:pPr>
      <w:r>
        <w:t>Economic Impact</w:t>
      </w:r>
    </w:p>
    <w:p w14:paraId="06ED4D59" w14:textId="7ADD9A49" w:rsidR="00BA4B3F" w:rsidRPr="00BA4B3F" w:rsidRDefault="00BA4B3F" w:rsidP="00BA4B3F">
      <w:r w:rsidRPr="00BA4B3F">
        <w:t>Taking the analysis presented above</w:t>
      </w:r>
      <w:r w:rsidR="005E41EB">
        <w:t xml:space="preserve">, we have </w:t>
      </w:r>
      <w:r w:rsidRPr="00BA4B3F">
        <w:t xml:space="preserve">calculated what the potential GVA uplift could be from improving the factors of productivity set out earlier in this paper. </w:t>
      </w:r>
      <w:r w:rsidRPr="007D5732">
        <w:t xml:space="preserve">From literature reviews and past focus groups, a range of productivity improvements have been estimated </w:t>
      </w:r>
      <w:r w:rsidR="0015683A" w:rsidRPr="007D5732">
        <w:t>for</w:t>
      </w:r>
      <w:r w:rsidRPr="007D5732">
        <w:t xml:space="preserve"> each industrial sector by region based on which quadrant it was assigned to.</w:t>
      </w:r>
      <w:r w:rsidRPr="00BA4B3F">
        <w:t xml:space="preserve"> This uplift is based on a ten-year forward look and is therefore over a much shorter time horizon than that presented in the NPIER.</w:t>
      </w:r>
    </w:p>
    <w:p w14:paraId="52FFB708" w14:textId="4C1AD65F" w:rsidR="0096507F" w:rsidRPr="0096507F" w:rsidRDefault="0096507F" w:rsidP="0096507F">
      <w:pPr>
        <w:rPr>
          <w:b/>
          <w:bCs/>
        </w:rPr>
      </w:pPr>
      <w:bookmarkStart w:id="24" w:name="_Toc1793451841"/>
      <w:r w:rsidRPr="0096507F">
        <w:t>Figure</w:t>
      </w:r>
      <w:r w:rsidR="00F81140">
        <w:t xml:space="preserve"> 18</w:t>
      </w:r>
      <w:r w:rsidRPr="0096507F">
        <w:t>: Overall GVA Increase – Low Estimate £m</w:t>
      </w:r>
      <w:bookmarkEnd w:id="24"/>
    </w:p>
    <w:tbl>
      <w:tblPr>
        <w:tblStyle w:val="TableGrid"/>
        <w:tblW w:w="9630" w:type="dxa"/>
        <w:tblLayout w:type="fixed"/>
        <w:tblLook w:val="04A0" w:firstRow="1" w:lastRow="0" w:firstColumn="1" w:lastColumn="0" w:noHBand="0" w:noVBand="1"/>
      </w:tblPr>
      <w:tblGrid>
        <w:gridCol w:w="3538"/>
        <w:gridCol w:w="1417"/>
        <w:gridCol w:w="1275"/>
        <w:gridCol w:w="1700"/>
        <w:gridCol w:w="1700"/>
      </w:tblGrid>
      <w:tr w:rsidR="0096507F" w:rsidRPr="0096507F" w14:paraId="5C27D2F0" w14:textId="77777777" w:rsidTr="0096507F">
        <w:trPr>
          <w:trHeight w:val="585"/>
        </w:trPr>
        <w:tc>
          <w:tcPr>
            <w:tcW w:w="3539" w:type="dxa"/>
            <w:tcBorders>
              <w:top w:val="single" w:sz="4" w:space="0" w:color="auto"/>
              <w:left w:val="single" w:sz="4" w:space="0" w:color="auto"/>
              <w:bottom w:val="single" w:sz="4" w:space="0" w:color="auto"/>
              <w:right w:val="single" w:sz="4" w:space="0" w:color="auto"/>
            </w:tcBorders>
            <w:shd w:val="clear" w:color="auto" w:fill="85BAC8" w:themeFill="accent1"/>
            <w:hideMark/>
          </w:tcPr>
          <w:p w14:paraId="371D905D" w14:textId="77777777" w:rsidR="0096507F" w:rsidRPr="0096507F" w:rsidRDefault="0096507F" w:rsidP="0096507F">
            <w:pPr>
              <w:spacing w:after="200" w:line="276" w:lineRule="auto"/>
              <w:rPr>
                <w:b/>
                <w:bCs/>
              </w:rPr>
            </w:pPr>
            <w:r w:rsidRPr="0096507F">
              <w:rPr>
                <w:b/>
                <w:bCs/>
              </w:rPr>
              <w:lastRenderedPageBreak/>
              <w:t>Sector</w:t>
            </w:r>
          </w:p>
        </w:tc>
        <w:tc>
          <w:tcPr>
            <w:tcW w:w="1418" w:type="dxa"/>
            <w:tcBorders>
              <w:top w:val="single" w:sz="4" w:space="0" w:color="auto"/>
              <w:left w:val="single" w:sz="4" w:space="0" w:color="auto"/>
              <w:bottom w:val="single" w:sz="4" w:space="0" w:color="auto"/>
              <w:right w:val="single" w:sz="4" w:space="0" w:color="auto"/>
            </w:tcBorders>
            <w:shd w:val="clear" w:color="auto" w:fill="85BAC8" w:themeFill="accent1"/>
            <w:hideMark/>
          </w:tcPr>
          <w:p w14:paraId="04380D31" w14:textId="77777777" w:rsidR="0096507F" w:rsidRPr="0096507F" w:rsidRDefault="0096507F" w:rsidP="0096507F">
            <w:pPr>
              <w:spacing w:after="200" w:line="276" w:lineRule="auto"/>
              <w:rPr>
                <w:b/>
                <w:bCs/>
              </w:rPr>
            </w:pPr>
            <w:r w:rsidRPr="0096507F">
              <w:rPr>
                <w:b/>
                <w:bCs/>
              </w:rPr>
              <w:t xml:space="preserve">North East </w:t>
            </w:r>
          </w:p>
        </w:tc>
        <w:tc>
          <w:tcPr>
            <w:tcW w:w="1275" w:type="dxa"/>
            <w:tcBorders>
              <w:top w:val="single" w:sz="4" w:space="0" w:color="auto"/>
              <w:left w:val="single" w:sz="4" w:space="0" w:color="auto"/>
              <w:bottom w:val="single" w:sz="4" w:space="0" w:color="auto"/>
              <w:right w:val="single" w:sz="4" w:space="0" w:color="auto"/>
            </w:tcBorders>
            <w:shd w:val="clear" w:color="auto" w:fill="85BAC8" w:themeFill="accent1"/>
            <w:hideMark/>
          </w:tcPr>
          <w:p w14:paraId="755EB643" w14:textId="77777777" w:rsidR="0096507F" w:rsidRPr="0096507F" w:rsidRDefault="0096507F" w:rsidP="0096507F">
            <w:pPr>
              <w:spacing w:after="200" w:line="276" w:lineRule="auto"/>
              <w:rPr>
                <w:b/>
                <w:bCs/>
              </w:rPr>
            </w:pPr>
            <w:r w:rsidRPr="0096507F">
              <w:rPr>
                <w:b/>
                <w:bCs/>
              </w:rPr>
              <w:t>North West</w:t>
            </w:r>
          </w:p>
        </w:tc>
        <w:tc>
          <w:tcPr>
            <w:tcW w:w="1701" w:type="dxa"/>
            <w:tcBorders>
              <w:top w:val="single" w:sz="4" w:space="0" w:color="auto"/>
              <w:left w:val="single" w:sz="4" w:space="0" w:color="auto"/>
              <w:bottom w:val="single" w:sz="4" w:space="0" w:color="auto"/>
              <w:right w:val="single" w:sz="4" w:space="0" w:color="auto"/>
            </w:tcBorders>
            <w:shd w:val="clear" w:color="auto" w:fill="85BAC8" w:themeFill="accent1"/>
            <w:hideMark/>
          </w:tcPr>
          <w:p w14:paraId="4D8321A6" w14:textId="77777777" w:rsidR="0096507F" w:rsidRPr="0096507F" w:rsidRDefault="0096507F" w:rsidP="0096507F">
            <w:pPr>
              <w:spacing w:after="200" w:line="276" w:lineRule="auto"/>
            </w:pPr>
            <w:r w:rsidRPr="0096507F">
              <w:rPr>
                <w:b/>
                <w:bCs/>
              </w:rPr>
              <w:t>Yorkshire and the Humber</w:t>
            </w:r>
          </w:p>
        </w:tc>
        <w:tc>
          <w:tcPr>
            <w:tcW w:w="1701" w:type="dxa"/>
            <w:tcBorders>
              <w:top w:val="single" w:sz="4" w:space="0" w:color="auto"/>
              <w:left w:val="single" w:sz="4" w:space="0" w:color="auto"/>
              <w:bottom w:val="single" w:sz="4" w:space="0" w:color="auto"/>
              <w:right w:val="single" w:sz="4" w:space="0" w:color="auto"/>
            </w:tcBorders>
            <w:shd w:val="clear" w:color="auto" w:fill="85BAC8" w:themeFill="accent1"/>
            <w:hideMark/>
          </w:tcPr>
          <w:p w14:paraId="3AAEBA24" w14:textId="77777777" w:rsidR="0096507F" w:rsidRPr="0096507F" w:rsidRDefault="0096507F" w:rsidP="0096507F">
            <w:pPr>
              <w:spacing w:after="200" w:line="276" w:lineRule="auto"/>
            </w:pPr>
            <w:r w:rsidRPr="0096507F">
              <w:rPr>
                <w:b/>
                <w:bCs/>
              </w:rPr>
              <w:t>Total</w:t>
            </w:r>
          </w:p>
        </w:tc>
      </w:tr>
      <w:tr w:rsidR="0096507F" w:rsidRPr="0096507F" w14:paraId="4EBCA35D" w14:textId="77777777" w:rsidTr="0096507F">
        <w:trPr>
          <w:trHeight w:val="406"/>
        </w:trPr>
        <w:tc>
          <w:tcPr>
            <w:tcW w:w="3539" w:type="dxa"/>
            <w:tcBorders>
              <w:top w:val="single" w:sz="4" w:space="0" w:color="auto"/>
              <w:left w:val="single" w:sz="4" w:space="0" w:color="auto"/>
              <w:bottom w:val="single" w:sz="4" w:space="0" w:color="auto"/>
              <w:right w:val="single" w:sz="4" w:space="0" w:color="auto"/>
            </w:tcBorders>
            <w:hideMark/>
          </w:tcPr>
          <w:p w14:paraId="7ED4358C" w14:textId="77777777" w:rsidR="0096507F" w:rsidRPr="0096507F" w:rsidRDefault="0096507F" w:rsidP="0096507F">
            <w:pPr>
              <w:spacing w:after="200" w:line="276" w:lineRule="auto"/>
            </w:pPr>
            <w:r w:rsidRPr="0096507F">
              <w:t>Absorptive Capacity</w:t>
            </w:r>
          </w:p>
        </w:tc>
        <w:tc>
          <w:tcPr>
            <w:tcW w:w="1418" w:type="dxa"/>
            <w:tcBorders>
              <w:top w:val="single" w:sz="4" w:space="0" w:color="auto"/>
              <w:left w:val="single" w:sz="4" w:space="0" w:color="auto"/>
              <w:bottom w:val="single" w:sz="4" w:space="0" w:color="auto"/>
              <w:right w:val="single" w:sz="4" w:space="0" w:color="auto"/>
            </w:tcBorders>
            <w:hideMark/>
          </w:tcPr>
          <w:p w14:paraId="2E173F6F" w14:textId="672A2553" w:rsidR="0096507F" w:rsidRPr="0096507F" w:rsidRDefault="000D2EB4" w:rsidP="0096507F">
            <w:pPr>
              <w:spacing w:after="200" w:line="276" w:lineRule="auto"/>
            </w:pPr>
            <w:r>
              <w:t>2,436</w:t>
            </w:r>
          </w:p>
        </w:tc>
        <w:tc>
          <w:tcPr>
            <w:tcW w:w="1275" w:type="dxa"/>
            <w:tcBorders>
              <w:top w:val="single" w:sz="4" w:space="0" w:color="auto"/>
              <w:left w:val="single" w:sz="4" w:space="0" w:color="auto"/>
              <w:bottom w:val="single" w:sz="4" w:space="0" w:color="auto"/>
              <w:right w:val="single" w:sz="4" w:space="0" w:color="auto"/>
            </w:tcBorders>
            <w:vAlign w:val="bottom"/>
            <w:hideMark/>
          </w:tcPr>
          <w:p w14:paraId="4CE95DAA" w14:textId="786B2F1E" w:rsidR="0096507F" w:rsidRPr="0096507F" w:rsidRDefault="00576407" w:rsidP="0096507F">
            <w:pPr>
              <w:spacing w:after="200" w:line="276" w:lineRule="auto"/>
            </w:pPr>
            <w:r>
              <w:t>15,208</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FBB2284" w14:textId="12D1A93C" w:rsidR="0096507F" w:rsidRPr="0096507F" w:rsidRDefault="00576407" w:rsidP="0096507F">
            <w:pPr>
              <w:spacing w:after="200" w:line="276" w:lineRule="auto"/>
            </w:pPr>
            <w:r>
              <w:t>1,538</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928010A" w14:textId="6F8D865A" w:rsidR="0096507F" w:rsidRPr="0096507F" w:rsidRDefault="00576407" w:rsidP="0096507F">
            <w:pPr>
              <w:spacing w:after="200" w:line="276" w:lineRule="auto"/>
            </w:pPr>
            <w:r>
              <w:t>19,001</w:t>
            </w:r>
          </w:p>
        </w:tc>
      </w:tr>
      <w:tr w:rsidR="0096507F" w:rsidRPr="0096507F" w14:paraId="4FB4C2AD" w14:textId="77777777" w:rsidTr="0096507F">
        <w:trPr>
          <w:trHeight w:val="284"/>
        </w:trPr>
        <w:tc>
          <w:tcPr>
            <w:tcW w:w="3539" w:type="dxa"/>
            <w:tcBorders>
              <w:top w:val="single" w:sz="4" w:space="0" w:color="auto"/>
              <w:left w:val="single" w:sz="4" w:space="0" w:color="auto"/>
              <w:bottom w:val="single" w:sz="4" w:space="0" w:color="auto"/>
              <w:right w:val="single" w:sz="4" w:space="0" w:color="auto"/>
            </w:tcBorders>
            <w:hideMark/>
          </w:tcPr>
          <w:p w14:paraId="35D4129C" w14:textId="77777777" w:rsidR="0096507F" w:rsidRPr="0096507F" w:rsidRDefault="0096507F" w:rsidP="0096507F">
            <w:pPr>
              <w:spacing w:after="200" w:line="276" w:lineRule="auto"/>
            </w:pPr>
            <w:r w:rsidRPr="0096507F">
              <w:t>Structure</w:t>
            </w:r>
          </w:p>
        </w:tc>
        <w:tc>
          <w:tcPr>
            <w:tcW w:w="1418" w:type="dxa"/>
            <w:tcBorders>
              <w:top w:val="single" w:sz="4" w:space="0" w:color="auto"/>
              <w:left w:val="single" w:sz="4" w:space="0" w:color="auto"/>
              <w:bottom w:val="single" w:sz="4" w:space="0" w:color="auto"/>
              <w:right w:val="single" w:sz="4" w:space="0" w:color="auto"/>
            </w:tcBorders>
            <w:hideMark/>
          </w:tcPr>
          <w:p w14:paraId="23DAACC3" w14:textId="72AE24DF" w:rsidR="0096507F" w:rsidRPr="0096507F" w:rsidRDefault="00576407" w:rsidP="0096507F">
            <w:pPr>
              <w:spacing w:after="200" w:line="276" w:lineRule="auto"/>
            </w:pPr>
            <w:r>
              <w:t>4,815</w:t>
            </w:r>
          </w:p>
        </w:tc>
        <w:tc>
          <w:tcPr>
            <w:tcW w:w="1275" w:type="dxa"/>
            <w:tcBorders>
              <w:top w:val="single" w:sz="4" w:space="0" w:color="auto"/>
              <w:left w:val="single" w:sz="4" w:space="0" w:color="auto"/>
              <w:bottom w:val="single" w:sz="4" w:space="0" w:color="auto"/>
              <w:right w:val="single" w:sz="4" w:space="0" w:color="auto"/>
            </w:tcBorders>
            <w:vAlign w:val="bottom"/>
            <w:hideMark/>
          </w:tcPr>
          <w:p w14:paraId="17227043" w14:textId="09916347" w:rsidR="0096507F" w:rsidRPr="0096507F" w:rsidRDefault="00576407" w:rsidP="0096507F">
            <w:pPr>
              <w:spacing w:after="200" w:line="276" w:lineRule="auto"/>
            </w:pPr>
            <w:r>
              <w:t>23,663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F396F64" w14:textId="7F67C580" w:rsidR="0096507F" w:rsidRPr="0096507F" w:rsidRDefault="00576407" w:rsidP="0096507F">
            <w:pPr>
              <w:spacing w:after="200" w:line="276" w:lineRule="auto"/>
            </w:pPr>
            <w:r>
              <w:t>6,992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97319E1" w14:textId="36EECC77" w:rsidR="0096507F" w:rsidRPr="0096507F" w:rsidRDefault="005A0BC2" w:rsidP="0096507F">
            <w:pPr>
              <w:spacing w:after="200" w:line="276" w:lineRule="auto"/>
            </w:pPr>
            <w:r>
              <w:t>35,471</w:t>
            </w:r>
          </w:p>
        </w:tc>
      </w:tr>
      <w:tr w:rsidR="0096507F" w:rsidRPr="0096507F" w14:paraId="012ED633" w14:textId="77777777" w:rsidTr="0096507F">
        <w:trPr>
          <w:trHeight w:val="301"/>
        </w:trPr>
        <w:tc>
          <w:tcPr>
            <w:tcW w:w="3539" w:type="dxa"/>
            <w:tcBorders>
              <w:top w:val="single" w:sz="4" w:space="0" w:color="auto"/>
              <w:left w:val="single" w:sz="4" w:space="0" w:color="auto"/>
              <w:bottom w:val="single" w:sz="4" w:space="0" w:color="auto"/>
              <w:right w:val="single" w:sz="4" w:space="0" w:color="auto"/>
            </w:tcBorders>
            <w:hideMark/>
          </w:tcPr>
          <w:p w14:paraId="649D3D17" w14:textId="77777777" w:rsidR="0096507F" w:rsidRPr="0096507F" w:rsidRDefault="0096507F" w:rsidP="0096507F">
            <w:pPr>
              <w:spacing w:after="200" w:line="276" w:lineRule="auto"/>
            </w:pPr>
            <w:r w:rsidRPr="0096507F">
              <w:t>Technology</w:t>
            </w:r>
          </w:p>
        </w:tc>
        <w:tc>
          <w:tcPr>
            <w:tcW w:w="1418" w:type="dxa"/>
            <w:tcBorders>
              <w:top w:val="single" w:sz="4" w:space="0" w:color="auto"/>
              <w:left w:val="single" w:sz="4" w:space="0" w:color="auto"/>
              <w:bottom w:val="single" w:sz="4" w:space="0" w:color="auto"/>
              <w:right w:val="single" w:sz="4" w:space="0" w:color="auto"/>
            </w:tcBorders>
            <w:hideMark/>
          </w:tcPr>
          <w:p w14:paraId="7F3D77D0" w14:textId="07434CEB" w:rsidR="0096507F" w:rsidRPr="0096507F" w:rsidRDefault="005A0BC2" w:rsidP="0096507F">
            <w:pPr>
              <w:spacing w:after="200" w:line="276" w:lineRule="auto"/>
            </w:pPr>
            <w:r>
              <w:t>6,232</w:t>
            </w:r>
          </w:p>
        </w:tc>
        <w:tc>
          <w:tcPr>
            <w:tcW w:w="1275" w:type="dxa"/>
            <w:tcBorders>
              <w:top w:val="single" w:sz="4" w:space="0" w:color="auto"/>
              <w:left w:val="single" w:sz="4" w:space="0" w:color="auto"/>
              <w:bottom w:val="single" w:sz="4" w:space="0" w:color="auto"/>
              <w:right w:val="single" w:sz="4" w:space="0" w:color="auto"/>
            </w:tcBorders>
            <w:vAlign w:val="bottom"/>
            <w:hideMark/>
          </w:tcPr>
          <w:p w14:paraId="742A6C4F" w14:textId="2F9A224E" w:rsidR="0096507F" w:rsidRPr="0096507F" w:rsidRDefault="005A0BC2" w:rsidP="0096507F">
            <w:pPr>
              <w:spacing w:after="200" w:line="276" w:lineRule="auto"/>
            </w:pPr>
            <w:r>
              <w:t>27,566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A89F562" w14:textId="67354723" w:rsidR="0096507F" w:rsidRPr="0096507F" w:rsidRDefault="005A0BC2" w:rsidP="0096507F">
            <w:pPr>
              <w:spacing w:after="200" w:line="276" w:lineRule="auto"/>
            </w:pPr>
            <w:r>
              <w:t>11,049</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9976C9F" w14:textId="1D0E665B" w:rsidR="0096507F" w:rsidRPr="0096507F" w:rsidRDefault="005A0BC2" w:rsidP="0096507F">
            <w:pPr>
              <w:spacing w:after="200" w:line="276" w:lineRule="auto"/>
            </w:pPr>
            <w:r>
              <w:t>44,846</w:t>
            </w:r>
          </w:p>
        </w:tc>
      </w:tr>
      <w:tr w:rsidR="0096507F" w:rsidRPr="0096507F" w14:paraId="72268F3F" w14:textId="77777777" w:rsidTr="0096507F">
        <w:trPr>
          <w:trHeight w:val="284"/>
        </w:trPr>
        <w:tc>
          <w:tcPr>
            <w:tcW w:w="3539" w:type="dxa"/>
            <w:tcBorders>
              <w:top w:val="single" w:sz="4" w:space="0" w:color="auto"/>
              <w:left w:val="single" w:sz="4" w:space="0" w:color="auto"/>
              <w:bottom w:val="single" w:sz="4" w:space="0" w:color="auto"/>
              <w:right w:val="single" w:sz="4" w:space="0" w:color="auto"/>
            </w:tcBorders>
            <w:hideMark/>
          </w:tcPr>
          <w:p w14:paraId="7CDC0C1C" w14:textId="77777777" w:rsidR="0096507F" w:rsidRPr="0096507F" w:rsidRDefault="0096507F" w:rsidP="0096507F">
            <w:pPr>
              <w:spacing w:after="200" w:line="276" w:lineRule="auto"/>
            </w:pPr>
            <w:r w:rsidRPr="0096507F">
              <w:t>Skills</w:t>
            </w:r>
          </w:p>
        </w:tc>
        <w:tc>
          <w:tcPr>
            <w:tcW w:w="1418" w:type="dxa"/>
            <w:tcBorders>
              <w:top w:val="single" w:sz="4" w:space="0" w:color="auto"/>
              <w:left w:val="single" w:sz="4" w:space="0" w:color="auto"/>
              <w:bottom w:val="single" w:sz="4" w:space="0" w:color="auto"/>
              <w:right w:val="single" w:sz="4" w:space="0" w:color="auto"/>
            </w:tcBorders>
            <w:hideMark/>
          </w:tcPr>
          <w:p w14:paraId="20C9871C" w14:textId="3A7496B7" w:rsidR="0096507F" w:rsidRPr="0096507F" w:rsidRDefault="005A0BC2" w:rsidP="0096507F">
            <w:pPr>
              <w:spacing w:after="200" w:line="276" w:lineRule="auto"/>
            </w:pPr>
            <w:r>
              <w:t>5,250</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E5102A1" w14:textId="26B6A4F5" w:rsidR="0096507F" w:rsidRPr="0096507F" w:rsidRDefault="005A0BC2" w:rsidP="0096507F">
            <w:pPr>
              <w:spacing w:after="200" w:line="276" w:lineRule="auto"/>
            </w:pPr>
            <w:r>
              <w:t>20,702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4DEC2F0" w14:textId="38D3669C" w:rsidR="0096507F" w:rsidRPr="0096507F" w:rsidRDefault="00F03C10" w:rsidP="0096507F">
            <w:pPr>
              <w:spacing w:after="200" w:line="276" w:lineRule="auto"/>
            </w:pPr>
            <w:r>
              <w:t>10,956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0E9531E" w14:textId="286C6B61" w:rsidR="0096507F" w:rsidRPr="0096507F" w:rsidRDefault="00F03C10" w:rsidP="0096507F">
            <w:pPr>
              <w:spacing w:after="200" w:line="276" w:lineRule="auto"/>
            </w:pPr>
            <w:r>
              <w:t>36,908</w:t>
            </w:r>
          </w:p>
        </w:tc>
      </w:tr>
      <w:tr w:rsidR="0096507F" w:rsidRPr="0096507F" w14:paraId="1EFB28EB" w14:textId="77777777" w:rsidTr="0096507F">
        <w:trPr>
          <w:trHeight w:val="301"/>
        </w:trPr>
        <w:tc>
          <w:tcPr>
            <w:tcW w:w="3539" w:type="dxa"/>
            <w:tcBorders>
              <w:top w:val="single" w:sz="4" w:space="0" w:color="auto"/>
              <w:left w:val="single" w:sz="4" w:space="0" w:color="auto"/>
              <w:bottom w:val="single" w:sz="4" w:space="0" w:color="auto"/>
              <w:right w:val="single" w:sz="4" w:space="0" w:color="auto"/>
            </w:tcBorders>
            <w:hideMark/>
          </w:tcPr>
          <w:p w14:paraId="4C524C90" w14:textId="77777777" w:rsidR="0096507F" w:rsidRPr="0096507F" w:rsidRDefault="0096507F" w:rsidP="0096507F">
            <w:pPr>
              <w:spacing w:after="200" w:line="276" w:lineRule="auto"/>
              <w:rPr>
                <w:b/>
                <w:bCs/>
              </w:rPr>
            </w:pPr>
            <w:r w:rsidRPr="0096507F">
              <w:rPr>
                <w:b/>
                <w:bCs/>
              </w:rPr>
              <w:t>Total Increase in GVA</w:t>
            </w:r>
          </w:p>
        </w:tc>
        <w:tc>
          <w:tcPr>
            <w:tcW w:w="1418" w:type="dxa"/>
            <w:tcBorders>
              <w:top w:val="single" w:sz="4" w:space="0" w:color="auto"/>
              <w:left w:val="single" w:sz="4" w:space="0" w:color="auto"/>
              <w:bottom w:val="single" w:sz="4" w:space="0" w:color="auto"/>
              <w:right w:val="single" w:sz="4" w:space="0" w:color="auto"/>
            </w:tcBorders>
            <w:hideMark/>
          </w:tcPr>
          <w:p w14:paraId="0C5000B7" w14:textId="40C4281F" w:rsidR="0096507F" w:rsidRPr="0096507F" w:rsidRDefault="00F03C10" w:rsidP="0096507F">
            <w:pPr>
              <w:spacing w:after="200" w:line="276" w:lineRule="auto"/>
              <w:rPr>
                <w:b/>
                <w:bCs/>
              </w:rPr>
            </w:pPr>
            <w:r>
              <w:rPr>
                <w:b/>
                <w:bCs/>
              </w:rPr>
              <w:t>18,732</w:t>
            </w:r>
          </w:p>
        </w:tc>
        <w:tc>
          <w:tcPr>
            <w:tcW w:w="1275" w:type="dxa"/>
            <w:tcBorders>
              <w:top w:val="single" w:sz="4" w:space="0" w:color="auto"/>
              <w:left w:val="single" w:sz="4" w:space="0" w:color="auto"/>
              <w:bottom w:val="single" w:sz="4" w:space="0" w:color="auto"/>
              <w:right w:val="single" w:sz="4" w:space="0" w:color="auto"/>
            </w:tcBorders>
            <w:vAlign w:val="bottom"/>
            <w:hideMark/>
          </w:tcPr>
          <w:p w14:paraId="74381C22" w14:textId="45A86CDB" w:rsidR="0096507F" w:rsidRPr="0096507F" w:rsidRDefault="00F03C10" w:rsidP="0096507F">
            <w:pPr>
              <w:spacing w:after="200" w:line="276" w:lineRule="auto"/>
              <w:rPr>
                <w:b/>
                <w:bCs/>
              </w:rPr>
            </w:pPr>
            <w:r>
              <w:rPr>
                <w:b/>
                <w:bCs/>
              </w:rPr>
              <w:t>86,960</w:t>
            </w:r>
          </w:p>
        </w:tc>
        <w:tc>
          <w:tcPr>
            <w:tcW w:w="1701" w:type="dxa"/>
            <w:tcBorders>
              <w:top w:val="single" w:sz="4" w:space="0" w:color="auto"/>
              <w:left w:val="single" w:sz="4" w:space="0" w:color="auto"/>
              <w:bottom w:val="single" w:sz="4" w:space="0" w:color="auto"/>
              <w:right w:val="single" w:sz="4" w:space="0" w:color="auto"/>
            </w:tcBorders>
            <w:hideMark/>
          </w:tcPr>
          <w:p w14:paraId="279C3246" w14:textId="497BDD0B" w:rsidR="0096507F" w:rsidRPr="0096507F" w:rsidRDefault="00496CD9" w:rsidP="0096507F">
            <w:pPr>
              <w:spacing w:after="200" w:line="276" w:lineRule="auto"/>
              <w:rPr>
                <w:b/>
                <w:bCs/>
              </w:rPr>
            </w:pPr>
            <w:r>
              <w:rPr>
                <w:b/>
                <w:bCs/>
              </w:rPr>
              <w:t>30,535</w:t>
            </w:r>
          </w:p>
        </w:tc>
        <w:tc>
          <w:tcPr>
            <w:tcW w:w="1701" w:type="dxa"/>
            <w:tcBorders>
              <w:top w:val="single" w:sz="4" w:space="0" w:color="auto"/>
              <w:left w:val="single" w:sz="4" w:space="0" w:color="auto"/>
              <w:bottom w:val="single" w:sz="4" w:space="0" w:color="auto"/>
              <w:right w:val="single" w:sz="4" w:space="0" w:color="auto"/>
            </w:tcBorders>
            <w:hideMark/>
          </w:tcPr>
          <w:p w14:paraId="2E416CE4" w14:textId="4C6A4C0B" w:rsidR="0096507F" w:rsidRPr="0096507F" w:rsidRDefault="00496CD9" w:rsidP="0096507F">
            <w:pPr>
              <w:spacing w:after="200" w:line="276" w:lineRule="auto"/>
              <w:rPr>
                <w:b/>
                <w:bCs/>
              </w:rPr>
            </w:pPr>
            <w:r>
              <w:rPr>
                <w:b/>
                <w:bCs/>
              </w:rPr>
              <w:t>136,226</w:t>
            </w:r>
          </w:p>
        </w:tc>
      </w:tr>
      <w:tr w:rsidR="0096507F" w:rsidRPr="0096507F" w14:paraId="4B1217B9" w14:textId="77777777" w:rsidTr="0096507F">
        <w:trPr>
          <w:trHeight w:val="300"/>
        </w:trPr>
        <w:tc>
          <w:tcPr>
            <w:tcW w:w="3539" w:type="dxa"/>
            <w:tcBorders>
              <w:top w:val="single" w:sz="4" w:space="0" w:color="auto"/>
              <w:left w:val="single" w:sz="4" w:space="0" w:color="auto"/>
              <w:bottom w:val="single" w:sz="4" w:space="0" w:color="auto"/>
              <w:right w:val="single" w:sz="4" w:space="0" w:color="auto"/>
            </w:tcBorders>
            <w:hideMark/>
          </w:tcPr>
          <w:p w14:paraId="245D7ACB" w14:textId="77777777" w:rsidR="0096507F" w:rsidRPr="0096507F" w:rsidRDefault="0096507F" w:rsidP="0096507F">
            <w:pPr>
              <w:spacing w:after="200" w:line="276" w:lineRule="auto"/>
              <w:rPr>
                <w:b/>
                <w:bCs/>
              </w:rPr>
            </w:pPr>
            <w:r w:rsidRPr="0096507F">
              <w:rPr>
                <w:b/>
                <w:bCs/>
              </w:rPr>
              <w:t>Less BAU</w:t>
            </w:r>
          </w:p>
        </w:tc>
        <w:tc>
          <w:tcPr>
            <w:tcW w:w="1418" w:type="dxa"/>
            <w:tcBorders>
              <w:top w:val="single" w:sz="4" w:space="0" w:color="auto"/>
              <w:left w:val="single" w:sz="4" w:space="0" w:color="auto"/>
              <w:bottom w:val="single" w:sz="4" w:space="0" w:color="auto"/>
              <w:right w:val="single" w:sz="4" w:space="0" w:color="auto"/>
            </w:tcBorders>
          </w:tcPr>
          <w:p w14:paraId="313C72CC" w14:textId="77777777" w:rsidR="0096507F" w:rsidRPr="0096507F" w:rsidRDefault="0096507F" w:rsidP="0096507F">
            <w:pPr>
              <w:spacing w:after="200" w:line="276" w:lineRule="auto"/>
              <w:rPr>
                <w:b/>
                <w:bCs/>
              </w:rPr>
            </w:pPr>
          </w:p>
        </w:tc>
        <w:tc>
          <w:tcPr>
            <w:tcW w:w="1275" w:type="dxa"/>
            <w:tcBorders>
              <w:top w:val="single" w:sz="4" w:space="0" w:color="auto"/>
              <w:left w:val="single" w:sz="4" w:space="0" w:color="auto"/>
              <w:bottom w:val="single" w:sz="4" w:space="0" w:color="auto"/>
              <w:right w:val="single" w:sz="4" w:space="0" w:color="auto"/>
            </w:tcBorders>
            <w:vAlign w:val="bottom"/>
          </w:tcPr>
          <w:p w14:paraId="770CC6A9" w14:textId="77777777" w:rsidR="0096507F" w:rsidRPr="0096507F" w:rsidRDefault="0096507F" w:rsidP="0096507F">
            <w:pPr>
              <w:spacing w:after="200" w:line="276" w:lineRule="auto"/>
              <w:rPr>
                <w:b/>
                <w:bCs/>
              </w:rPr>
            </w:pPr>
          </w:p>
        </w:tc>
        <w:tc>
          <w:tcPr>
            <w:tcW w:w="1701" w:type="dxa"/>
            <w:tcBorders>
              <w:top w:val="single" w:sz="4" w:space="0" w:color="auto"/>
              <w:left w:val="single" w:sz="4" w:space="0" w:color="auto"/>
              <w:bottom w:val="single" w:sz="4" w:space="0" w:color="auto"/>
              <w:right w:val="single" w:sz="4" w:space="0" w:color="auto"/>
            </w:tcBorders>
          </w:tcPr>
          <w:p w14:paraId="402E3755" w14:textId="77777777" w:rsidR="0096507F" w:rsidRPr="0096507F" w:rsidRDefault="0096507F" w:rsidP="0096507F">
            <w:pPr>
              <w:spacing w:after="200" w:line="276" w:lineRule="auto"/>
              <w:rPr>
                <w:b/>
                <w:bCs/>
              </w:rPr>
            </w:pPr>
          </w:p>
        </w:tc>
        <w:tc>
          <w:tcPr>
            <w:tcW w:w="1701" w:type="dxa"/>
            <w:tcBorders>
              <w:top w:val="single" w:sz="4" w:space="0" w:color="auto"/>
              <w:left w:val="single" w:sz="4" w:space="0" w:color="auto"/>
              <w:bottom w:val="single" w:sz="4" w:space="0" w:color="auto"/>
              <w:right w:val="single" w:sz="4" w:space="0" w:color="auto"/>
            </w:tcBorders>
            <w:hideMark/>
          </w:tcPr>
          <w:p w14:paraId="480D8E1F" w14:textId="6B60A5B4" w:rsidR="0096507F" w:rsidRPr="0096507F" w:rsidRDefault="00496CD9" w:rsidP="0096507F">
            <w:pPr>
              <w:spacing w:after="200" w:line="276" w:lineRule="auto"/>
              <w:rPr>
                <w:b/>
                <w:bCs/>
              </w:rPr>
            </w:pPr>
            <w:r>
              <w:rPr>
                <w:b/>
                <w:bCs/>
              </w:rPr>
              <w:t>64,286</w:t>
            </w:r>
          </w:p>
        </w:tc>
      </w:tr>
      <w:tr w:rsidR="0096507F" w:rsidRPr="0096507F" w14:paraId="225DC6F4" w14:textId="77777777" w:rsidTr="0096507F">
        <w:trPr>
          <w:trHeight w:val="300"/>
        </w:trPr>
        <w:tc>
          <w:tcPr>
            <w:tcW w:w="3539" w:type="dxa"/>
            <w:tcBorders>
              <w:top w:val="single" w:sz="4" w:space="0" w:color="auto"/>
              <w:left w:val="single" w:sz="4" w:space="0" w:color="auto"/>
              <w:bottom w:val="single" w:sz="4" w:space="0" w:color="auto"/>
              <w:right w:val="single" w:sz="4" w:space="0" w:color="auto"/>
            </w:tcBorders>
            <w:hideMark/>
          </w:tcPr>
          <w:p w14:paraId="1024F398" w14:textId="77777777" w:rsidR="0096507F" w:rsidRPr="0096507F" w:rsidRDefault="0096507F" w:rsidP="0096507F">
            <w:pPr>
              <w:spacing w:after="200" w:line="276" w:lineRule="auto"/>
              <w:rPr>
                <w:b/>
                <w:bCs/>
              </w:rPr>
            </w:pPr>
            <w:r w:rsidRPr="0096507F">
              <w:rPr>
                <w:b/>
                <w:bCs/>
              </w:rPr>
              <w:t>Net Policy Impact</w:t>
            </w:r>
          </w:p>
        </w:tc>
        <w:tc>
          <w:tcPr>
            <w:tcW w:w="1418" w:type="dxa"/>
            <w:tcBorders>
              <w:top w:val="single" w:sz="4" w:space="0" w:color="auto"/>
              <w:left w:val="single" w:sz="4" w:space="0" w:color="auto"/>
              <w:bottom w:val="single" w:sz="4" w:space="0" w:color="auto"/>
              <w:right w:val="single" w:sz="4" w:space="0" w:color="auto"/>
            </w:tcBorders>
          </w:tcPr>
          <w:p w14:paraId="74A1CA75" w14:textId="77777777" w:rsidR="0096507F" w:rsidRPr="0096507F" w:rsidRDefault="0096507F" w:rsidP="0096507F">
            <w:pPr>
              <w:spacing w:after="200" w:line="276" w:lineRule="auto"/>
              <w:rPr>
                <w:b/>
                <w:bCs/>
              </w:rPr>
            </w:pPr>
          </w:p>
        </w:tc>
        <w:tc>
          <w:tcPr>
            <w:tcW w:w="1275" w:type="dxa"/>
            <w:tcBorders>
              <w:top w:val="single" w:sz="4" w:space="0" w:color="auto"/>
              <w:left w:val="single" w:sz="4" w:space="0" w:color="auto"/>
              <w:bottom w:val="single" w:sz="4" w:space="0" w:color="auto"/>
              <w:right w:val="single" w:sz="4" w:space="0" w:color="auto"/>
            </w:tcBorders>
            <w:vAlign w:val="bottom"/>
          </w:tcPr>
          <w:p w14:paraId="7DE0EC34" w14:textId="77777777" w:rsidR="0096507F" w:rsidRPr="0096507F" w:rsidRDefault="0096507F" w:rsidP="0096507F">
            <w:pPr>
              <w:spacing w:after="200" w:line="276" w:lineRule="auto"/>
              <w:rPr>
                <w:b/>
                <w:bCs/>
              </w:rPr>
            </w:pPr>
          </w:p>
        </w:tc>
        <w:tc>
          <w:tcPr>
            <w:tcW w:w="1701" w:type="dxa"/>
            <w:tcBorders>
              <w:top w:val="single" w:sz="4" w:space="0" w:color="auto"/>
              <w:left w:val="single" w:sz="4" w:space="0" w:color="auto"/>
              <w:bottom w:val="single" w:sz="4" w:space="0" w:color="auto"/>
              <w:right w:val="single" w:sz="4" w:space="0" w:color="auto"/>
            </w:tcBorders>
          </w:tcPr>
          <w:p w14:paraId="38D270EA" w14:textId="77777777" w:rsidR="0096507F" w:rsidRPr="0096507F" w:rsidRDefault="0096507F" w:rsidP="0096507F">
            <w:pPr>
              <w:spacing w:after="200" w:line="276" w:lineRule="auto"/>
              <w:rPr>
                <w:b/>
                <w:bCs/>
              </w:rPr>
            </w:pPr>
          </w:p>
        </w:tc>
        <w:tc>
          <w:tcPr>
            <w:tcW w:w="1701" w:type="dxa"/>
            <w:tcBorders>
              <w:top w:val="single" w:sz="4" w:space="0" w:color="auto"/>
              <w:left w:val="single" w:sz="4" w:space="0" w:color="auto"/>
              <w:bottom w:val="single" w:sz="4" w:space="0" w:color="auto"/>
              <w:right w:val="single" w:sz="4" w:space="0" w:color="auto"/>
            </w:tcBorders>
            <w:hideMark/>
          </w:tcPr>
          <w:p w14:paraId="7C429BBE" w14:textId="2209A7E1" w:rsidR="0096507F" w:rsidRPr="0096507F" w:rsidRDefault="00496CD9" w:rsidP="0096507F">
            <w:pPr>
              <w:spacing w:after="200" w:line="276" w:lineRule="auto"/>
              <w:rPr>
                <w:b/>
                <w:bCs/>
              </w:rPr>
            </w:pPr>
            <w:r>
              <w:rPr>
                <w:b/>
                <w:bCs/>
              </w:rPr>
              <w:t>71,941</w:t>
            </w:r>
          </w:p>
        </w:tc>
      </w:tr>
    </w:tbl>
    <w:p w14:paraId="02A64D18" w14:textId="77777777" w:rsidR="0096507F" w:rsidRPr="0096507F" w:rsidRDefault="0096507F" w:rsidP="0096507F"/>
    <w:p w14:paraId="40E84C03" w14:textId="166AF5E0" w:rsidR="0096507F" w:rsidRPr="0096507F" w:rsidRDefault="0096507F" w:rsidP="0096507F">
      <w:bookmarkStart w:id="25" w:name="_Toc1882306440"/>
      <w:r w:rsidRPr="0096507F">
        <w:t xml:space="preserve">Figure </w:t>
      </w:r>
      <w:r w:rsidR="00F81140">
        <w:t>19</w:t>
      </w:r>
      <w:r w:rsidRPr="0096507F">
        <w:t>: Overall GVA Increase – High Estimate £m</w:t>
      </w:r>
      <w:bookmarkEnd w:id="25"/>
    </w:p>
    <w:tbl>
      <w:tblPr>
        <w:tblStyle w:val="TableGrid"/>
        <w:tblW w:w="0" w:type="auto"/>
        <w:tblLook w:val="04A0" w:firstRow="1" w:lastRow="0" w:firstColumn="1" w:lastColumn="0" w:noHBand="0" w:noVBand="1"/>
      </w:tblPr>
      <w:tblGrid>
        <w:gridCol w:w="3214"/>
        <w:gridCol w:w="1340"/>
        <w:gridCol w:w="1236"/>
        <w:gridCol w:w="1621"/>
        <w:gridCol w:w="1599"/>
      </w:tblGrid>
      <w:tr w:rsidR="0096507F" w:rsidRPr="0096507F" w14:paraId="38F6FE77" w14:textId="77777777" w:rsidTr="0096507F">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85BAC8" w:themeFill="accent1"/>
            <w:hideMark/>
          </w:tcPr>
          <w:p w14:paraId="2AB8F512" w14:textId="77777777" w:rsidR="0096507F" w:rsidRPr="0096507F" w:rsidRDefault="0096507F" w:rsidP="0096507F">
            <w:pPr>
              <w:spacing w:after="200" w:line="276" w:lineRule="auto"/>
              <w:rPr>
                <w:b/>
                <w:bCs/>
              </w:rPr>
            </w:pPr>
            <w:r w:rsidRPr="0096507F">
              <w:rPr>
                <w:b/>
                <w:bCs/>
              </w:rPr>
              <w:t>Sector</w:t>
            </w:r>
          </w:p>
        </w:tc>
        <w:tc>
          <w:tcPr>
            <w:tcW w:w="1418" w:type="dxa"/>
            <w:tcBorders>
              <w:top w:val="single" w:sz="4" w:space="0" w:color="auto"/>
              <w:left w:val="single" w:sz="4" w:space="0" w:color="auto"/>
              <w:bottom w:val="single" w:sz="4" w:space="0" w:color="auto"/>
              <w:right w:val="single" w:sz="4" w:space="0" w:color="auto"/>
            </w:tcBorders>
            <w:shd w:val="clear" w:color="auto" w:fill="85BAC8" w:themeFill="accent1"/>
            <w:hideMark/>
          </w:tcPr>
          <w:p w14:paraId="149E8630" w14:textId="77777777" w:rsidR="0096507F" w:rsidRPr="0096507F" w:rsidRDefault="0096507F" w:rsidP="0096507F">
            <w:pPr>
              <w:spacing w:after="200" w:line="276" w:lineRule="auto"/>
              <w:rPr>
                <w:b/>
                <w:bCs/>
              </w:rPr>
            </w:pPr>
            <w:r w:rsidRPr="0096507F">
              <w:rPr>
                <w:b/>
                <w:bCs/>
              </w:rPr>
              <w:t xml:space="preserve">North East </w:t>
            </w:r>
          </w:p>
        </w:tc>
        <w:tc>
          <w:tcPr>
            <w:tcW w:w="1275" w:type="dxa"/>
            <w:tcBorders>
              <w:top w:val="single" w:sz="4" w:space="0" w:color="auto"/>
              <w:left w:val="single" w:sz="4" w:space="0" w:color="auto"/>
              <w:bottom w:val="single" w:sz="4" w:space="0" w:color="auto"/>
              <w:right w:val="single" w:sz="4" w:space="0" w:color="auto"/>
            </w:tcBorders>
            <w:shd w:val="clear" w:color="auto" w:fill="85BAC8" w:themeFill="accent1"/>
            <w:hideMark/>
          </w:tcPr>
          <w:p w14:paraId="208EA054" w14:textId="77777777" w:rsidR="0096507F" w:rsidRPr="0096507F" w:rsidRDefault="0096507F" w:rsidP="0096507F">
            <w:pPr>
              <w:spacing w:after="200" w:line="276" w:lineRule="auto"/>
              <w:rPr>
                <w:b/>
                <w:bCs/>
              </w:rPr>
            </w:pPr>
            <w:r w:rsidRPr="0096507F">
              <w:rPr>
                <w:b/>
                <w:bCs/>
              </w:rPr>
              <w:t>North West</w:t>
            </w:r>
          </w:p>
        </w:tc>
        <w:tc>
          <w:tcPr>
            <w:tcW w:w="1701" w:type="dxa"/>
            <w:tcBorders>
              <w:top w:val="single" w:sz="4" w:space="0" w:color="auto"/>
              <w:left w:val="single" w:sz="4" w:space="0" w:color="auto"/>
              <w:bottom w:val="single" w:sz="4" w:space="0" w:color="auto"/>
              <w:right w:val="single" w:sz="4" w:space="0" w:color="auto"/>
            </w:tcBorders>
            <w:shd w:val="clear" w:color="auto" w:fill="85BAC8" w:themeFill="accent1"/>
            <w:hideMark/>
          </w:tcPr>
          <w:p w14:paraId="1AA97588" w14:textId="77777777" w:rsidR="0096507F" w:rsidRPr="0096507F" w:rsidRDefault="0096507F" w:rsidP="0096507F">
            <w:pPr>
              <w:spacing w:after="200" w:line="276" w:lineRule="auto"/>
            </w:pPr>
            <w:r w:rsidRPr="0096507F">
              <w:rPr>
                <w:b/>
                <w:bCs/>
              </w:rPr>
              <w:t>Yorkshire and the Humber</w:t>
            </w:r>
          </w:p>
        </w:tc>
        <w:tc>
          <w:tcPr>
            <w:tcW w:w="1701" w:type="dxa"/>
            <w:tcBorders>
              <w:top w:val="single" w:sz="4" w:space="0" w:color="auto"/>
              <w:left w:val="single" w:sz="4" w:space="0" w:color="auto"/>
              <w:bottom w:val="single" w:sz="4" w:space="0" w:color="auto"/>
              <w:right w:val="single" w:sz="4" w:space="0" w:color="auto"/>
            </w:tcBorders>
            <w:shd w:val="clear" w:color="auto" w:fill="85BAC8" w:themeFill="accent1"/>
            <w:hideMark/>
          </w:tcPr>
          <w:p w14:paraId="720EB307" w14:textId="77777777" w:rsidR="0096507F" w:rsidRPr="0096507F" w:rsidRDefault="0096507F" w:rsidP="0096507F">
            <w:pPr>
              <w:spacing w:after="200" w:line="276" w:lineRule="auto"/>
            </w:pPr>
            <w:r w:rsidRPr="0096507F">
              <w:rPr>
                <w:b/>
                <w:bCs/>
              </w:rPr>
              <w:t>Total</w:t>
            </w:r>
          </w:p>
        </w:tc>
      </w:tr>
      <w:tr w:rsidR="0096507F" w:rsidRPr="0096507F" w14:paraId="36399D29" w14:textId="77777777" w:rsidTr="0096507F">
        <w:trPr>
          <w:trHeight w:val="300"/>
        </w:trPr>
        <w:tc>
          <w:tcPr>
            <w:tcW w:w="3539" w:type="dxa"/>
            <w:tcBorders>
              <w:top w:val="single" w:sz="4" w:space="0" w:color="auto"/>
              <w:left w:val="single" w:sz="4" w:space="0" w:color="auto"/>
              <w:bottom w:val="single" w:sz="4" w:space="0" w:color="auto"/>
              <w:right w:val="single" w:sz="4" w:space="0" w:color="auto"/>
            </w:tcBorders>
            <w:hideMark/>
          </w:tcPr>
          <w:p w14:paraId="768CFCDC" w14:textId="77777777" w:rsidR="0096507F" w:rsidRPr="0096507F" w:rsidRDefault="0096507F" w:rsidP="0096507F">
            <w:pPr>
              <w:spacing w:after="200" w:line="276" w:lineRule="auto"/>
            </w:pPr>
            <w:r w:rsidRPr="0096507F">
              <w:t>Absorptive Capacity</w:t>
            </w:r>
          </w:p>
        </w:tc>
        <w:tc>
          <w:tcPr>
            <w:tcW w:w="1418" w:type="dxa"/>
            <w:tcBorders>
              <w:top w:val="single" w:sz="4" w:space="0" w:color="auto"/>
              <w:left w:val="single" w:sz="4" w:space="0" w:color="auto"/>
              <w:bottom w:val="single" w:sz="4" w:space="0" w:color="auto"/>
              <w:right w:val="single" w:sz="4" w:space="0" w:color="auto"/>
            </w:tcBorders>
            <w:hideMark/>
          </w:tcPr>
          <w:p w14:paraId="19CD77C4" w14:textId="3AD86F82" w:rsidR="0096507F" w:rsidRPr="0096507F" w:rsidRDefault="00C23B1E" w:rsidP="0096507F">
            <w:pPr>
              <w:spacing w:after="200" w:line="276" w:lineRule="auto"/>
            </w:pPr>
            <w:r>
              <w:t>9,046</w:t>
            </w:r>
          </w:p>
        </w:tc>
        <w:tc>
          <w:tcPr>
            <w:tcW w:w="1275" w:type="dxa"/>
            <w:tcBorders>
              <w:top w:val="single" w:sz="4" w:space="0" w:color="auto"/>
              <w:left w:val="single" w:sz="4" w:space="0" w:color="auto"/>
              <w:bottom w:val="single" w:sz="4" w:space="0" w:color="auto"/>
              <w:right w:val="single" w:sz="4" w:space="0" w:color="auto"/>
            </w:tcBorders>
            <w:vAlign w:val="bottom"/>
            <w:hideMark/>
          </w:tcPr>
          <w:p w14:paraId="7A7846C8" w14:textId="5AAA8EB9" w:rsidR="0096507F" w:rsidRPr="0096507F" w:rsidRDefault="00C23B1E" w:rsidP="0096507F">
            <w:pPr>
              <w:spacing w:after="200" w:line="276" w:lineRule="auto"/>
            </w:pPr>
            <w:r>
              <w:t>33,240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34069C7" w14:textId="491506F7" w:rsidR="0096507F" w:rsidRPr="0096507F" w:rsidRDefault="00C23B1E" w:rsidP="0096507F">
            <w:pPr>
              <w:spacing w:after="200" w:line="276" w:lineRule="auto"/>
            </w:pPr>
            <w:r>
              <w:t>20,466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926F2B4" w14:textId="70095C58" w:rsidR="0096507F" w:rsidRPr="0096507F" w:rsidRDefault="00C23B1E" w:rsidP="0096507F">
            <w:pPr>
              <w:spacing w:after="200" w:line="276" w:lineRule="auto"/>
            </w:pPr>
            <w:r>
              <w:t>62,753</w:t>
            </w:r>
          </w:p>
        </w:tc>
      </w:tr>
      <w:tr w:rsidR="0096507F" w:rsidRPr="0096507F" w14:paraId="719EA932" w14:textId="77777777" w:rsidTr="0096507F">
        <w:trPr>
          <w:trHeight w:val="300"/>
        </w:trPr>
        <w:tc>
          <w:tcPr>
            <w:tcW w:w="3539" w:type="dxa"/>
            <w:tcBorders>
              <w:top w:val="single" w:sz="4" w:space="0" w:color="auto"/>
              <w:left w:val="single" w:sz="4" w:space="0" w:color="auto"/>
              <w:bottom w:val="single" w:sz="4" w:space="0" w:color="auto"/>
              <w:right w:val="single" w:sz="4" w:space="0" w:color="auto"/>
            </w:tcBorders>
            <w:hideMark/>
          </w:tcPr>
          <w:p w14:paraId="5B4F0975" w14:textId="77777777" w:rsidR="0096507F" w:rsidRPr="0096507F" w:rsidRDefault="0096507F" w:rsidP="0096507F">
            <w:pPr>
              <w:spacing w:after="200" w:line="276" w:lineRule="auto"/>
            </w:pPr>
            <w:r w:rsidRPr="0096507F">
              <w:t>Structure</w:t>
            </w:r>
          </w:p>
        </w:tc>
        <w:tc>
          <w:tcPr>
            <w:tcW w:w="1418" w:type="dxa"/>
            <w:tcBorders>
              <w:top w:val="single" w:sz="4" w:space="0" w:color="auto"/>
              <w:left w:val="single" w:sz="4" w:space="0" w:color="auto"/>
              <w:bottom w:val="single" w:sz="4" w:space="0" w:color="auto"/>
              <w:right w:val="single" w:sz="4" w:space="0" w:color="auto"/>
            </w:tcBorders>
            <w:hideMark/>
          </w:tcPr>
          <w:p w14:paraId="022AA600" w14:textId="095535E3" w:rsidR="0096507F" w:rsidRPr="0096507F" w:rsidRDefault="00F85C90" w:rsidP="0096507F">
            <w:pPr>
              <w:spacing w:after="200" w:line="276" w:lineRule="auto"/>
            </w:pPr>
            <w:r>
              <w:t>9,537</w:t>
            </w:r>
          </w:p>
        </w:tc>
        <w:tc>
          <w:tcPr>
            <w:tcW w:w="1275" w:type="dxa"/>
            <w:tcBorders>
              <w:top w:val="single" w:sz="4" w:space="0" w:color="auto"/>
              <w:left w:val="single" w:sz="4" w:space="0" w:color="auto"/>
              <w:bottom w:val="single" w:sz="4" w:space="0" w:color="auto"/>
              <w:right w:val="single" w:sz="4" w:space="0" w:color="auto"/>
            </w:tcBorders>
            <w:vAlign w:val="bottom"/>
            <w:hideMark/>
          </w:tcPr>
          <w:p w14:paraId="392EEEF8" w14:textId="475E4D22" w:rsidR="0096507F" w:rsidRPr="0096507F" w:rsidRDefault="00F85C90" w:rsidP="0096507F">
            <w:pPr>
              <w:spacing w:after="200" w:line="276" w:lineRule="auto"/>
            </w:pPr>
            <w:r>
              <w:t>36,672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89276F0" w14:textId="52DFB37A" w:rsidR="0096507F" w:rsidRPr="0096507F" w:rsidRDefault="00F85C90" w:rsidP="0096507F">
            <w:pPr>
              <w:spacing w:after="200" w:line="276" w:lineRule="auto"/>
            </w:pPr>
            <w:r>
              <w:t>20,513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5E9B3AD" w14:textId="06766F86" w:rsidR="0096507F" w:rsidRPr="0096507F" w:rsidRDefault="00F85C90" w:rsidP="0096507F">
            <w:pPr>
              <w:spacing w:after="200" w:line="276" w:lineRule="auto"/>
            </w:pPr>
            <w:r>
              <w:t>66,722</w:t>
            </w:r>
          </w:p>
        </w:tc>
      </w:tr>
      <w:tr w:rsidR="0096507F" w:rsidRPr="0096507F" w14:paraId="4D57BAC9" w14:textId="77777777" w:rsidTr="0096507F">
        <w:trPr>
          <w:trHeight w:val="300"/>
        </w:trPr>
        <w:tc>
          <w:tcPr>
            <w:tcW w:w="3539" w:type="dxa"/>
            <w:tcBorders>
              <w:top w:val="single" w:sz="4" w:space="0" w:color="auto"/>
              <w:left w:val="single" w:sz="4" w:space="0" w:color="auto"/>
              <w:bottom w:val="single" w:sz="4" w:space="0" w:color="auto"/>
              <w:right w:val="single" w:sz="4" w:space="0" w:color="auto"/>
            </w:tcBorders>
            <w:hideMark/>
          </w:tcPr>
          <w:p w14:paraId="6ECDC997" w14:textId="77777777" w:rsidR="0096507F" w:rsidRPr="0096507F" w:rsidRDefault="0096507F" w:rsidP="0096507F">
            <w:pPr>
              <w:spacing w:after="200" w:line="276" w:lineRule="auto"/>
            </w:pPr>
            <w:r w:rsidRPr="0096507F">
              <w:t>Technology</w:t>
            </w:r>
          </w:p>
        </w:tc>
        <w:tc>
          <w:tcPr>
            <w:tcW w:w="1418" w:type="dxa"/>
            <w:tcBorders>
              <w:top w:val="single" w:sz="4" w:space="0" w:color="auto"/>
              <w:left w:val="single" w:sz="4" w:space="0" w:color="auto"/>
              <w:bottom w:val="single" w:sz="4" w:space="0" w:color="auto"/>
              <w:right w:val="single" w:sz="4" w:space="0" w:color="auto"/>
            </w:tcBorders>
            <w:hideMark/>
          </w:tcPr>
          <w:p w14:paraId="67BB8B62" w14:textId="3F04D488" w:rsidR="0096507F" w:rsidRPr="0096507F" w:rsidRDefault="00F85C90" w:rsidP="0096507F">
            <w:pPr>
              <w:spacing w:after="200" w:line="276" w:lineRule="auto"/>
            </w:pPr>
            <w:r>
              <w:t>11,898</w:t>
            </w:r>
          </w:p>
        </w:tc>
        <w:tc>
          <w:tcPr>
            <w:tcW w:w="1275" w:type="dxa"/>
            <w:tcBorders>
              <w:top w:val="single" w:sz="4" w:space="0" w:color="auto"/>
              <w:left w:val="single" w:sz="4" w:space="0" w:color="auto"/>
              <w:bottom w:val="single" w:sz="4" w:space="0" w:color="auto"/>
              <w:right w:val="single" w:sz="4" w:space="0" w:color="auto"/>
            </w:tcBorders>
            <w:vAlign w:val="bottom"/>
            <w:hideMark/>
          </w:tcPr>
          <w:p w14:paraId="20DF0D3D" w14:textId="0EEB9491" w:rsidR="0096507F" w:rsidRPr="0096507F" w:rsidRDefault="00F85C90" w:rsidP="0096507F">
            <w:pPr>
              <w:spacing w:after="200" w:line="276" w:lineRule="auto"/>
            </w:pPr>
            <w:r>
              <w:t>43,176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80BA073" w14:textId="26A94425" w:rsidR="0096507F" w:rsidRPr="0096507F" w:rsidRDefault="00F85C90" w:rsidP="0096507F">
            <w:pPr>
              <w:spacing w:after="200" w:line="276" w:lineRule="auto"/>
            </w:pPr>
            <w:r>
              <w:t>27,273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1171399" w14:textId="281CD81F" w:rsidR="0096507F" w:rsidRPr="0096507F" w:rsidRDefault="00F85C90" w:rsidP="0096507F">
            <w:pPr>
              <w:spacing w:after="200" w:line="276" w:lineRule="auto"/>
            </w:pPr>
            <w:r>
              <w:t>82,347</w:t>
            </w:r>
          </w:p>
        </w:tc>
      </w:tr>
      <w:tr w:rsidR="0096507F" w:rsidRPr="0096507F" w14:paraId="7996AA59" w14:textId="77777777" w:rsidTr="0096507F">
        <w:trPr>
          <w:trHeight w:val="300"/>
        </w:trPr>
        <w:tc>
          <w:tcPr>
            <w:tcW w:w="3539" w:type="dxa"/>
            <w:tcBorders>
              <w:top w:val="single" w:sz="4" w:space="0" w:color="auto"/>
              <w:left w:val="single" w:sz="4" w:space="0" w:color="auto"/>
              <w:bottom w:val="single" w:sz="4" w:space="0" w:color="auto"/>
              <w:right w:val="single" w:sz="4" w:space="0" w:color="auto"/>
            </w:tcBorders>
            <w:hideMark/>
          </w:tcPr>
          <w:p w14:paraId="39A58191" w14:textId="77777777" w:rsidR="0096507F" w:rsidRPr="0096507F" w:rsidRDefault="0096507F" w:rsidP="0096507F">
            <w:pPr>
              <w:spacing w:after="200" w:line="276" w:lineRule="auto"/>
            </w:pPr>
            <w:r w:rsidRPr="0096507F">
              <w:t>Skills</w:t>
            </w:r>
          </w:p>
        </w:tc>
        <w:tc>
          <w:tcPr>
            <w:tcW w:w="1418" w:type="dxa"/>
            <w:tcBorders>
              <w:top w:val="single" w:sz="4" w:space="0" w:color="auto"/>
              <w:left w:val="single" w:sz="4" w:space="0" w:color="auto"/>
              <w:bottom w:val="single" w:sz="4" w:space="0" w:color="auto"/>
              <w:right w:val="single" w:sz="4" w:space="0" w:color="auto"/>
            </w:tcBorders>
            <w:hideMark/>
          </w:tcPr>
          <w:p w14:paraId="1D687BA2" w14:textId="77777777" w:rsidR="0096507F" w:rsidRPr="0096507F" w:rsidRDefault="0096507F" w:rsidP="0096507F">
            <w:pPr>
              <w:spacing w:after="200" w:line="276" w:lineRule="auto"/>
            </w:pPr>
            <w:r w:rsidRPr="0096507F">
              <w:t>8,555</w:t>
            </w:r>
          </w:p>
        </w:tc>
        <w:tc>
          <w:tcPr>
            <w:tcW w:w="1275" w:type="dxa"/>
            <w:tcBorders>
              <w:top w:val="single" w:sz="4" w:space="0" w:color="auto"/>
              <w:left w:val="single" w:sz="4" w:space="0" w:color="auto"/>
              <w:bottom w:val="single" w:sz="4" w:space="0" w:color="auto"/>
              <w:right w:val="single" w:sz="4" w:space="0" w:color="auto"/>
            </w:tcBorders>
            <w:vAlign w:val="bottom"/>
            <w:hideMark/>
          </w:tcPr>
          <w:p w14:paraId="4C5BB52A" w14:textId="77777777" w:rsidR="0096507F" w:rsidRPr="0096507F" w:rsidRDefault="0096507F" w:rsidP="0096507F">
            <w:pPr>
              <w:spacing w:after="200" w:line="276" w:lineRule="auto"/>
            </w:pPr>
            <w:r w:rsidRPr="0096507F">
              <w:t>29,808</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541F8C0" w14:textId="77777777" w:rsidR="0096507F" w:rsidRPr="0096507F" w:rsidRDefault="0096507F" w:rsidP="0096507F">
            <w:pPr>
              <w:spacing w:after="200" w:line="276" w:lineRule="auto"/>
            </w:pPr>
            <w:r w:rsidRPr="0096507F">
              <w:t>20,420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EF0DE8C" w14:textId="77777777" w:rsidR="0096507F" w:rsidRPr="0096507F" w:rsidRDefault="0096507F" w:rsidP="0096507F">
            <w:pPr>
              <w:spacing w:after="200" w:line="276" w:lineRule="auto"/>
            </w:pPr>
            <w:r w:rsidRPr="0096507F">
              <w:t>58,784</w:t>
            </w:r>
          </w:p>
        </w:tc>
      </w:tr>
      <w:tr w:rsidR="0096507F" w:rsidRPr="0096507F" w14:paraId="48CCD01B" w14:textId="77777777" w:rsidTr="0096507F">
        <w:trPr>
          <w:trHeight w:val="300"/>
        </w:trPr>
        <w:tc>
          <w:tcPr>
            <w:tcW w:w="3539" w:type="dxa"/>
            <w:tcBorders>
              <w:top w:val="single" w:sz="4" w:space="0" w:color="auto"/>
              <w:left w:val="single" w:sz="4" w:space="0" w:color="auto"/>
              <w:bottom w:val="single" w:sz="4" w:space="0" w:color="auto"/>
              <w:right w:val="single" w:sz="4" w:space="0" w:color="auto"/>
            </w:tcBorders>
            <w:hideMark/>
          </w:tcPr>
          <w:p w14:paraId="24122486" w14:textId="77777777" w:rsidR="0096507F" w:rsidRPr="0096507F" w:rsidRDefault="0096507F" w:rsidP="0096507F">
            <w:pPr>
              <w:spacing w:after="200" w:line="276" w:lineRule="auto"/>
              <w:rPr>
                <w:b/>
                <w:bCs/>
              </w:rPr>
            </w:pPr>
            <w:r w:rsidRPr="0096507F">
              <w:rPr>
                <w:b/>
                <w:bCs/>
              </w:rPr>
              <w:t>Total Increase in GVA</w:t>
            </w:r>
          </w:p>
        </w:tc>
        <w:tc>
          <w:tcPr>
            <w:tcW w:w="1418" w:type="dxa"/>
            <w:tcBorders>
              <w:top w:val="single" w:sz="4" w:space="0" w:color="auto"/>
              <w:left w:val="single" w:sz="4" w:space="0" w:color="auto"/>
              <w:bottom w:val="single" w:sz="4" w:space="0" w:color="auto"/>
              <w:right w:val="single" w:sz="4" w:space="0" w:color="auto"/>
            </w:tcBorders>
            <w:hideMark/>
          </w:tcPr>
          <w:p w14:paraId="670FFCD2" w14:textId="383D84F9" w:rsidR="0096507F" w:rsidRPr="0096507F" w:rsidRDefault="002662B9" w:rsidP="0096507F">
            <w:pPr>
              <w:spacing w:after="200" w:line="276" w:lineRule="auto"/>
              <w:rPr>
                <w:b/>
                <w:bCs/>
              </w:rPr>
            </w:pPr>
            <w:r>
              <w:rPr>
                <w:b/>
                <w:bCs/>
              </w:rPr>
              <w:t>39,036</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B6303D1" w14:textId="62B1A519" w:rsidR="0096507F" w:rsidRPr="0096507F" w:rsidRDefault="002662B9" w:rsidP="0096507F">
            <w:pPr>
              <w:spacing w:after="200" w:line="276" w:lineRule="auto"/>
              <w:rPr>
                <w:b/>
                <w:bCs/>
              </w:rPr>
            </w:pPr>
            <w:r>
              <w:rPr>
                <w:b/>
                <w:bCs/>
              </w:rPr>
              <w:t>142,897</w:t>
            </w:r>
          </w:p>
        </w:tc>
        <w:tc>
          <w:tcPr>
            <w:tcW w:w="1701" w:type="dxa"/>
            <w:tcBorders>
              <w:top w:val="single" w:sz="4" w:space="0" w:color="auto"/>
              <w:left w:val="single" w:sz="4" w:space="0" w:color="auto"/>
              <w:bottom w:val="single" w:sz="4" w:space="0" w:color="auto"/>
              <w:right w:val="single" w:sz="4" w:space="0" w:color="auto"/>
            </w:tcBorders>
            <w:hideMark/>
          </w:tcPr>
          <w:p w14:paraId="5096489C" w14:textId="4B258132" w:rsidR="0096507F" w:rsidRPr="0096507F" w:rsidRDefault="002662B9" w:rsidP="0096507F">
            <w:pPr>
              <w:spacing w:after="200" w:line="276" w:lineRule="auto"/>
              <w:rPr>
                <w:b/>
                <w:bCs/>
              </w:rPr>
            </w:pPr>
            <w:r>
              <w:rPr>
                <w:b/>
                <w:bCs/>
              </w:rPr>
              <w:t>88,672</w:t>
            </w:r>
          </w:p>
        </w:tc>
        <w:tc>
          <w:tcPr>
            <w:tcW w:w="1701" w:type="dxa"/>
            <w:tcBorders>
              <w:top w:val="single" w:sz="4" w:space="0" w:color="auto"/>
              <w:left w:val="single" w:sz="4" w:space="0" w:color="auto"/>
              <w:bottom w:val="single" w:sz="4" w:space="0" w:color="auto"/>
              <w:right w:val="single" w:sz="4" w:space="0" w:color="auto"/>
            </w:tcBorders>
            <w:hideMark/>
          </w:tcPr>
          <w:p w14:paraId="306C60DD" w14:textId="7837F066" w:rsidR="0096507F" w:rsidRPr="0096507F" w:rsidRDefault="002662B9" w:rsidP="0096507F">
            <w:pPr>
              <w:spacing w:after="200" w:line="276" w:lineRule="auto"/>
              <w:rPr>
                <w:b/>
                <w:bCs/>
              </w:rPr>
            </w:pPr>
            <w:r>
              <w:rPr>
                <w:b/>
                <w:bCs/>
              </w:rPr>
              <w:t>270,605</w:t>
            </w:r>
          </w:p>
        </w:tc>
      </w:tr>
      <w:tr w:rsidR="0096507F" w:rsidRPr="0096507F" w14:paraId="186C8F89" w14:textId="77777777" w:rsidTr="0096507F">
        <w:trPr>
          <w:trHeight w:val="300"/>
        </w:trPr>
        <w:tc>
          <w:tcPr>
            <w:tcW w:w="3539" w:type="dxa"/>
            <w:tcBorders>
              <w:top w:val="single" w:sz="4" w:space="0" w:color="auto"/>
              <w:left w:val="single" w:sz="4" w:space="0" w:color="auto"/>
              <w:bottom w:val="single" w:sz="4" w:space="0" w:color="auto"/>
              <w:right w:val="single" w:sz="4" w:space="0" w:color="auto"/>
            </w:tcBorders>
            <w:hideMark/>
          </w:tcPr>
          <w:p w14:paraId="74588322" w14:textId="77777777" w:rsidR="0096507F" w:rsidRPr="0096507F" w:rsidRDefault="0096507F" w:rsidP="0096507F">
            <w:pPr>
              <w:spacing w:after="200" w:line="276" w:lineRule="auto"/>
              <w:rPr>
                <w:b/>
                <w:bCs/>
              </w:rPr>
            </w:pPr>
            <w:r w:rsidRPr="0096507F">
              <w:rPr>
                <w:b/>
                <w:bCs/>
              </w:rPr>
              <w:t>Less BAU</w:t>
            </w:r>
          </w:p>
        </w:tc>
        <w:tc>
          <w:tcPr>
            <w:tcW w:w="1418" w:type="dxa"/>
            <w:tcBorders>
              <w:top w:val="single" w:sz="4" w:space="0" w:color="auto"/>
              <w:left w:val="single" w:sz="4" w:space="0" w:color="auto"/>
              <w:bottom w:val="single" w:sz="4" w:space="0" w:color="auto"/>
              <w:right w:val="single" w:sz="4" w:space="0" w:color="auto"/>
            </w:tcBorders>
          </w:tcPr>
          <w:p w14:paraId="02AB9BB4" w14:textId="77777777" w:rsidR="0096507F" w:rsidRPr="0096507F" w:rsidRDefault="0096507F" w:rsidP="0096507F">
            <w:pPr>
              <w:spacing w:after="200" w:line="276" w:lineRule="auto"/>
              <w:rPr>
                <w:b/>
                <w:bCs/>
              </w:rPr>
            </w:pPr>
          </w:p>
        </w:tc>
        <w:tc>
          <w:tcPr>
            <w:tcW w:w="1275" w:type="dxa"/>
            <w:tcBorders>
              <w:top w:val="single" w:sz="4" w:space="0" w:color="auto"/>
              <w:left w:val="single" w:sz="4" w:space="0" w:color="auto"/>
              <w:bottom w:val="single" w:sz="4" w:space="0" w:color="auto"/>
              <w:right w:val="single" w:sz="4" w:space="0" w:color="auto"/>
            </w:tcBorders>
            <w:vAlign w:val="bottom"/>
          </w:tcPr>
          <w:p w14:paraId="0C80EEAF" w14:textId="77777777" w:rsidR="0096507F" w:rsidRPr="0096507F" w:rsidRDefault="0096507F" w:rsidP="0096507F">
            <w:pPr>
              <w:spacing w:after="200" w:line="276" w:lineRule="auto"/>
              <w:rPr>
                <w:b/>
                <w:bCs/>
              </w:rPr>
            </w:pPr>
          </w:p>
        </w:tc>
        <w:tc>
          <w:tcPr>
            <w:tcW w:w="1701" w:type="dxa"/>
            <w:tcBorders>
              <w:top w:val="single" w:sz="4" w:space="0" w:color="auto"/>
              <w:left w:val="single" w:sz="4" w:space="0" w:color="auto"/>
              <w:bottom w:val="single" w:sz="4" w:space="0" w:color="auto"/>
              <w:right w:val="single" w:sz="4" w:space="0" w:color="auto"/>
            </w:tcBorders>
          </w:tcPr>
          <w:p w14:paraId="49515C15" w14:textId="77777777" w:rsidR="0096507F" w:rsidRPr="0096507F" w:rsidRDefault="0096507F" w:rsidP="0096507F">
            <w:pPr>
              <w:spacing w:after="200" w:line="276" w:lineRule="auto"/>
              <w:rPr>
                <w:b/>
                <w:bCs/>
              </w:rPr>
            </w:pPr>
          </w:p>
        </w:tc>
        <w:tc>
          <w:tcPr>
            <w:tcW w:w="1701" w:type="dxa"/>
            <w:tcBorders>
              <w:top w:val="single" w:sz="4" w:space="0" w:color="auto"/>
              <w:left w:val="single" w:sz="4" w:space="0" w:color="auto"/>
              <w:bottom w:val="single" w:sz="4" w:space="0" w:color="auto"/>
              <w:right w:val="single" w:sz="4" w:space="0" w:color="auto"/>
            </w:tcBorders>
            <w:hideMark/>
          </w:tcPr>
          <w:p w14:paraId="51467E6A" w14:textId="343CA3C8" w:rsidR="0096507F" w:rsidRPr="0096507F" w:rsidRDefault="002662B9" w:rsidP="0096507F">
            <w:pPr>
              <w:spacing w:after="200" w:line="276" w:lineRule="auto"/>
              <w:rPr>
                <w:b/>
                <w:bCs/>
              </w:rPr>
            </w:pPr>
            <w:r>
              <w:rPr>
                <w:b/>
                <w:bCs/>
              </w:rPr>
              <w:t>64,286</w:t>
            </w:r>
          </w:p>
        </w:tc>
      </w:tr>
      <w:tr w:rsidR="0096507F" w:rsidRPr="0096507F" w14:paraId="7AD80DFD" w14:textId="77777777" w:rsidTr="0096507F">
        <w:trPr>
          <w:trHeight w:val="300"/>
        </w:trPr>
        <w:tc>
          <w:tcPr>
            <w:tcW w:w="3539" w:type="dxa"/>
            <w:tcBorders>
              <w:top w:val="single" w:sz="4" w:space="0" w:color="auto"/>
              <w:left w:val="single" w:sz="4" w:space="0" w:color="auto"/>
              <w:bottom w:val="single" w:sz="4" w:space="0" w:color="auto"/>
              <w:right w:val="single" w:sz="4" w:space="0" w:color="auto"/>
            </w:tcBorders>
            <w:hideMark/>
          </w:tcPr>
          <w:p w14:paraId="17CB4B3F" w14:textId="77777777" w:rsidR="0096507F" w:rsidRPr="0096507F" w:rsidRDefault="0096507F" w:rsidP="0096507F">
            <w:pPr>
              <w:spacing w:after="200" w:line="276" w:lineRule="auto"/>
              <w:rPr>
                <w:b/>
                <w:bCs/>
              </w:rPr>
            </w:pPr>
            <w:r w:rsidRPr="0096507F">
              <w:rPr>
                <w:b/>
                <w:bCs/>
              </w:rPr>
              <w:t>Net Policy Impact</w:t>
            </w:r>
          </w:p>
        </w:tc>
        <w:tc>
          <w:tcPr>
            <w:tcW w:w="1418" w:type="dxa"/>
            <w:tcBorders>
              <w:top w:val="single" w:sz="4" w:space="0" w:color="auto"/>
              <w:left w:val="single" w:sz="4" w:space="0" w:color="auto"/>
              <w:bottom w:val="single" w:sz="4" w:space="0" w:color="auto"/>
              <w:right w:val="single" w:sz="4" w:space="0" w:color="auto"/>
            </w:tcBorders>
          </w:tcPr>
          <w:p w14:paraId="6D126682" w14:textId="77777777" w:rsidR="0096507F" w:rsidRPr="0096507F" w:rsidRDefault="0096507F" w:rsidP="0096507F">
            <w:pPr>
              <w:spacing w:after="200" w:line="276" w:lineRule="auto"/>
              <w:rPr>
                <w:b/>
                <w:bCs/>
              </w:rPr>
            </w:pPr>
          </w:p>
        </w:tc>
        <w:tc>
          <w:tcPr>
            <w:tcW w:w="1275" w:type="dxa"/>
            <w:tcBorders>
              <w:top w:val="single" w:sz="4" w:space="0" w:color="auto"/>
              <w:left w:val="single" w:sz="4" w:space="0" w:color="auto"/>
              <w:bottom w:val="single" w:sz="4" w:space="0" w:color="auto"/>
              <w:right w:val="single" w:sz="4" w:space="0" w:color="auto"/>
            </w:tcBorders>
            <w:vAlign w:val="bottom"/>
          </w:tcPr>
          <w:p w14:paraId="75F37306" w14:textId="77777777" w:rsidR="0096507F" w:rsidRPr="0096507F" w:rsidRDefault="0096507F" w:rsidP="0096507F">
            <w:pPr>
              <w:spacing w:after="200" w:line="276" w:lineRule="auto"/>
              <w:rPr>
                <w:b/>
                <w:bCs/>
              </w:rPr>
            </w:pPr>
          </w:p>
        </w:tc>
        <w:tc>
          <w:tcPr>
            <w:tcW w:w="1701" w:type="dxa"/>
            <w:tcBorders>
              <w:top w:val="single" w:sz="4" w:space="0" w:color="auto"/>
              <w:left w:val="single" w:sz="4" w:space="0" w:color="auto"/>
              <w:bottom w:val="single" w:sz="4" w:space="0" w:color="auto"/>
              <w:right w:val="single" w:sz="4" w:space="0" w:color="auto"/>
            </w:tcBorders>
          </w:tcPr>
          <w:p w14:paraId="1790994E" w14:textId="77777777" w:rsidR="0096507F" w:rsidRPr="0096507F" w:rsidRDefault="0096507F" w:rsidP="0096507F">
            <w:pPr>
              <w:spacing w:after="200" w:line="276" w:lineRule="auto"/>
              <w:rPr>
                <w:b/>
                <w:bCs/>
              </w:rPr>
            </w:pPr>
          </w:p>
        </w:tc>
        <w:tc>
          <w:tcPr>
            <w:tcW w:w="1701" w:type="dxa"/>
            <w:tcBorders>
              <w:top w:val="single" w:sz="4" w:space="0" w:color="auto"/>
              <w:left w:val="single" w:sz="4" w:space="0" w:color="auto"/>
              <w:bottom w:val="single" w:sz="4" w:space="0" w:color="auto"/>
              <w:right w:val="single" w:sz="4" w:space="0" w:color="auto"/>
            </w:tcBorders>
            <w:hideMark/>
          </w:tcPr>
          <w:p w14:paraId="2155FD03" w14:textId="4BA85F4D" w:rsidR="0096507F" w:rsidRPr="0096507F" w:rsidRDefault="002662B9" w:rsidP="0096507F">
            <w:pPr>
              <w:spacing w:after="200" w:line="276" w:lineRule="auto"/>
              <w:rPr>
                <w:b/>
                <w:bCs/>
              </w:rPr>
            </w:pPr>
            <w:r>
              <w:rPr>
                <w:b/>
                <w:bCs/>
              </w:rPr>
              <w:t>206,319</w:t>
            </w:r>
          </w:p>
        </w:tc>
      </w:tr>
    </w:tbl>
    <w:p w14:paraId="4D9DA210" w14:textId="77777777" w:rsidR="0096507F" w:rsidRPr="0096507F" w:rsidRDefault="0096507F" w:rsidP="0096507F"/>
    <w:p w14:paraId="13DA76CE" w14:textId="371037B1" w:rsidR="0096507F" w:rsidRDefault="0096507F">
      <w:r w:rsidRPr="0096507F">
        <w:t xml:space="preserve">As seen above, we estimate an increase </w:t>
      </w:r>
      <w:r w:rsidR="00B84AE9">
        <w:t xml:space="preserve">in annual GVA </w:t>
      </w:r>
      <w:r w:rsidRPr="0096507F">
        <w:t>of between £7</w:t>
      </w:r>
      <w:r w:rsidR="002662B9">
        <w:t>2</w:t>
      </w:r>
      <w:r w:rsidRPr="0096507F">
        <w:t>bn and £</w:t>
      </w:r>
      <w:r w:rsidR="002662B9">
        <w:t>206</w:t>
      </w:r>
      <w:r w:rsidRPr="0096507F">
        <w:t xml:space="preserve">bn over what would have occurred </w:t>
      </w:r>
      <w:r w:rsidR="00E1046F">
        <w:t>without</w:t>
      </w:r>
      <w:r w:rsidRPr="0096507F">
        <w:t xml:space="preserve"> any intervention. The BAU scenario has been calculated based on average annual growth rates in each industrial sector over the past decade and assumed to continue over the next decade.</w:t>
      </w:r>
      <w:r>
        <w:br w:type="page"/>
      </w:r>
    </w:p>
    <w:p w14:paraId="550BE855" w14:textId="481A557D" w:rsidR="0096507F" w:rsidRDefault="0096507F" w:rsidP="0096507F">
      <w:pPr>
        <w:pStyle w:val="Heading1"/>
      </w:pPr>
      <w:bookmarkStart w:id="26" w:name="_Toc201831798"/>
      <w:r>
        <w:lastRenderedPageBreak/>
        <w:t>/07. Case Studies</w:t>
      </w:r>
      <w:bookmarkEnd w:id="26"/>
    </w:p>
    <w:p w14:paraId="66819EAD" w14:textId="77777777" w:rsidR="00F51225" w:rsidRPr="00F51225" w:rsidRDefault="00F51225" w:rsidP="00F51225">
      <w:pPr>
        <w:pStyle w:val="Heading2"/>
      </w:pPr>
      <w:r w:rsidRPr="00F51225">
        <w:t>Made Smarter programme</w:t>
      </w:r>
    </w:p>
    <w:p w14:paraId="4DF17539" w14:textId="2F187234" w:rsidR="00F51225" w:rsidRPr="00F51225" w:rsidRDefault="00F51225" w:rsidP="00F51225">
      <w:r w:rsidRPr="00F51225">
        <w:t>Made Smarter was the result of a review led by Professor Juergen Maier to demonstrate how applying digital technologies is key to transformational improvements in productivity</w:t>
      </w:r>
      <w:r w:rsidR="009558B6">
        <w:t>,</w:t>
      </w:r>
      <w:r w:rsidRPr="00F51225">
        <w:t xml:space="preserve"> with those adopting it early already reaping the benefits. The programme set out to help SMEs adopt technologies by offering business support services and overcome the barriers to adoption. The programme was piloted in the North West and has been an incredible success engaging over 2,500 manufacturers, supporting 334 technology projects and the projected forecast in gross GVA is £242m. Not to mention</w:t>
      </w:r>
      <w:r w:rsidR="00B546AC">
        <w:t xml:space="preserve"> </w:t>
      </w:r>
      <w:r w:rsidRPr="00F51225">
        <w:t>that for every £1 of government investment is an £8 return</w:t>
      </w:r>
      <w:r w:rsidRPr="00F51225">
        <w:rPr>
          <w:vertAlign w:val="superscript"/>
        </w:rPr>
        <w:footnoteReference w:id="30"/>
      </w:r>
      <w:r w:rsidRPr="00F51225">
        <w:t xml:space="preserve">. This success is reflected by DSIT’s </w:t>
      </w:r>
      <w:r w:rsidR="00B546AC">
        <w:t xml:space="preserve">recent </w:t>
      </w:r>
      <w:r w:rsidRPr="00F51225">
        <w:t xml:space="preserve">decision to continue funding the Made Smarter programme with up to £37 million. </w:t>
      </w:r>
    </w:p>
    <w:p w14:paraId="432AEB64" w14:textId="77777777" w:rsidR="00F51225" w:rsidRPr="00F51225" w:rsidRDefault="00F51225" w:rsidP="00F51225"/>
    <w:p w14:paraId="60953371" w14:textId="33B06B89" w:rsidR="00F51225" w:rsidRPr="00F51225" w:rsidRDefault="00F51225" w:rsidP="00F51225">
      <w:r w:rsidRPr="00F51225">
        <w:rPr>
          <w:noProof/>
        </w:rPr>
        <w:drawing>
          <wp:inline distT="0" distB="0" distL="0" distR="0" wp14:anchorId="65DBF9DA" wp14:editId="25AB8FCB">
            <wp:extent cx="5727700" cy="3975735"/>
            <wp:effectExtent l="0" t="0" r="6350" b="5715"/>
            <wp:docPr id="643754733" name="Picture 29" descr="A map of united kingdom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54733" name="Picture 29" descr="A map of united kingdom with different color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3975735"/>
                    </a:xfrm>
                    <a:prstGeom prst="rect">
                      <a:avLst/>
                    </a:prstGeom>
                    <a:noFill/>
                    <a:ln>
                      <a:noFill/>
                    </a:ln>
                  </pic:spPr>
                </pic:pic>
              </a:graphicData>
            </a:graphic>
          </wp:inline>
        </w:drawing>
      </w:r>
    </w:p>
    <w:p w14:paraId="56E36744" w14:textId="37A0C90D" w:rsidR="00F51225" w:rsidRPr="00F51225" w:rsidRDefault="00F51225" w:rsidP="00F51225"/>
    <w:p w14:paraId="3A4AB6A5" w14:textId="4E7B79BE" w:rsidR="00F51225" w:rsidRPr="00F51225" w:rsidRDefault="00F51225" w:rsidP="00F51225">
      <w:pPr>
        <w:pStyle w:val="Heading2"/>
      </w:pPr>
      <w:r w:rsidRPr="00F51225">
        <w:lastRenderedPageBreak/>
        <w:t xml:space="preserve">German Federation of Industrial Research Associations (AiF) </w:t>
      </w:r>
    </w:p>
    <w:p w14:paraId="41B8A231" w14:textId="5554D66D" w:rsidR="00F51225" w:rsidRPr="00F51225" w:rsidRDefault="00F51225" w:rsidP="00F51225">
      <w:r w:rsidRPr="00F51225">
        <w:t xml:space="preserve">This is Germany’s leading national organisation promoting applied </w:t>
      </w:r>
      <w:r w:rsidR="00B546AC">
        <w:t xml:space="preserve">R&amp;D </w:t>
      </w:r>
      <w:r w:rsidRPr="00F51225">
        <w:t>in small and medium-sized enterprises. It consists of 100 industrial research associations with approximately 135,000 businesses and 1,200 associated research institutes</w:t>
      </w:r>
      <w:r w:rsidR="007E3812">
        <w:rPr>
          <w:rStyle w:val="FootnoteReference"/>
        </w:rPr>
        <w:footnoteReference w:id="31"/>
      </w:r>
      <w:r w:rsidRPr="00F51225">
        <w:t>. This industry-driven organisation manages the public programmes of the federal government. The AIF coordinates practice-oriented research with a focus on implementing results into the economy within a short period of time. Each research association represents a certain business sector. The AIF covers a range of sectors with an emphasis on developing new technologies and knowledge transfer to strengthen innovation throughout the economy. Since 1954, the AIF has disbursed more than €10bn in funding for more than 200,000 research projects for SMEs</w:t>
      </w:r>
      <w:r w:rsidR="007E3812">
        <w:rPr>
          <w:rStyle w:val="FootnoteReference"/>
        </w:rPr>
        <w:footnoteReference w:id="32"/>
      </w:r>
      <w:r w:rsidRPr="00F51225">
        <w:t>.</w:t>
      </w:r>
    </w:p>
    <w:p w14:paraId="61833FFB" w14:textId="67B75843" w:rsidR="00F51225" w:rsidRPr="00F51225" w:rsidRDefault="00F51225" w:rsidP="00AD4019">
      <w:pPr>
        <w:pStyle w:val="Heading2"/>
        <w:rPr>
          <w:rStyle w:val="Heading2Char"/>
        </w:rPr>
      </w:pPr>
      <w:r w:rsidRPr="00F51225">
        <w:t>Germany’s Digital Strategy – De-Digital</w:t>
      </w:r>
    </w:p>
    <w:p w14:paraId="74F4D7CD" w14:textId="78829847" w:rsidR="00F51225" w:rsidRPr="00F51225" w:rsidRDefault="00F51225" w:rsidP="00F51225">
      <w:r w:rsidRPr="00F51225">
        <w:t>Germany’s De-Digital strategy recognis</w:t>
      </w:r>
      <w:r w:rsidR="00B546AC">
        <w:t>es</w:t>
      </w:r>
      <w:r w:rsidRPr="00F51225">
        <w:t xml:space="preserve"> the importance of digitalisation and data to companies and government. This initiative brings together businesses, unions, the scientific community, the government and the public to develop approaches and projects for digital transformation. </w:t>
      </w:r>
      <w:r w:rsidRPr="00763016">
        <w:t xml:space="preserve">This initiative was launched in 2016 and at the time of writing they quantified the benefit of digitising industry to open up potential additional cumulative </w:t>
      </w:r>
      <w:r w:rsidR="00763016" w:rsidRPr="00763016">
        <w:t xml:space="preserve">value added </w:t>
      </w:r>
      <w:r w:rsidRPr="00763016">
        <w:t>of €425 billion in Germany alone.</w:t>
      </w:r>
      <w:r w:rsidRPr="00F51225">
        <w:t xml:space="preserve"> Projections put productivity gains at up to 30%, annual efficiency gains at 3.3% and cost reductions at 2.6% annually</w:t>
      </w:r>
      <w:r w:rsidR="007E3812">
        <w:rPr>
          <w:rStyle w:val="FootnoteReference"/>
        </w:rPr>
        <w:footnoteReference w:id="33"/>
      </w:r>
      <w:r w:rsidRPr="00F51225">
        <w:t xml:space="preserve">. They estimated that the following sectors would be the highest beneficiaries; automotive industry, mechanical engineering, process industries, the electronics industry and ICT. </w:t>
      </w:r>
    </w:p>
    <w:p w14:paraId="1D99ECBE" w14:textId="75132FAF" w:rsidR="00AD4019" w:rsidRDefault="00AD4019">
      <w:r>
        <w:br w:type="page"/>
      </w:r>
    </w:p>
    <w:p w14:paraId="716A8B19" w14:textId="526C184A" w:rsidR="00AD4019" w:rsidRDefault="00AD4019" w:rsidP="00AD4019">
      <w:pPr>
        <w:pStyle w:val="Heading1"/>
      </w:pPr>
      <w:bookmarkStart w:id="27" w:name="_Toc201831799"/>
      <w:r>
        <w:lastRenderedPageBreak/>
        <w:t>/08. Policy Recommendations</w:t>
      </w:r>
      <w:bookmarkEnd w:id="27"/>
    </w:p>
    <w:p w14:paraId="16A06B3A" w14:textId="39B8B60A" w:rsidR="000F6C95" w:rsidRDefault="000F6C95" w:rsidP="000F6C95">
      <w:pPr>
        <w:spacing w:before="200"/>
        <w:rPr>
          <w:rFonts w:cstheme="minorHAnsi"/>
        </w:rPr>
      </w:pPr>
      <w:r w:rsidRPr="00A67ADB">
        <w:rPr>
          <w:rFonts w:cstheme="minorHAnsi"/>
        </w:rPr>
        <w:t>Our overall theory for prioritising investment is ensuring we can a</w:t>
      </w:r>
      <w:r>
        <w:rPr>
          <w:rFonts w:cstheme="minorHAnsi"/>
        </w:rPr>
        <w:t>ff</w:t>
      </w:r>
      <w:r w:rsidRPr="00A67ADB">
        <w:rPr>
          <w:rFonts w:cstheme="minorHAnsi"/>
        </w:rPr>
        <w:t>ect the whole</w:t>
      </w:r>
      <w:r>
        <w:rPr>
          <w:rFonts w:cstheme="minorHAnsi"/>
        </w:rPr>
        <w:t xml:space="preserve"> </w:t>
      </w:r>
      <w:r w:rsidRPr="00A67ADB">
        <w:rPr>
          <w:rFonts w:cstheme="minorHAnsi"/>
        </w:rPr>
        <w:t>economy, particularly in the emerging and established clusters in city regions, not only</w:t>
      </w:r>
      <w:r>
        <w:rPr>
          <w:rFonts w:cstheme="minorHAnsi"/>
        </w:rPr>
        <w:t xml:space="preserve"> </w:t>
      </w:r>
      <w:r w:rsidRPr="00A67ADB">
        <w:rPr>
          <w:rFonts w:cstheme="minorHAnsi"/>
        </w:rPr>
        <w:t>focusing on businesses based directly on innovation.</w:t>
      </w:r>
      <w:r>
        <w:rPr>
          <w:rFonts w:cstheme="minorHAnsi"/>
        </w:rPr>
        <w:t xml:space="preserve"> </w:t>
      </w:r>
      <w:r w:rsidRPr="00A67ADB">
        <w:rPr>
          <w:rFonts w:cstheme="minorHAnsi"/>
        </w:rPr>
        <w:t>The bulk of additional investment should be focused on di</w:t>
      </w:r>
      <w:r>
        <w:rPr>
          <w:rFonts w:cstheme="minorHAnsi"/>
        </w:rPr>
        <w:t>ff</w:t>
      </w:r>
      <w:r w:rsidRPr="00A67ADB">
        <w:rPr>
          <w:rFonts w:cstheme="minorHAnsi"/>
        </w:rPr>
        <w:t>usion and absorption</w:t>
      </w:r>
      <w:r>
        <w:rPr>
          <w:rFonts w:cstheme="minorHAnsi"/>
        </w:rPr>
        <w:t xml:space="preserve"> </w:t>
      </w:r>
      <w:r w:rsidRPr="00A67ADB">
        <w:rPr>
          <w:rFonts w:cstheme="minorHAnsi"/>
        </w:rPr>
        <w:t>capacity, leveraging the benefits of wider investment in connectivity at the same time</w:t>
      </w:r>
      <w:r w:rsidR="00BA1BB8">
        <w:rPr>
          <w:rFonts w:cstheme="minorHAnsi"/>
        </w:rPr>
        <w:t>,</w:t>
      </w:r>
      <w:r>
        <w:rPr>
          <w:rFonts w:cstheme="minorHAnsi"/>
        </w:rPr>
        <w:t xml:space="preserve"> </w:t>
      </w:r>
      <w:r w:rsidRPr="00A67ADB">
        <w:rPr>
          <w:rFonts w:cstheme="minorHAnsi"/>
        </w:rPr>
        <w:t>provided for through NISTA</w:t>
      </w:r>
      <w:r w:rsidR="00BA1BB8">
        <w:rPr>
          <w:rFonts w:cstheme="minorHAnsi"/>
        </w:rPr>
        <w:t>’</w:t>
      </w:r>
      <w:r w:rsidRPr="00A67ADB">
        <w:rPr>
          <w:rFonts w:cstheme="minorHAnsi"/>
        </w:rPr>
        <w:t>s ten</w:t>
      </w:r>
      <w:r w:rsidR="00BA1BB8">
        <w:rPr>
          <w:rFonts w:cstheme="minorHAnsi"/>
        </w:rPr>
        <w:t>-</w:t>
      </w:r>
      <w:r w:rsidRPr="00A67ADB">
        <w:rPr>
          <w:rFonts w:cstheme="minorHAnsi"/>
        </w:rPr>
        <w:t xml:space="preserve">year plan. </w:t>
      </w:r>
    </w:p>
    <w:p w14:paraId="359F6262" w14:textId="58AC6693" w:rsidR="000F6C95" w:rsidRDefault="000F6C95" w:rsidP="000F6C95">
      <w:pPr>
        <w:rPr>
          <w:rFonts w:cstheme="minorHAnsi"/>
        </w:rPr>
      </w:pPr>
      <w:r>
        <w:rPr>
          <w:rFonts w:cstheme="minorHAnsi"/>
        </w:rPr>
        <w:t>Under the previous government, the Levelling Up White Paper set out an ambition to increase public investment in R</w:t>
      </w:r>
      <w:r w:rsidR="00BA1BB8">
        <w:rPr>
          <w:rFonts w:cstheme="minorHAnsi"/>
        </w:rPr>
        <w:t>&amp;D</w:t>
      </w:r>
      <w:r>
        <w:rPr>
          <w:rFonts w:cstheme="minorHAnsi"/>
        </w:rPr>
        <w:t xml:space="preserve"> outside the Greater South East by at least 40% by 2030. This led to nearer term targets to rebalance investment, and the </w:t>
      </w:r>
      <w:r w:rsidRPr="00C12D27">
        <w:rPr>
          <w:rFonts w:cstheme="minorHAnsi"/>
        </w:rPr>
        <w:t>proportion of UKRI funding invested outside of London</w:t>
      </w:r>
      <w:r>
        <w:rPr>
          <w:rFonts w:cstheme="minorHAnsi"/>
        </w:rPr>
        <w:t xml:space="preserve">, South East and East of England has </w:t>
      </w:r>
      <w:r w:rsidR="00C84C26">
        <w:rPr>
          <w:rFonts w:cstheme="minorHAnsi"/>
        </w:rPr>
        <w:t xml:space="preserve">since </w:t>
      </w:r>
      <w:r>
        <w:rPr>
          <w:rFonts w:cstheme="minorHAnsi"/>
        </w:rPr>
        <w:t xml:space="preserve">risen </w:t>
      </w:r>
      <w:r w:rsidRPr="00C12D27">
        <w:rPr>
          <w:rFonts w:cstheme="minorHAnsi"/>
        </w:rPr>
        <w:t>from 47% in the 2021 to 2022 financial year to 50% in the 2023 to 2024 financial year</w:t>
      </w:r>
      <w:r>
        <w:rPr>
          <w:rFonts w:cstheme="minorHAnsi"/>
        </w:rPr>
        <w:t xml:space="preserve"> (with North West receiving some of the greatest absolute and proportional increases)</w:t>
      </w:r>
      <w:r w:rsidRPr="00C12D27">
        <w:rPr>
          <w:rFonts w:cstheme="minorHAnsi"/>
        </w:rPr>
        <w:t>.</w:t>
      </w:r>
      <w:r>
        <w:rPr>
          <w:rFonts w:cstheme="minorHAnsi"/>
        </w:rPr>
        <w:t xml:space="preserve"> However, on a per</w:t>
      </w:r>
      <w:r w:rsidR="00C84C26">
        <w:rPr>
          <w:rFonts w:cstheme="minorHAnsi"/>
        </w:rPr>
        <w:t>-</w:t>
      </w:r>
      <w:r>
        <w:rPr>
          <w:rFonts w:cstheme="minorHAnsi"/>
        </w:rPr>
        <w:t>head basis this still equates to £183 in the Greater South East and £106 outside the Greater South East in 2023/24.</w:t>
      </w:r>
      <w:r>
        <w:rPr>
          <w:rStyle w:val="FootnoteReference"/>
          <w:rFonts w:cstheme="minorHAnsi"/>
        </w:rPr>
        <w:footnoteReference w:id="34"/>
      </w:r>
      <w:r>
        <w:rPr>
          <w:rFonts w:cstheme="minorHAnsi"/>
        </w:rPr>
        <w:t xml:space="preserve"> There was a fall in the amount of funding available from the Shared Prosperity Fund as shown in </w:t>
      </w:r>
      <w:r w:rsidR="00C84C26">
        <w:rPr>
          <w:rFonts w:cstheme="minorHAnsi"/>
        </w:rPr>
        <w:t xml:space="preserve">recent </w:t>
      </w:r>
      <w:r>
        <w:rPr>
          <w:rFonts w:cstheme="minorHAnsi"/>
        </w:rPr>
        <w:t xml:space="preserve">research </w:t>
      </w:r>
      <w:r w:rsidR="00C84C26">
        <w:rPr>
          <w:rFonts w:cstheme="minorHAnsi"/>
        </w:rPr>
        <w:t xml:space="preserve">conducted </w:t>
      </w:r>
      <w:r>
        <w:rPr>
          <w:rFonts w:cstheme="minorHAnsi"/>
        </w:rPr>
        <w:t xml:space="preserve">for the </w:t>
      </w:r>
      <w:r w:rsidR="00C84C26">
        <w:rPr>
          <w:rFonts w:cstheme="minorHAnsi"/>
        </w:rPr>
        <w:t xml:space="preserve">Northern Powerhouse Partnership. </w:t>
      </w:r>
    </w:p>
    <w:p w14:paraId="3E8E216B" w14:textId="185DA43B" w:rsidR="000F6C95" w:rsidRDefault="000F6C95" w:rsidP="000F6C95">
      <w:pPr>
        <w:rPr>
          <w:rFonts w:cstheme="minorHAnsi"/>
        </w:rPr>
      </w:pPr>
      <w:r>
        <w:rPr>
          <w:rFonts w:cstheme="minorHAnsi"/>
        </w:rPr>
        <w:t xml:space="preserve">In the Spending Review, there is </w:t>
      </w:r>
      <w:r w:rsidR="00C84C26">
        <w:rPr>
          <w:rFonts w:cstheme="minorHAnsi"/>
        </w:rPr>
        <w:t xml:space="preserve">a commitment to </w:t>
      </w:r>
      <w:r>
        <w:rPr>
          <w:rFonts w:cstheme="minorHAnsi"/>
        </w:rPr>
        <w:t xml:space="preserve">more money being invested in </w:t>
      </w:r>
      <w:r w:rsidRPr="009B52C9">
        <w:rPr>
          <w:rFonts w:cstheme="minorHAnsi"/>
        </w:rPr>
        <w:t>R&amp;D</w:t>
      </w:r>
      <w:r>
        <w:rPr>
          <w:rFonts w:cstheme="minorHAnsi"/>
        </w:rPr>
        <w:t xml:space="preserve">, with </w:t>
      </w:r>
      <w:r w:rsidRPr="009B52C9">
        <w:rPr>
          <w:rFonts w:cstheme="minorHAnsi"/>
        </w:rPr>
        <w:t xml:space="preserve">funding </w:t>
      </w:r>
      <w:r>
        <w:rPr>
          <w:rFonts w:cstheme="minorHAnsi"/>
        </w:rPr>
        <w:t xml:space="preserve">increasing </w:t>
      </w:r>
      <w:r w:rsidRPr="009B52C9">
        <w:rPr>
          <w:rFonts w:cstheme="minorHAnsi"/>
        </w:rPr>
        <w:t>to £22.6 billion per year by</w:t>
      </w:r>
      <w:r>
        <w:rPr>
          <w:rFonts w:cstheme="minorHAnsi"/>
        </w:rPr>
        <w:t xml:space="preserve"> </w:t>
      </w:r>
      <w:r w:rsidRPr="009B52C9">
        <w:rPr>
          <w:rFonts w:cstheme="minorHAnsi"/>
        </w:rPr>
        <w:t>2029</w:t>
      </w:r>
      <w:r w:rsidRPr="009B52C9">
        <w:rPr>
          <w:rFonts w:ascii="Cambria Math" w:hAnsi="Cambria Math" w:cs="Cambria Math"/>
        </w:rPr>
        <w:t>‑</w:t>
      </w:r>
      <w:r w:rsidRPr="009B52C9">
        <w:rPr>
          <w:rFonts w:cstheme="minorHAnsi"/>
        </w:rPr>
        <w:t>30, an above-inflation increase.</w:t>
      </w:r>
      <w:r>
        <w:rPr>
          <w:rFonts w:cstheme="minorHAnsi"/>
        </w:rPr>
        <w:t xml:space="preserve"> The question</w:t>
      </w:r>
      <w:r w:rsidR="00C84C26">
        <w:rPr>
          <w:rFonts w:cstheme="minorHAnsi"/>
        </w:rPr>
        <w:t xml:space="preserve"> now</w:t>
      </w:r>
      <w:r>
        <w:rPr>
          <w:rFonts w:cstheme="minorHAnsi"/>
        </w:rPr>
        <w:t xml:space="preserve"> is how much of this investment will come to regions of the North and the Midlands</w:t>
      </w:r>
      <w:r w:rsidR="00C84C26">
        <w:rPr>
          <w:rFonts w:cstheme="minorHAnsi"/>
        </w:rPr>
        <w:t xml:space="preserve">. </w:t>
      </w:r>
    </w:p>
    <w:p w14:paraId="6DA4DB36" w14:textId="2CCD6D95" w:rsidR="000F6C95" w:rsidRDefault="000F6C95" w:rsidP="000F6C95">
      <w:pPr>
        <w:spacing w:before="200"/>
      </w:pPr>
      <w:r w:rsidRPr="00A67ADB">
        <w:rPr>
          <w:rFonts w:cstheme="minorHAnsi"/>
        </w:rPr>
        <w:t>These five initial draft recommendations are</w:t>
      </w:r>
      <w:r>
        <w:rPr>
          <w:rFonts w:cstheme="minorHAnsi"/>
        </w:rPr>
        <w:t xml:space="preserve"> </w:t>
      </w:r>
      <w:r w:rsidRPr="00A67ADB">
        <w:rPr>
          <w:rFonts w:cstheme="minorHAnsi"/>
        </w:rPr>
        <w:t>framed on the basis that UK Government</w:t>
      </w:r>
      <w:r>
        <w:t xml:space="preserve"> increases in innovation funding should be</w:t>
      </w:r>
      <w:r>
        <w:rPr>
          <w:rFonts w:cstheme="minorHAnsi"/>
        </w:rPr>
        <w:t xml:space="preserve"> </w:t>
      </w:r>
      <w:r>
        <w:t>targeted at mega regions, including the North, with lower productivity, without needing</w:t>
      </w:r>
      <w:r>
        <w:rPr>
          <w:rFonts w:cstheme="minorHAnsi"/>
        </w:rPr>
        <w:t xml:space="preserve"> </w:t>
      </w:r>
      <w:r>
        <w:t>to reduce funding in so called pure research spend either here or in the Golden Triangle.</w:t>
      </w:r>
      <w:r>
        <w:rPr>
          <w:rFonts w:cstheme="minorHAnsi"/>
        </w:rPr>
        <w:t xml:space="preserve"> </w:t>
      </w:r>
      <w:r>
        <w:t xml:space="preserve">The crowding in of private investment around </w:t>
      </w:r>
      <w:r w:rsidR="00C84C26">
        <w:t xml:space="preserve">the </w:t>
      </w:r>
      <w:r>
        <w:t>longstanding concentration of public R&amp;D</w:t>
      </w:r>
      <w:r>
        <w:rPr>
          <w:rFonts w:cstheme="minorHAnsi"/>
        </w:rPr>
        <w:t xml:space="preserve"> </w:t>
      </w:r>
      <w:r>
        <w:t>funding in London gives us the evidence that this will secure significant growth through</w:t>
      </w:r>
      <w:r>
        <w:rPr>
          <w:rFonts w:cstheme="minorHAnsi"/>
        </w:rPr>
        <w:t xml:space="preserve"> </w:t>
      </w:r>
      <w:r>
        <w:t>the leverage effect achieved (supporting the government’s mission).</w:t>
      </w:r>
    </w:p>
    <w:p w14:paraId="55FE3135" w14:textId="2C937F41" w:rsidR="00C84C26" w:rsidRPr="00C84C26" w:rsidRDefault="00C84C26" w:rsidP="000F6C95">
      <w:pPr>
        <w:spacing w:before="200"/>
        <w:rPr>
          <w:rFonts w:cstheme="minorHAnsi"/>
          <w:b/>
          <w:bCs/>
        </w:rPr>
      </w:pPr>
      <w:r>
        <w:rPr>
          <w:b/>
          <w:bCs/>
        </w:rPr>
        <w:t>Policy Recommendations:</w:t>
      </w:r>
    </w:p>
    <w:p w14:paraId="687AA28C" w14:textId="1CC14411" w:rsidR="000F6C95" w:rsidRDefault="000F6C95" w:rsidP="000F6C95">
      <w:pPr>
        <w:spacing w:before="200"/>
      </w:pPr>
      <w:r>
        <w:t xml:space="preserve">1. Business rates on lab space, particularly to support </w:t>
      </w:r>
      <w:r w:rsidR="007D5732">
        <w:t>start-ups</w:t>
      </w:r>
      <w:r>
        <w:t xml:space="preserve"> and scale</w:t>
      </w:r>
      <w:r w:rsidR="007D5732">
        <w:t>-</w:t>
      </w:r>
      <w:r>
        <w:t xml:space="preserve">ups, should be reduced in the review of this tax and offset by </w:t>
      </w:r>
      <w:r w:rsidR="00B8641E">
        <w:t>the likely increased</w:t>
      </w:r>
      <w:r>
        <w:t xml:space="preserve"> future </w:t>
      </w:r>
      <w:r w:rsidR="00B8641E">
        <w:t xml:space="preserve">revenue from </w:t>
      </w:r>
      <w:r>
        <w:t>wider business taxation</w:t>
      </w:r>
      <w:r w:rsidR="00B8641E">
        <w:t xml:space="preserve"> that these businesses will generate</w:t>
      </w:r>
      <w:r>
        <w:t xml:space="preserve">. This will stimulate investment </w:t>
      </w:r>
      <w:r>
        <w:lastRenderedPageBreak/>
        <w:t>both in the North and other regions with shortages, notably the Oxford-Cambridge corridor, to ensure affordability of new lab space built in our city regions.</w:t>
      </w:r>
    </w:p>
    <w:p w14:paraId="43BABF7C" w14:textId="0021E621" w:rsidR="000F6C95" w:rsidRDefault="000F6C95" w:rsidP="000F6C95">
      <w:pPr>
        <w:spacing w:before="200"/>
      </w:pPr>
      <w:r>
        <w:t xml:space="preserve">2. The award of £30 million each in the Spending Review to build on the </w:t>
      </w:r>
      <w:r w:rsidRPr="001908DC">
        <w:t>Greater Manchester</w:t>
      </w:r>
      <w:r>
        <w:t xml:space="preserve"> innovation accelerator and extend to</w:t>
      </w:r>
      <w:r w:rsidRPr="001908DC">
        <w:t xml:space="preserve"> South Yorkshire, West Yorkshire, Liverpool City Region</w:t>
      </w:r>
      <w:r>
        <w:t xml:space="preserve"> and </w:t>
      </w:r>
      <w:r w:rsidRPr="001908DC">
        <w:t>North East</w:t>
      </w:r>
      <w:r>
        <w:t xml:space="preserve"> is welcome</w:t>
      </w:r>
      <w:r w:rsidRPr="001908DC">
        <w:t xml:space="preserve">. </w:t>
      </w:r>
      <w:r>
        <w:t xml:space="preserve">However, across these part devolved funds we need greater levels of ambition, and to cover these and rest of the North we project we would need a total value of £3bn a year across the North to include translational research and diffusion. </w:t>
      </w:r>
    </w:p>
    <w:p w14:paraId="6E50BDBA" w14:textId="63A0F5CE" w:rsidR="000F6C95" w:rsidRDefault="000F6C95" w:rsidP="000F6C95">
      <w:pPr>
        <w:spacing w:before="200"/>
      </w:pPr>
      <w:r>
        <w:t xml:space="preserve">3. The Local Growth Fund, </w:t>
      </w:r>
      <w:r w:rsidR="00C84C26">
        <w:t>which</w:t>
      </w:r>
      <w:r>
        <w:t xml:space="preserve"> replace</w:t>
      </w:r>
      <w:r w:rsidR="00C84C26">
        <w:t>s</w:t>
      </w:r>
      <w:r>
        <w:t xml:space="preserve"> the Shared Prosperity Fund</w:t>
      </w:r>
      <w:r w:rsidRPr="00763016">
        <w:t>, is to be targeted at the North and Midlands and will help correct the decline in funding since we left the European Union for local adoption by businesses of innovations (specifically SMEs).</w:t>
      </w:r>
      <w:r>
        <w:t xml:space="preserve"> We strongly support backing regions with agglomeration which in the case of the North includes all those with and awaiting devolution because as demonstrated by the NPIER the sum of the North is greater than its individual parts. </w:t>
      </w:r>
    </w:p>
    <w:p w14:paraId="2A8B85ED" w14:textId="54F54157" w:rsidR="000F6C95" w:rsidRDefault="000F6C95" w:rsidP="000F6C95">
      <w:pPr>
        <w:spacing w:before="200"/>
      </w:pPr>
      <w:r>
        <w:t>4. Support the catapults as pan</w:t>
      </w:r>
      <w:r w:rsidR="00C84C26">
        <w:t>-</w:t>
      </w:r>
      <w:r>
        <w:t xml:space="preserve">Northern as well as national institutions, to align their funding with the work they would do through innovation deals for northern SMEs and wider place specific activity. </w:t>
      </w:r>
    </w:p>
    <w:p w14:paraId="459DAA97" w14:textId="77777777" w:rsidR="000F6C95" w:rsidRPr="0096507F" w:rsidRDefault="000F6C95" w:rsidP="000F6C95">
      <w:pPr>
        <w:spacing w:before="200"/>
      </w:pPr>
      <w:r>
        <w:t>5. Build on the Made Smarter programme to design a series of pan Northern programmes focused on adoption and diffusion explicitly, aligned with the prime capabilities, with these targeted at SMEs alongside aligned skills programmes delivered in partnership with devolved skills systems and emerging pan-regional initiatives, such as Invest Humber Estuary in the case of the energy prime capability.</w:t>
      </w:r>
    </w:p>
    <w:p w14:paraId="5CBEAD67" w14:textId="77777777" w:rsidR="0096507F" w:rsidRPr="0096507F" w:rsidRDefault="0096507F" w:rsidP="0096507F"/>
    <w:p w14:paraId="32301365" w14:textId="77777777" w:rsidR="0096507F" w:rsidRPr="00BA4B3F" w:rsidRDefault="0096507F" w:rsidP="00BA4B3F"/>
    <w:p w14:paraId="124B9ACA" w14:textId="77777777" w:rsidR="007F0C47" w:rsidRPr="007F0C47" w:rsidRDefault="007F0C47" w:rsidP="007F0C47"/>
    <w:p w14:paraId="30E9207E" w14:textId="77777777" w:rsidR="00214F46" w:rsidRPr="00214F46" w:rsidRDefault="00214F46" w:rsidP="00214F46"/>
    <w:p w14:paraId="02143466" w14:textId="77777777" w:rsidR="00244B0A" w:rsidRPr="00244B0A" w:rsidRDefault="00244B0A" w:rsidP="00244B0A"/>
    <w:p w14:paraId="57D128F6" w14:textId="77777777" w:rsidR="000F2DA6" w:rsidRPr="002B28AD" w:rsidRDefault="000F2DA6" w:rsidP="00136103"/>
    <w:p w14:paraId="62E06D83" w14:textId="77777777" w:rsidR="00AB1923" w:rsidRPr="002B28AD" w:rsidRDefault="00AB1923" w:rsidP="005C129B">
      <w:pPr>
        <w:rPr>
          <w:i/>
          <w:iCs/>
        </w:rPr>
      </w:pPr>
    </w:p>
    <w:sectPr w:rsidR="00AB1923" w:rsidRPr="002B28AD" w:rsidSect="00A95C3A">
      <w:headerReference w:type="default" r:id="rId30"/>
      <w:footerReference w:type="even" r:id="rId31"/>
      <w:footerReference w:type="default" r:id="rId32"/>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AFB44" w14:textId="77777777" w:rsidR="00C20000" w:rsidRDefault="00C20000" w:rsidP="001B3999">
      <w:pPr>
        <w:spacing w:after="0" w:line="240" w:lineRule="auto"/>
      </w:pPr>
      <w:r>
        <w:separator/>
      </w:r>
    </w:p>
  </w:endnote>
  <w:endnote w:type="continuationSeparator" w:id="0">
    <w:p w14:paraId="0CA01AEA" w14:textId="77777777" w:rsidR="00C20000" w:rsidRDefault="00C20000" w:rsidP="001B3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2942089"/>
      <w:docPartObj>
        <w:docPartGallery w:val="Page Numbers (Bottom of Page)"/>
        <w:docPartUnique/>
      </w:docPartObj>
    </w:sdtPr>
    <w:sdtEndPr>
      <w:rPr>
        <w:rStyle w:val="PageNumber"/>
      </w:rPr>
    </w:sdtEndPr>
    <w:sdtContent>
      <w:p w14:paraId="00779541" w14:textId="7C6F3E34" w:rsidR="001B3999" w:rsidRDefault="001B3999" w:rsidP="000F41F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89E087" w14:textId="77777777" w:rsidR="001B3999" w:rsidRDefault="001B3999" w:rsidP="001B39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3"/>
      <w:gridCol w:w="4487"/>
    </w:tblGrid>
    <w:tr w:rsidR="005E4A81" w14:paraId="28415A79" w14:textId="77777777">
      <w:trPr>
        <w:trHeight w:hRule="exact" w:val="115"/>
        <w:jc w:val="center"/>
      </w:trPr>
      <w:tc>
        <w:tcPr>
          <w:tcW w:w="4686" w:type="dxa"/>
          <w:shd w:val="clear" w:color="auto" w:fill="85BAC8" w:themeFill="accent1"/>
          <w:tcMar>
            <w:top w:w="0" w:type="dxa"/>
            <w:bottom w:w="0" w:type="dxa"/>
          </w:tcMar>
        </w:tcPr>
        <w:p w14:paraId="20F1884B" w14:textId="77777777" w:rsidR="005E4A81" w:rsidRDefault="005E4A81">
          <w:pPr>
            <w:pStyle w:val="Header"/>
            <w:tabs>
              <w:tab w:val="clear" w:pos="4680"/>
              <w:tab w:val="clear" w:pos="9360"/>
            </w:tabs>
            <w:rPr>
              <w:caps/>
              <w:sz w:val="18"/>
            </w:rPr>
          </w:pPr>
        </w:p>
      </w:tc>
      <w:tc>
        <w:tcPr>
          <w:tcW w:w="4674" w:type="dxa"/>
          <w:shd w:val="clear" w:color="auto" w:fill="85BAC8" w:themeFill="accent1"/>
          <w:tcMar>
            <w:top w:w="0" w:type="dxa"/>
            <w:bottom w:w="0" w:type="dxa"/>
          </w:tcMar>
        </w:tcPr>
        <w:p w14:paraId="6D065D97" w14:textId="77777777" w:rsidR="005E4A81" w:rsidRDefault="005E4A81">
          <w:pPr>
            <w:pStyle w:val="Header"/>
            <w:tabs>
              <w:tab w:val="clear" w:pos="4680"/>
              <w:tab w:val="clear" w:pos="9360"/>
            </w:tabs>
            <w:jc w:val="right"/>
            <w:rPr>
              <w:caps/>
              <w:sz w:val="18"/>
            </w:rPr>
          </w:pPr>
        </w:p>
      </w:tc>
    </w:tr>
    <w:tr w:rsidR="005E4A81" w14:paraId="18F245C3" w14:textId="77777777">
      <w:trPr>
        <w:jc w:val="center"/>
      </w:trPr>
      <w:sdt>
        <w:sdtPr>
          <w:rPr>
            <w:caps/>
            <w:color w:val="808080" w:themeColor="background1" w:themeShade="80"/>
            <w:sz w:val="18"/>
            <w:szCs w:val="18"/>
          </w:rPr>
          <w:alias w:val="Author"/>
          <w:tag w:val=""/>
          <w:id w:val="1534151868"/>
          <w:placeholder>
            <w:docPart w:val="41D454CF4B94D948887D0AE025EE9618"/>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6E38AE18" w14:textId="61978A8E" w:rsidR="005E4A81" w:rsidRDefault="005E4A81">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Document title</w:t>
              </w:r>
            </w:p>
          </w:tc>
        </w:sdtContent>
      </w:sdt>
      <w:tc>
        <w:tcPr>
          <w:tcW w:w="4674" w:type="dxa"/>
          <w:shd w:val="clear" w:color="auto" w:fill="auto"/>
          <w:vAlign w:val="center"/>
        </w:tcPr>
        <w:p w14:paraId="0F7BBC44" w14:textId="77777777" w:rsidR="005E4A81" w:rsidRDefault="005E4A81">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5FDC1748" w14:textId="77777777" w:rsidR="001B3999" w:rsidRDefault="001B3999" w:rsidP="001B399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ACF17C" w14:textId="77777777" w:rsidR="00C20000" w:rsidRDefault="00C20000" w:rsidP="001B3999">
      <w:pPr>
        <w:spacing w:after="0" w:line="240" w:lineRule="auto"/>
      </w:pPr>
      <w:r>
        <w:separator/>
      </w:r>
    </w:p>
  </w:footnote>
  <w:footnote w:type="continuationSeparator" w:id="0">
    <w:p w14:paraId="77009150" w14:textId="77777777" w:rsidR="00C20000" w:rsidRDefault="00C20000" w:rsidP="001B3999">
      <w:pPr>
        <w:spacing w:after="0" w:line="240" w:lineRule="auto"/>
      </w:pPr>
      <w:r>
        <w:continuationSeparator/>
      </w:r>
    </w:p>
  </w:footnote>
  <w:footnote w:id="1">
    <w:p w14:paraId="1CC4F1DA" w14:textId="59AEC447" w:rsidR="005979D6" w:rsidRDefault="005979D6">
      <w:pPr>
        <w:pStyle w:val="FootnoteText"/>
      </w:pPr>
      <w:r>
        <w:rPr>
          <w:rStyle w:val="FootnoteReference"/>
        </w:rPr>
        <w:footnoteRef/>
      </w:r>
      <w:r>
        <w:t xml:space="preserve"> </w:t>
      </w:r>
      <w:r w:rsidR="00F31357">
        <w:t xml:space="preserve">SQW and Cambridge Econometrics (2016) </w:t>
      </w:r>
      <w:r w:rsidR="0090682C" w:rsidRPr="00F31357">
        <w:rPr>
          <w:i/>
          <w:iCs/>
        </w:rPr>
        <w:t>The Northern Powerhouse Independent Economic Review Final Executive Summary Report</w:t>
      </w:r>
    </w:p>
  </w:footnote>
  <w:footnote w:id="2">
    <w:p w14:paraId="1B5467AD" w14:textId="6F981BDB" w:rsidR="00AF1333" w:rsidRDefault="00AF1333" w:rsidP="00AF1333">
      <w:pPr>
        <w:pStyle w:val="FootnoteText"/>
      </w:pPr>
      <w:r>
        <w:rPr>
          <w:rStyle w:val="FootnoteReference"/>
        </w:rPr>
        <w:footnoteRef/>
      </w:r>
      <w:r>
        <w:t xml:space="preserve"> </w:t>
      </w:r>
      <w:r w:rsidR="00F31357">
        <w:t xml:space="preserve">SQW and Cambridge Econometrics (2016) </w:t>
      </w:r>
      <w:r w:rsidR="00F31357" w:rsidRPr="00F31357">
        <w:rPr>
          <w:i/>
          <w:iCs/>
        </w:rPr>
        <w:t>The Northern Powerhouse Independent Economic Review Workstream 4 Scenarios for Future Growth in the North – Final Report</w:t>
      </w:r>
    </w:p>
  </w:footnote>
  <w:footnote w:id="3">
    <w:p w14:paraId="101A1C7C" w14:textId="28424607" w:rsidR="00AF1333" w:rsidRDefault="00AF1333" w:rsidP="00AF1333">
      <w:pPr>
        <w:pStyle w:val="FootnoteText"/>
      </w:pPr>
      <w:r>
        <w:rPr>
          <w:rStyle w:val="FootnoteReference"/>
        </w:rPr>
        <w:footnoteRef/>
      </w:r>
      <w:r>
        <w:t xml:space="preserve"> </w:t>
      </w:r>
      <w:r w:rsidR="004827EC">
        <w:t xml:space="preserve">SQW and Cambridge Econometrics (2016) </w:t>
      </w:r>
      <w:r w:rsidR="00F31357" w:rsidRPr="004827EC">
        <w:rPr>
          <w:i/>
          <w:iCs/>
        </w:rPr>
        <w:t>The Northern Powerhouse Independent Economic Review  Workstream 1: Analysis of the pan-Northern Performance Gap – Final Report</w:t>
      </w:r>
    </w:p>
  </w:footnote>
  <w:footnote w:id="4">
    <w:p w14:paraId="54C38335" w14:textId="49D68953" w:rsidR="00AF1333" w:rsidRDefault="00AF1333" w:rsidP="00AF1333">
      <w:pPr>
        <w:pStyle w:val="FootnoteText"/>
      </w:pPr>
      <w:r>
        <w:rPr>
          <w:rStyle w:val="FootnoteReference"/>
        </w:rPr>
        <w:footnoteRef/>
      </w:r>
      <w:r>
        <w:t xml:space="preserve"> </w:t>
      </w:r>
      <w:r w:rsidR="00F31357">
        <w:t xml:space="preserve">SQW and Cambridge Econometrics (2016) </w:t>
      </w:r>
      <w:r w:rsidR="00F31357" w:rsidRPr="00F31357">
        <w:rPr>
          <w:i/>
          <w:iCs/>
        </w:rPr>
        <w:t>The Northern Powerhouse Independent Economic Review Workstream 4 Scenarios for Future Growth in the North – Final Report</w:t>
      </w:r>
    </w:p>
  </w:footnote>
  <w:footnote w:id="5">
    <w:p w14:paraId="6B8D7100" w14:textId="1BA145F8" w:rsidR="00AF1333" w:rsidRPr="008A2156" w:rsidRDefault="00AF1333" w:rsidP="00AF1333">
      <w:pPr>
        <w:pStyle w:val="FootnoteText"/>
        <w:rPr>
          <w:i/>
          <w:iCs/>
        </w:rPr>
      </w:pPr>
      <w:r>
        <w:rPr>
          <w:rStyle w:val="FootnoteReference"/>
        </w:rPr>
        <w:footnoteRef/>
      </w:r>
      <w:r>
        <w:t xml:space="preserve"> </w:t>
      </w:r>
      <w:r w:rsidR="008A2156">
        <w:t xml:space="preserve">SQW and Cambridge Econometrics (2023) </w:t>
      </w:r>
      <w:r w:rsidR="00F31357" w:rsidRPr="008A2156">
        <w:rPr>
          <w:i/>
          <w:iCs/>
        </w:rPr>
        <w:t>Economic scenarios for the Northern Powerhouse Independent Economic Review Final Report</w:t>
      </w:r>
    </w:p>
  </w:footnote>
  <w:footnote w:id="6">
    <w:p w14:paraId="2C350AA8" w14:textId="20EF1763" w:rsidR="00AF1333" w:rsidRDefault="00AF1333" w:rsidP="00AF1333">
      <w:pPr>
        <w:pStyle w:val="FootnoteText"/>
      </w:pPr>
      <w:r>
        <w:rPr>
          <w:rStyle w:val="FootnoteReference"/>
        </w:rPr>
        <w:footnoteRef/>
      </w:r>
      <w:r>
        <w:t xml:space="preserve"> </w:t>
      </w:r>
      <w:r w:rsidR="008A2156">
        <w:t xml:space="preserve">SQW and Cambridge Econometrics (2023) </w:t>
      </w:r>
      <w:r w:rsidR="008A2156" w:rsidRPr="008A2156">
        <w:rPr>
          <w:i/>
          <w:iCs/>
        </w:rPr>
        <w:t>Economic scenarios for the Northern Powerhouse Independent Economic Review Final Report</w:t>
      </w:r>
    </w:p>
  </w:footnote>
  <w:footnote w:id="7">
    <w:p w14:paraId="47706382" w14:textId="49B08E5A" w:rsidR="00F31357" w:rsidRDefault="00F31357">
      <w:pPr>
        <w:pStyle w:val="FootnoteText"/>
      </w:pPr>
      <w:r>
        <w:rPr>
          <w:rStyle w:val="FootnoteReference"/>
        </w:rPr>
        <w:footnoteRef/>
      </w:r>
      <w:r>
        <w:t xml:space="preserve"> </w:t>
      </w:r>
      <w:r w:rsidR="008A2156" w:rsidRPr="62D3D60B">
        <w:rPr>
          <w:rFonts w:ascii="Aptos" w:eastAsia="Aptos" w:hAnsi="Aptos" w:cs="Aptos"/>
          <w:color w:val="241A40" w:themeColor="text1"/>
        </w:rPr>
        <w:t xml:space="preserve">Dimos, C. and Vorley, T (2023) </w:t>
      </w:r>
      <w:r w:rsidR="008A2156" w:rsidRPr="008A2156">
        <w:rPr>
          <w:rFonts w:ascii="Aptos" w:eastAsia="Aptos" w:hAnsi="Aptos" w:cs="Aptos"/>
          <w:i/>
          <w:iCs/>
          <w:color w:val="241A40" w:themeColor="text1"/>
        </w:rPr>
        <w:t>Innovate Uk Grants and R&amp;D Returns: Impact on Business and Economy</w:t>
      </w:r>
      <w:r w:rsidR="008A2156" w:rsidRPr="62D3D60B">
        <w:rPr>
          <w:rFonts w:ascii="Aptos" w:eastAsia="Aptos" w:hAnsi="Aptos" w:cs="Aptos"/>
          <w:color w:val="241A40" w:themeColor="text1"/>
        </w:rPr>
        <w:t>, Innovation Caucus.</w:t>
      </w:r>
    </w:p>
  </w:footnote>
  <w:footnote w:id="8">
    <w:p w14:paraId="71DB631C" w14:textId="608384F7" w:rsidR="008A2156" w:rsidRDefault="008A2156">
      <w:pPr>
        <w:pStyle w:val="FootnoteText"/>
      </w:pPr>
      <w:r>
        <w:rPr>
          <w:rStyle w:val="FootnoteReference"/>
        </w:rPr>
        <w:footnoteRef/>
      </w:r>
      <w:r>
        <w:t xml:space="preserve"> </w:t>
      </w:r>
      <w:r w:rsidRPr="62D3D60B">
        <w:rPr>
          <w:rFonts w:ascii="Aptos" w:eastAsia="Aptos" w:hAnsi="Aptos" w:cs="Aptos"/>
          <w:color w:val="241A40" w:themeColor="text1"/>
        </w:rPr>
        <w:t xml:space="preserve">Cambridge Econometrics and Transport for the North (2023) </w:t>
      </w:r>
      <w:r w:rsidRPr="62D3D60B">
        <w:rPr>
          <w:rFonts w:ascii="Aptos" w:eastAsia="Aptos" w:hAnsi="Aptos" w:cs="Aptos"/>
          <w:i/>
          <w:iCs/>
          <w:color w:val="241A40" w:themeColor="text1"/>
        </w:rPr>
        <w:t>Research and Innovation in the North of England</w:t>
      </w:r>
    </w:p>
  </w:footnote>
  <w:footnote w:id="9">
    <w:p w14:paraId="571F39F1" w14:textId="164405E3" w:rsidR="008A2156" w:rsidRDefault="008A2156">
      <w:pPr>
        <w:pStyle w:val="FootnoteText"/>
      </w:pPr>
      <w:r>
        <w:rPr>
          <w:rStyle w:val="FootnoteReference"/>
        </w:rPr>
        <w:footnoteRef/>
      </w:r>
      <w:r>
        <w:t xml:space="preserve"> </w:t>
      </w:r>
      <w:r w:rsidRPr="62D3D60B">
        <w:rPr>
          <w:rFonts w:ascii="Aptos" w:eastAsia="Aptos" w:hAnsi="Aptos" w:cs="Aptos"/>
          <w:color w:val="241A40" w:themeColor="text1"/>
        </w:rPr>
        <w:t xml:space="preserve">Cambridge Econometrics and Transport for the North (2023) </w:t>
      </w:r>
      <w:r w:rsidRPr="62D3D60B">
        <w:rPr>
          <w:rFonts w:ascii="Aptos" w:eastAsia="Aptos" w:hAnsi="Aptos" w:cs="Aptos"/>
          <w:i/>
          <w:iCs/>
          <w:color w:val="241A40" w:themeColor="text1"/>
        </w:rPr>
        <w:t>Research and Innovation in the North of England</w:t>
      </w:r>
    </w:p>
  </w:footnote>
  <w:footnote w:id="10">
    <w:p w14:paraId="6E7125F2" w14:textId="034FC74E" w:rsidR="008A2156" w:rsidRDefault="008A2156">
      <w:pPr>
        <w:pStyle w:val="FootnoteText"/>
      </w:pPr>
      <w:r>
        <w:rPr>
          <w:rStyle w:val="FootnoteReference"/>
        </w:rPr>
        <w:footnoteRef/>
      </w:r>
      <w:r>
        <w:t xml:space="preserve"> </w:t>
      </w:r>
      <w:r w:rsidRPr="62D3D60B">
        <w:rPr>
          <w:rFonts w:ascii="Aptos" w:eastAsia="Aptos" w:hAnsi="Aptos" w:cs="Aptos"/>
          <w:color w:val="241A40" w:themeColor="text1"/>
        </w:rPr>
        <w:t xml:space="preserve">E. O’Sullivan, R.Jones, G. Anzolin(2024) </w:t>
      </w:r>
      <w:r w:rsidRPr="62D3D60B">
        <w:rPr>
          <w:rFonts w:ascii="Aptos" w:eastAsia="Aptos" w:hAnsi="Aptos" w:cs="Aptos"/>
          <w:i/>
          <w:iCs/>
          <w:color w:val="241A40" w:themeColor="text1"/>
        </w:rPr>
        <w:t>The role of intermediate Research, Development and Innovation Institutes in building regional and sectoral innovation capabilities</w:t>
      </w:r>
      <w:r w:rsidRPr="62D3D60B">
        <w:rPr>
          <w:rFonts w:ascii="Aptos" w:eastAsia="Aptos" w:hAnsi="Aptos" w:cs="Aptos"/>
          <w:color w:val="241A40" w:themeColor="text1"/>
        </w:rPr>
        <w:t>, Productivity Insights Paper No.034, The Productivity Institute.</w:t>
      </w:r>
    </w:p>
  </w:footnote>
  <w:footnote w:id="11">
    <w:p w14:paraId="3FBFB654" w14:textId="7EBAB6DA" w:rsidR="008A2156" w:rsidRDefault="008A2156">
      <w:pPr>
        <w:pStyle w:val="FootnoteText"/>
      </w:pPr>
      <w:r>
        <w:rPr>
          <w:rStyle w:val="FootnoteReference"/>
        </w:rPr>
        <w:footnoteRef/>
      </w:r>
      <w:r>
        <w:t xml:space="preserve"> </w:t>
      </w:r>
      <w:r w:rsidRPr="62D3D60B">
        <w:rPr>
          <w:rFonts w:ascii="Aptos" w:eastAsia="Aptos" w:hAnsi="Aptos" w:cs="Aptos"/>
          <w:color w:val="241A40" w:themeColor="text1"/>
        </w:rPr>
        <w:t xml:space="preserve">E. O’Sullivan, R.Jones, G. Anzolin(2024) </w:t>
      </w:r>
      <w:r w:rsidRPr="62D3D60B">
        <w:rPr>
          <w:rFonts w:ascii="Aptos" w:eastAsia="Aptos" w:hAnsi="Aptos" w:cs="Aptos"/>
          <w:i/>
          <w:iCs/>
          <w:color w:val="241A40" w:themeColor="text1"/>
        </w:rPr>
        <w:t>The role of intermediate Research, Development and Innovation Institutes in building regional and sectoral innovation capabilities</w:t>
      </w:r>
      <w:r w:rsidRPr="62D3D60B">
        <w:rPr>
          <w:rFonts w:ascii="Aptos" w:eastAsia="Aptos" w:hAnsi="Aptos" w:cs="Aptos"/>
          <w:color w:val="241A40" w:themeColor="text1"/>
        </w:rPr>
        <w:t>, Productivity Insights Paper No.034, The Productivity Institute.</w:t>
      </w:r>
    </w:p>
  </w:footnote>
  <w:footnote w:id="12">
    <w:p w14:paraId="074EDACC" w14:textId="194375AA" w:rsidR="008A2156" w:rsidRDefault="008A2156">
      <w:pPr>
        <w:pStyle w:val="FootnoteText"/>
      </w:pPr>
      <w:r>
        <w:rPr>
          <w:rStyle w:val="FootnoteReference"/>
        </w:rPr>
        <w:footnoteRef/>
      </w:r>
      <w:r>
        <w:t xml:space="preserve"> </w:t>
      </w:r>
      <w:r w:rsidR="009C53CB">
        <w:t>Pope, T., Hourston, P., and Shearer, E.</w:t>
      </w:r>
      <w:r w:rsidR="009C53CB">
        <w:rPr>
          <w:rFonts w:ascii="Aptos" w:eastAsia="Aptos" w:hAnsi="Aptos" w:cs="Aptos"/>
          <w:color w:val="241A40" w:themeColor="text1"/>
        </w:rPr>
        <w:t xml:space="preserve"> (</w:t>
      </w:r>
      <w:r w:rsidR="009C53CB" w:rsidRPr="62D3D60B">
        <w:rPr>
          <w:rFonts w:ascii="Aptos" w:eastAsia="Aptos" w:hAnsi="Aptos" w:cs="Aptos"/>
          <w:color w:val="241A40" w:themeColor="text1"/>
        </w:rPr>
        <w:t xml:space="preserve">2022) </w:t>
      </w:r>
      <w:r w:rsidR="009C53CB" w:rsidRPr="62D3D60B">
        <w:rPr>
          <w:rFonts w:ascii="Aptos" w:eastAsia="Aptos" w:hAnsi="Aptos" w:cs="Aptos"/>
          <w:i/>
          <w:iCs/>
          <w:color w:val="241A40" w:themeColor="text1"/>
        </w:rPr>
        <w:t>Levelling up and Innovation, How R&amp;D and other policy can reduce regional inequality</w:t>
      </w:r>
      <w:r w:rsidR="009C53CB" w:rsidRPr="62D3D60B">
        <w:rPr>
          <w:rFonts w:ascii="Aptos" w:eastAsia="Aptos" w:hAnsi="Aptos" w:cs="Aptos"/>
          <w:color w:val="241A40" w:themeColor="text1"/>
        </w:rPr>
        <w:t>, Institute for Government</w:t>
      </w:r>
    </w:p>
  </w:footnote>
  <w:footnote w:id="13">
    <w:p w14:paraId="5A2769EA" w14:textId="1FBC8B82" w:rsidR="008A2156" w:rsidRDefault="008A2156">
      <w:pPr>
        <w:pStyle w:val="FootnoteText"/>
      </w:pPr>
      <w:r>
        <w:rPr>
          <w:rStyle w:val="FootnoteReference"/>
        </w:rPr>
        <w:footnoteRef/>
      </w:r>
      <w:r>
        <w:t xml:space="preserve"> </w:t>
      </w:r>
      <w:r w:rsidRPr="00204721">
        <w:rPr>
          <w:rFonts w:ascii="Aptos" w:eastAsia="Aptos" w:hAnsi="Aptos" w:cs="Aptos"/>
          <w:color w:val="241A40" w:themeColor="text1"/>
        </w:rPr>
        <w:t>NPP analysis of the ONS Gross Expenditure on Research and Development 2022</w:t>
      </w:r>
    </w:p>
  </w:footnote>
  <w:footnote w:id="14">
    <w:p w14:paraId="386BE623" w14:textId="727E2210" w:rsidR="008A2156" w:rsidRDefault="008A2156">
      <w:pPr>
        <w:pStyle w:val="FootnoteText"/>
      </w:pPr>
      <w:r>
        <w:rPr>
          <w:rStyle w:val="FootnoteReference"/>
        </w:rPr>
        <w:footnoteRef/>
      </w:r>
      <w:r>
        <w:t xml:space="preserve"> </w:t>
      </w:r>
      <w:r w:rsidR="009C53CB">
        <w:t>Pope, T., Hourston, P., and Shearer, E.</w:t>
      </w:r>
      <w:r w:rsidR="009C53CB">
        <w:rPr>
          <w:rFonts w:ascii="Aptos" w:eastAsia="Aptos" w:hAnsi="Aptos" w:cs="Aptos"/>
          <w:color w:val="241A40" w:themeColor="text1"/>
        </w:rPr>
        <w:t xml:space="preserve"> (</w:t>
      </w:r>
      <w:r w:rsidRPr="62D3D60B">
        <w:rPr>
          <w:rFonts w:ascii="Aptos" w:eastAsia="Aptos" w:hAnsi="Aptos" w:cs="Aptos"/>
          <w:color w:val="241A40" w:themeColor="text1"/>
        </w:rPr>
        <w:t xml:space="preserve">2022) </w:t>
      </w:r>
      <w:r w:rsidRPr="62D3D60B">
        <w:rPr>
          <w:rFonts w:ascii="Aptos" w:eastAsia="Aptos" w:hAnsi="Aptos" w:cs="Aptos"/>
          <w:i/>
          <w:iCs/>
          <w:color w:val="241A40" w:themeColor="text1"/>
        </w:rPr>
        <w:t>Levelling up and Innovation, How R&amp;D and other policy can reduce regional inequality</w:t>
      </w:r>
      <w:r w:rsidRPr="62D3D60B">
        <w:rPr>
          <w:rFonts w:ascii="Aptos" w:eastAsia="Aptos" w:hAnsi="Aptos" w:cs="Aptos"/>
          <w:color w:val="241A40" w:themeColor="text1"/>
        </w:rPr>
        <w:t>, Institute for Government</w:t>
      </w:r>
    </w:p>
  </w:footnote>
  <w:footnote w:id="15">
    <w:p w14:paraId="153767D9" w14:textId="2FD8C519" w:rsidR="008A2156" w:rsidRDefault="008A2156">
      <w:pPr>
        <w:pStyle w:val="FootnoteText"/>
      </w:pPr>
      <w:r>
        <w:rPr>
          <w:rStyle w:val="FootnoteReference"/>
        </w:rPr>
        <w:footnoteRef/>
      </w:r>
      <w:r>
        <w:t xml:space="preserve"> </w:t>
      </w:r>
      <w:r w:rsidRPr="62D3D60B">
        <w:rPr>
          <w:rFonts w:ascii="Aptos" w:eastAsia="Aptos" w:hAnsi="Aptos" w:cs="Aptos"/>
          <w:color w:val="241A40" w:themeColor="text1"/>
        </w:rPr>
        <w:t xml:space="preserve">Tom Forth, Richard A.L. Jones, </w:t>
      </w:r>
      <w:r w:rsidRPr="62D3D60B">
        <w:rPr>
          <w:rFonts w:ascii="Aptos" w:eastAsia="Aptos" w:hAnsi="Aptos" w:cs="Aptos"/>
          <w:i/>
          <w:iCs/>
          <w:color w:val="241A40" w:themeColor="text1"/>
        </w:rPr>
        <w:t>The Missing £4 billion, Making R&amp;D work for the whole UK</w:t>
      </w:r>
      <w:r w:rsidRPr="62D3D60B">
        <w:rPr>
          <w:rFonts w:ascii="Aptos" w:eastAsia="Aptos" w:hAnsi="Aptos" w:cs="Aptos"/>
          <w:color w:val="241A40" w:themeColor="text1"/>
        </w:rPr>
        <w:t>, Nesta</w:t>
      </w:r>
    </w:p>
  </w:footnote>
  <w:footnote w:id="16">
    <w:p w14:paraId="718B766B" w14:textId="58803543" w:rsidR="008A2156" w:rsidRDefault="008A2156">
      <w:pPr>
        <w:pStyle w:val="FootnoteText"/>
      </w:pPr>
      <w:r>
        <w:rPr>
          <w:rStyle w:val="FootnoteReference"/>
        </w:rPr>
        <w:footnoteRef/>
      </w:r>
      <w:r>
        <w:t xml:space="preserve"> </w:t>
      </w:r>
      <w:r w:rsidRPr="62D3D60B">
        <w:rPr>
          <w:rFonts w:ascii="Aptos" w:eastAsia="Aptos" w:hAnsi="Aptos" w:cs="Aptos"/>
          <w:color w:val="241A40" w:themeColor="text1"/>
        </w:rPr>
        <w:t xml:space="preserve">Science and Technology Committee (2021) </w:t>
      </w:r>
      <w:r w:rsidRPr="008A2156">
        <w:rPr>
          <w:rFonts w:ascii="Aptos" w:eastAsia="Aptos" w:hAnsi="Aptos" w:cs="Aptos"/>
          <w:i/>
          <w:iCs/>
          <w:color w:val="241A40" w:themeColor="text1"/>
        </w:rPr>
        <w:t>Catapults: bridging the gap between research and industry</w:t>
      </w:r>
    </w:p>
  </w:footnote>
  <w:footnote w:id="17">
    <w:p w14:paraId="18057AA4" w14:textId="2DD17B9E" w:rsidR="008A2156" w:rsidRDefault="008A2156">
      <w:pPr>
        <w:pStyle w:val="FootnoteText"/>
      </w:pPr>
      <w:r>
        <w:rPr>
          <w:rStyle w:val="FootnoteReference"/>
        </w:rPr>
        <w:footnoteRef/>
      </w:r>
      <w:r>
        <w:t xml:space="preserve"> </w:t>
      </w:r>
      <w:r w:rsidRPr="62D3D60B">
        <w:rPr>
          <w:rFonts w:ascii="Aptos" w:eastAsia="Aptos" w:hAnsi="Aptos" w:cs="Aptos"/>
          <w:color w:val="241A40" w:themeColor="text1"/>
        </w:rPr>
        <w:t xml:space="preserve">Science and Technology Committee (2021) </w:t>
      </w:r>
      <w:r w:rsidRPr="008A2156">
        <w:rPr>
          <w:rFonts w:ascii="Aptos" w:eastAsia="Aptos" w:hAnsi="Aptos" w:cs="Aptos"/>
          <w:i/>
          <w:iCs/>
          <w:color w:val="241A40" w:themeColor="text1"/>
        </w:rPr>
        <w:t>Catapults: bridging the gap between research and industry</w:t>
      </w:r>
    </w:p>
  </w:footnote>
  <w:footnote w:id="18">
    <w:p w14:paraId="563FB48B" w14:textId="22F2782F" w:rsidR="008A2156" w:rsidRDefault="008A2156">
      <w:pPr>
        <w:pStyle w:val="FootnoteText"/>
      </w:pPr>
      <w:r>
        <w:rPr>
          <w:rStyle w:val="FootnoteReference"/>
        </w:rPr>
        <w:footnoteRef/>
      </w:r>
      <w:r>
        <w:t xml:space="preserve"> </w:t>
      </w:r>
      <w:r w:rsidRPr="008A2156">
        <w:t xml:space="preserve">UK Research and Innovation (2024) </w:t>
      </w:r>
      <w:r w:rsidRPr="008A2156">
        <w:rPr>
          <w:i/>
          <w:iCs/>
        </w:rPr>
        <w:t>Innovation Accelerator pilot fuels local growth</w:t>
      </w:r>
    </w:p>
  </w:footnote>
  <w:footnote w:id="19">
    <w:p w14:paraId="4A28E0EF" w14:textId="0CE4CB4B" w:rsidR="008A2156" w:rsidRDefault="008A2156">
      <w:pPr>
        <w:pStyle w:val="FootnoteText"/>
      </w:pPr>
      <w:r>
        <w:rPr>
          <w:rStyle w:val="FootnoteReference"/>
        </w:rPr>
        <w:footnoteRef/>
      </w:r>
      <w:r>
        <w:t xml:space="preserve"> </w:t>
      </w:r>
      <w:r w:rsidRPr="62D3D60B">
        <w:rPr>
          <w:rFonts w:ascii="Aptos" w:eastAsia="Aptos" w:hAnsi="Aptos" w:cs="Aptos"/>
          <w:color w:val="241A40" w:themeColor="text1"/>
        </w:rPr>
        <w:t xml:space="preserve">Institute for Government (2022) </w:t>
      </w:r>
      <w:r w:rsidRPr="62D3D60B">
        <w:rPr>
          <w:rFonts w:ascii="Aptos" w:eastAsia="Aptos" w:hAnsi="Aptos" w:cs="Aptos"/>
          <w:i/>
          <w:iCs/>
          <w:color w:val="241A40" w:themeColor="text1"/>
        </w:rPr>
        <w:t>Investment Zones</w:t>
      </w:r>
    </w:p>
  </w:footnote>
  <w:footnote w:id="20">
    <w:p w14:paraId="3D424040" w14:textId="1213B8CC" w:rsidR="009C53CB" w:rsidRDefault="009C53CB">
      <w:pPr>
        <w:pStyle w:val="FootnoteText"/>
      </w:pPr>
      <w:r>
        <w:rPr>
          <w:rStyle w:val="FootnoteReference"/>
        </w:rPr>
        <w:footnoteRef/>
      </w:r>
      <w:r>
        <w:t xml:space="preserve"> Pope, T., Hourston, P., and Shearer, E.</w:t>
      </w:r>
      <w:r>
        <w:rPr>
          <w:rFonts w:ascii="Aptos" w:eastAsia="Aptos" w:hAnsi="Aptos" w:cs="Aptos"/>
          <w:color w:val="241A40" w:themeColor="text1"/>
        </w:rPr>
        <w:t xml:space="preserve"> (</w:t>
      </w:r>
      <w:r w:rsidRPr="62D3D60B">
        <w:rPr>
          <w:rFonts w:ascii="Aptos" w:eastAsia="Aptos" w:hAnsi="Aptos" w:cs="Aptos"/>
          <w:color w:val="241A40" w:themeColor="text1"/>
        </w:rPr>
        <w:t xml:space="preserve">2022) </w:t>
      </w:r>
      <w:r w:rsidRPr="62D3D60B">
        <w:rPr>
          <w:rFonts w:ascii="Aptos" w:eastAsia="Aptos" w:hAnsi="Aptos" w:cs="Aptos"/>
          <w:i/>
          <w:iCs/>
          <w:color w:val="241A40" w:themeColor="text1"/>
        </w:rPr>
        <w:t>Levelling up and Innovation, How R&amp;D and other policy can reduce regional inequality</w:t>
      </w:r>
      <w:r w:rsidRPr="62D3D60B">
        <w:rPr>
          <w:rFonts w:ascii="Aptos" w:eastAsia="Aptos" w:hAnsi="Aptos" w:cs="Aptos"/>
          <w:color w:val="241A40" w:themeColor="text1"/>
        </w:rPr>
        <w:t>, Institute for Government</w:t>
      </w:r>
    </w:p>
  </w:footnote>
  <w:footnote w:id="21">
    <w:p w14:paraId="165C5B9B" w14:textId="2FF2CF2B" w:rsidR="009B0AAE" w:rsidRPr="009C53CB" w:rsidRDefault="009B0AAE" w:rsidP="009B0AAE">
      <w:pPr>
        <w:pStyle w:val="FootnoteText"/>
        <w:rPr>
          <w:rFonts w:ascii="Aptos" w:eastAsia="Aptos" w:hAnsi="Aptos"/>
        </w:rPr>
      </w:pPr>
      <w:r>
        <w:rPr>
          <w:rStyle w:val="FootnoteReference"/>
        </w:rPr>
        <w:footnoteRef/>
      </w:r>
      <w:r>
        <w:t xml:space="preserve"> </w:t>
      </w:r>
      <w:r w:rsidRPr="009C53CB">
        <w:rPr>
          <w:rFonts w:ascii="Aptos" w:eastAsia="Aptos" w:hAnsi="Aptos"/>
        </w:rPr>
        <w:t>D Sarpong et al</w:t>
      </w:r>
      <w:r w:rsidR="009C53CB">
        <w:rPr>
          <w:rFonts w:ascii="Aptos" w:eastAsia="Aptos" w:hAnsi="Aptos"/>
        </w:rPr>
        <w:t xml:space="preserve"> (2023) </w:t>
      </w:r>
      <w:r w:rsidRPr="009C53CB">
        <w:rPr>
          <w:rFonts w:ascii="Aptos" w:eastAsia="Aptos" w:hAnsi="Aptos"/>
          <w:i/>
          <w:iCs/>
        </w:rPr>
        <w:t>The three pointers of research and development (R&amp;D) for growth-boosting sustainable innovation system,</w:t>
      </w:r>
      <w:r w:rsidRPr="009C53CB">
        <w:rPr>
          <w:rFonts w:ascii="Aptos" w:eastAsia="Aptos" w:hAnsi="Aptos"/>
        </w:rPr>
        <w:t xml:space="preserve"> Technovation, volume 122. Available at: </w:t>
      </w:r>
      <w:hyperlink r:id="rId1" w:history="1">
        <w:r w:rsidRPr="009C53CB">
          <w:rPr>
            <w:rStyle w:val="Hyperlink"/>
            <w:rFonts w:ascii="Aptos" w:eastAsia="Aptos" w:hAnsi="Aptos"/>
          </w:rPr>
          <w:t>https://www.sciencedirect.com/science/article/pii/S0166497222001286</w:t>
        </w:r>
      </w:hyperlink>
    </w:p>
  </w:footnote>
  <w:footnote w:id="22">
    <w:p w14:paraId="70330B65" w14:textId="188A83F6" w:rsidR="009B0AAE" w:rsidRPr="009C53CB" w:rsidRDefault="009B0AAE" w:rsidP="009B0AAE">
      <w:pPr>
        <w:pStyle w:val="FootnoteText"/>
        <w:rPr>
          <w:rFonts w:ascii="Aptos" w:eastAsia="Aptos" w:hAnsi="Aptos"/>
        </w:rPr>
      </w:pPr>
      <w:r w:rsidRPr="009C53CB">
        <w:rPr>
          <w:rStyle w:val="FootnoteReference"/>
          <w:rFonts w:ascii="Aptos" w:hAnsi="Aptos"/>
        </w:rPr>
        <w:footnoteRef/>
      </w:r>
      <w:r w:rsidRPr="009C53CB">
        <w:rPr>
          <w:rFonts w:ascii="Aptos" w:hAnsi="Aptos"/>
        </w:rPr>
        <w:t xml:space="preserve"> </w:t>
      </w:r>
      <w:r w:rsidRPr="009C53CB">
        <w:rPr>
          <w:rFonts w:ascii="Aptos" w:eastAsia="Aptos" w:hAnsi="Aptos"/>
        </w:rPr>
        <w:t>TechUK</w:t>
      </w:r>
      <w:r w:rsidR="009C53CB">
        <w:rPr>
          <w:rFonts w:ascii="Aptos" w:eastAsia="Aptos" w:hAnsi="Aptos"/>
        </w:rPr>
        <w:t xml:space="preserve"> (2022) </w:t>
      </w:r>
      <w:r w:rsidRPr="009C53CB">
        <w:rPr>
          <w:rFonts w:ascii="Aptos" w:eastAsia="Aptos" w:hAnsi="Aptos"/>
          <w:i/>
          <w:iCs/>
        </w:rPr>
        <w:t>Are we getting closer to achieving the target for the K to invest 2.4% of GDP in R&amp;D by 2027</w:t>
      </w:r>
      <w:r w:rsidR="009C53CB" w:rsidRPr="009C53CB">
        <w:rPr>
          <w:rFonts w:ascii="Aptos" w:eastAsia="Aptos" w:hAnsi="Aptos"/>
          <w:i/>
          <w:iCs/>
        </w:rPr>
        <w:t>.</w:t>
      </w:r>
      <w:r w:rsidR="009C53CB">
        <w:rPr>
          <w:rFonts w:ascii="Aptos" w:eastAsia="Aptos" w:hAnsi="Aptos"/>
        </w:rPr>
        <w:t xml:space="preserve"> </w:t>
      </w:r>
      <w:r w:rsidRPr="009C53CB">
        <w:rPr>
          <w:rFonts w:ascii="Aptos" w:eastAsia="Aptos" w:hAnsi="Aptos"/>
        </w:rPr>
        <w:t xml:space="preserve">Available at: </w:t>
      </w:r>
      <w:hyperlink r:id="rId2" w:history="1">
        <w:r w:rsidRPr="009C53CB">
          <w:rPr>
            <w:rStyle w:val="Hyperlink"/>
            <w:rFonts w:ascii="Aptos" w:eastAsia="Aptos" w:hAnsi="Aptos"/>
          </w:rPr>
          <w:t>https://www.techuk.org/resource/are-we-getting-closer-to-achieving-the-target-for-the-uk-to-invest-2-4-of-gdp-in-r-d-by-2027.html</w:t>
        </w:r>
      </w:hyperlink>
    </w:p>
  </w:footnote>
  <w:footnote w:id="23">
    <w:p w14:paraId="71490378" w14:textId="7699A66A" w:rsidR="009B0AAE" w:rsidRPr="001D0000" w:rsidRDefault="009B0AAE" w:rsidP="009B0AAE">
      <w:pPr>
        <w:pStyle w:val="FootnoteText"/>
        <w:rPr>
          <w:rFonts w:ascii="Aptos" w:hAnsi="Aptos"/>
        </w:rPr>
      </w:pPr>
      <w:r w:rsidRPr="009C53CB">
        <w:rPr>
          <w:rStyle w:val="FootnoteReference"/>
          <w:rFonts w:ascii="Aptos" w:hAnsi="Aptos"/>
        </w:rPr>
        <w:footnoteRef/>
      </w:r>
      <w:r w:rsidRPr="009C53CB">
        <w:rPr>
          <w:rFonts w:ascii="Aptos" w:hAnsi="Aptos"/>
        </w:rPr>
        <w:t xml:space="preserve"> </w:t>
      </w:r>
      <w:r w:rsidR="001D0000">
        <w:rPr>
          <w:rFonts w:ascii="Aptos" w:eastAsia="Aptos" w:hAnsi="Aptos"/>
        </w:rPr>
        <w:t xml:space="preserve">ONS (2021) </w:t>
      </w:r>
      <w:r w:rsidR="001D0000" w:rsidRPr="001D0000">
        <w:rPr>
          <w:rFonts w:ascii="Aptos" w:eastAsia="Aptos" w:hAnsi="Aptos"/>
          <w:i/>
          <w:iCs/>
        </w:rPr>
        <w:t>Management practices and innovation, Great Britain</w:t>
      </w:r>
      <w:r w:rsidR="001D0000">
        <w:rPr>
          <w:rFonts w:ascii="Aptos" w:eastAsia="Aptos" w:hAnsi="Aptos"/>
          <w:i/>
          <w:iCs/>
        </w:rPr>
        <w:t xml:space="preserve">. </w:t>
      </w:r>
      <w:r w:rsidR="001D0000">
        <w:rPr>
          <w:rFonts w:ascii="Aptos" w:eastAsia="Aptos" w:hAnsi="Aptos"/>
        </w:rPr>
        <w:t xml:space="preserve">Available at: </w:t>
      </w:r>
      <w:hyperlink r:id="rId3" w:history="1">
        <w:r w:rsidR="001D0000" w:rsidRPr="00314255">
          <w:rPr>
            <w:rStyle w:val="Hyperlink"/>
            <w:rFonts w:ascii="Aptos" w:eastAsia="Aptos" w:hAnsi="Aptos"/>
          </w:rPr>
          <w:t>https://www.ons.gov.uk/economy/economicoutputandproductivity/productivitymeasures/articles/managementpracticesandinnovationgreatbritain/2021-08-23</w:t>
        </w:r>
      </w:hyperlink>
      <w:r w:rsidR="001D0000">
        <w:rPr>
          <w:rFonts w:ascii="Aptos" w:eastAsia="Aptos" w:hAnsi="Aptos"/>
        </w:rPr>
        <w:t xml:space="preserve"> </w:t>
      </w:r>
    </w:p>
  </w:footnote>
  <w:footnote w:id="24">
    <w:p w14:paraId="19171472" w14:textId="05D74E05" w:rsidR="009B0AAE" w:rsidRDefault="009B0AAE" w:rsidP="009B0AAE">
      <w:pPr>
        <w:pStyle w:val="FootnoteText"/>
      </w:pPr>
      <w:r w:rsidRPr="009C53CB">
        <w:rPr>
          <w:rStyle w:val="FootnoteReference"/>
          <w:rFonts w:ascii="Aptos" w:hAnsi="Aptos"/>
        </w:rPr>
        <w:footnoteRef/>
      </w:r>
      <w:r w:rsidRPr="009C53CB">
        <w:rPr>
          <w:rFonts w:ascii="Aptos" w:hAnsi="Aptos"/>
        </w:rPr>
        <w:t xml:space="preserve"> </w:t>
      </w:r>
      <w:r w:rsidR="009C53CB">
        <w:rPr>
          <w:rFonts w:ascii="Aptos" w:eastAsia="Aptos" w:hAnsi="Aptos"/>
        </w:rPr>
        <w:t>Elsevier (2013)</w:t>
      </w:r>
      <w:r w:rsidRPr="009C53CB">
        <w:rPr>
          <w:rFonts w:ascii="Aptos" w:eastAsia="Aptos" w:hAnsi="Aptos"/>
        </w:rPr>
        <w:t xml:space="preserve"> </w:t>
      </w:r>
      <w:r w:rsidRPr="009C53CB">
        <w:rPr>
          <w:rFonts w:ascii="Aptos" w:eastAsia="Aptos" w:hAnsi="Aptos"/>
          <w:i/>
          <w:iCs/>
        </w:rPr>
        <w:t>International Comparative Performance of the UK Research Base – 2013</w:t>
      </w:r>
    </w:p>
  </w:footnote>
  <w:footnote w:id="25">
    <w:p w14:paraId="1883F90A" w14:textId="51FAFC97" w:rsidR="009C53CB" w:rsidRDefault="009C53CB">
      <w:pPr>
        <w:pStyle w:val="FootnoteText"/>
      </w:pPr>
      <w:r>
        <w:rPr>
          <w:rStyle w:val="FootnoteReference"/>
        </w:rPr>
        <w:footnoteRef/>
      </w:r>
      <w:r>
        <w:t xml:space="preserve"> </w:t>
      </w:r>
      <w:r w:rsidRPr="62D3D60B">
        <w:rPr>
          <w:rFonts w:ascii="Aptos" w:eastAsia="Aptos" w:hAnsi="Aptos" w:cs="Aptos"/>
          <w:color w:val="241A40" w:themeColor="text1"/>
        </w:rPr>
        <w:t xml:space="preserve">Tom Forth, Richard A.L. Jones, </w:t>
      </w:r>
      <w:r w:rsidRPr="62D3D60B">
        <w:rPr>
          <w:rFonts w:ascii="Aptos" w:eastAsia="Aptos" w:hAnsi="Aptos" w:cs="Aptos"/>
          <w:i/>
          <w:iCs/>
          <w:color w:val="241A40" w:themeColor="text1"/>
        </w:rPr>
        <w:t>The Missing £4 billion, Making R&amp;D work for the whole UK</w:t>
      </w:r>
      <w:r w:rsidRPr="62D3D60B">
        <w:rPr>
          <w:rFonts w:ascii="Aptos" w:eastAsia="Aptos" w:hAnsi="Aptos" w:cs="Aptos"/>
          <w:color w:val="241A40" w:themeColor="text1"/>
        </w:rPr>
        <w:t>, Nesta</w:t>
      </w:r>
    </w:p>
  </w:footnote>
  <w:footnote w:id="26">
    <w:p w14:paraId="2544ACAF" w14:textId="1DC5F873" w:rsidR="00172627" w:rsidRPr="00172627" w:rsidRDefault="00172627">
      <w:pPr>
        <w:pStyle w:val="FootnoteText"/>
      </w:pPr>
      <w:r>
        <w:rPr>
          <w:rStyle w:val="FootnoteReference"/>
        </w:rPr>
        <w:footnoteRef/>
      </w:r>
      <w:r>
        <w:t xml:space="preserve"> Tom Forth (2024) </w:t>
      </w:r>
      <w:r w:rsidRPr="00172627">
        <w:rPr>
          <w:i/>
          <w:iCs/>
        </w:rPr>
        <w:t>Regional research and development subsidies are working</w:t>
      </w:r>
      <w:r>
        <w:rPr>
          <w:i/>
          <w:iCs/>
        </w:rPr>
        <w:t xml:space="preserve">. </w:t>
      </w:r>
      <w:r>
        <w:t xml:space="preserve">[Online] Available at: </w:t>
      </w:r>
      <w:hyperlink r:id="rId4" w:history="1">
        <w:r w:rsidRPr="00314255">
          <w:rPr>
            <w:rStyle w:val="Hyperlink"/>
          </w:rPr>
          <w:t>https://tomforth.co.uk/regionalrand/</w:t>
        </w:r>
      </w:hyperlink>
      <w:r>
        <w:t xml:space="preserve"> </w:t>
      </w:r>
    </w:p>
  </w:footnote>
  <w:footnote w:id="27">
    <w:p w14:paraId="3D03E514" w14:textId="05F683DA" w:rsidR="007F44B7" w:rsidRPr="007F44B7" w:rsidRDefault="007F44B7" w:rsidP="007F44B7">
      <w:pPr>
        <w:rPr>
          <w:sz w:val="20"/>
          <w:szCs w:val="20"/>
        </w:rPr>
      </w:pPr>
      <w:r>
        <w:rPr>
          <w:rStyle w:val="FootnoteReference"/>
        </w:rPr>
        <w:footnoteRef/>
      </w:r>
      <w:r>
        <w:t xml:space="preserve"> </w:t>
      </w:r>
      <w:r w:rsidRPr="007F44B7">
        <w:rPr>
          <w:sz w:val="20"/>
          <w:szCs w:val="20"/>
        </w:rPr>
        <w:t>We have defined innovation as SPF interventions codes E19, E20 and E21 </w:t>
      </w:r>
      <w:hyperlink r:id="rId5" w:tooltip="https://www.gov.uk/government/publications/uk-shared-prosperity-fund-interventions-outputs-and-indicators/interventions-list-for-england" w:history="1">
        <w:r w:rsidRPr="007F44B7">
          <w:rPr>
            <w:rStyle w:val="Hyperlink"/>
            <w:sz w:val="20"/>
            <w:szCs w:val="20"/>
          </w:rPr>
          <w:t>https://www.gov.uk/government/publications/uk-shared-prosperity-fund-interventions-outputs-and-indicators/interventions-list-for-england</w:t>
        </w:r>
      </w:hyperlink>
    </w:p>
  </w:footnote>
  <w:footnote w:id="28">
    <w:p w14:paraId="0D1ED72D" w14:textId="4E71AEF8" w:rsidR="007F44B7" w:rsidRDefault="007F44B7">
      <w:pPr>
        <w:pStyle w:val="FootnoteText"/>
      </w:pPr>
      <w:r>
        <w:rPr>
          <w:rStyle w:val="FootnoteReference"/>
        </w:rPr>
        <w:footnoteRef/>
      </w:r>
      <w:r>
        <w:t xml:space="preserve"> </w:t>
      </w:r>
      <w:r w:rsidRPr="007F44B7">
        <w:t>Philip Brien (2002) The UK Shared Prosperity Fund. House of Commons Library </w:t>
      </w:r>
      <w:hyperlink r:id="rId6" w:tooltip="https://researchbriefings.files.parliament.uk/documents/CBP-8527/CBP-8527.pdf" w:history="1">
        <w:r w:rsidRPr="007F44B7">
          <w:rPr>
            <w:rStyle w:val="Hyperlink"/>
          </w:rPr>
          <w:t>https://researchbriefings.files.parliament.uk/documents/CBP-8527/CBP-8527.pdf</w:t>
        </w:r>
      </w:hyperlink>
    </w:p>
  </w:footnote>
  <w:footnote w:id="29">
    <w:p w14:paraId="6AD13D70" w14:textId="21077B41" w:rsidR="008C4B53" w:rsidRDefault="008C4B53">
      <w:pPr>
        <w:pStyle w:val="FootnoteText"/>
      </w:pPr>
      <w:r>
        <w:rPr>
          <w:rStyle w:val="FootnoteReference"/>
        </w:rPr>
        <w:footnoteRef/>
      </w:r>
      <w:r>
        <w:t xml:space="preserve"> SQW and Cambridge Econometrics (2023) </w:t>
      </w:r>
      <w:r w:rsidRPr="008A2156">
        <w:rPr>
          <w:i/>
          <w:iCs/>
        </w:rPr>
        <w:t>Economic scenarios for the Northern Powerhouse Independent Economic Review Final Report</w:t>
      </w:r>
    </w:p>
  </w:footnote>
  <w:footnote w:id="30">
    <w:p w14:paraId="73F50343" w14:textId="469513E2" w:rsidR="00F51225" w:rsidRDefault="00F51225" w:rsidP="00F51225">
      <w:pPr>
        <w:pStyle w:val="FootnoteText"/>
      </w:pPr>
      <w:r>
        <w:rPr>
          <w:rStyle w:val="FootnoteReference"/>
        </w:rPr>
        <w:footnoteRef/>
      </w:r>
      <w:r>
        <w:t xml:space="preserve"> </w:t>
      </w:r>
      <w:r w:rsidR="007E3812">
        <w:t>Made Smarter (</w:t>
      </w:r>
      <w:r w:rsidR="00763016">
        <w:t>2023)</w:t>
      </w:r>
      <w:r w:rsidR="007E3812">
        <w:t xml:space="preserve"> </w:t>
      </w:r>
      <w:r w:rsidR="007E3812" w:rsidRPr="007E3812">
        <w:rPr>
          <w:i/>
          <w:iCs/>
        </w:rPr>
        <w:t>Delivering Impact How Made Smarter inspires digital transformation</w:t>
      </w:r>
      <w:r w:rsidR="007E3812">
        <w:t xml:space="preserve"> </w:t>
      </w:r>
    </w:p>
  </w:footnote>
  <w:footnote w:id="31">
    <w:p w14:paraId="44D79082" w14:textId="0CEB9CEB" w:rsidR="007E3812" w:rsidRDefault="007E3812">
      <w:pPr>
        <w:pStyle w:val="FootnoteText"/>
      </w:pPr>
      <w:r>
        <w:rPr>
          <w:rStyle w:val="FootnoteReference"/>
        </w:rPr>
        <w:footnoteRef/>
      </w:r>
      <w:r>
        <w:t xml:space="preserve"> </w:t>
      </w:r>
      <w:r w:rsidRPr="70F9FD1A">
        <w:rPr>
          <w:rFonts w:ascii="Aptos" w:eastAsia="Aptos" w:hAnsi="Aptos" w:cs="Aptos"/>
        </w:rPr>
        <w:t xml:space="preserve">DWIH Sao Paulo, German Federation of Industrial Research Associations (AIF) </w:t>
      </w:r>
      <w:hyperlink r:id="rId7">
        <w:r w:rsidRPr="70F9FD1A">
          <w:rPr>
            <w:rStyle w:val="Hyperlink"/>
            <w:rFonts w:ascii="Aptos" w:eastAsia="Aptos" w:hAnsi="Aptos" w:cs="Aptos"/>
            <w:color w:val="467886"/>
          </w:rPr>
          <w:t>https://www.dwih-saopaulo.org/en/supporter/german-federation-of-industrial-research-associations-aif/</w:t>
        </w:r>
      </w:hyperlink>
    </w:p>
  </w:footnote>
  <w:footnote w:id="32">
    <w:p w14:paraId="3CC77599" w14:textId="1BDA33D4" w:rsidR="007E3812" w:rsidRPr="007E3812" w:rsidRDefault="007E3812">
      <w:pPr>
        <w:pStyle w:val="FootnoteText"/>
        <w:rPr>
          <w:rFonts w:ascii="Aptos" w:eastAsia="Aptos" w:hAnsi="Aptos" w:cs="Aptos"/>
        </w:rPr>
      </w:pPr>
      <w:r>
        <w:rPr>
          <w:rStyle w:val="FootnoteReference"/>
        </w:rPr>
        <w:footnoteRef/>
      </w:r>
      <w:r>
        <w:t xml:space="preserve"> </w:t>
      </w:r>
      <w:hyperlink r:id="rId8" w:history="1">
        <w:r w:rsidRPr="007E3812">
          <w:rPr>
            <w:rStyle w:val="Hyperlink"/>
            <w:u w:val="none"/>
          </w:rPr>
          <w:br/>
          <w:t>Department for Business and Trade</w:t>
        </w:r>
      </w:hyperlink>
      <w:r w:rsidRPr="007E3812">
        <w:t> and </w:t>
      </w:r>
      <w:hyperlink r:id="rId9" w:history="1">
        <w:r w:rsidRPr="007E3812">
          <w:rPr>
            <w:rStyle w:val="Hyperlink"/>
            <w:u w:val="none"/>
          </w:rPr>
          <w:t>Department for Business, Energy &amp; Industrial Strategy</w:t>
        </w:r>
      </w:hyperlink>
      <w:r>
        <w:rPr>
          <w:rFonts w:ascii="Aptos" w:eastAsia="Aptos" w:hAnsi="Aptos" w:cs="Aptos"/>
        </w:rPr>
        <w:t xml:space="preserve"> (2017) </w:t>
      </w:r>
      <w:r w:rsidRPr="007E3812">
        <w:rPr>
          <w:rFonts w:ascii="Aptos" w:eastAsia="Aptos" w:hAnsi="Aptos" w:cs="Aptos"/>
          <w:i/>
          <w:iCs/>
        </w:rPr>
        <w:t xml:space="preserve">Made Smarter Review </w:t>
      </w:r>
    </w:p>
  </w:footnote>
  <w:footnote w:id="33">
    <w:p w14:paraId="23276061" w14:textId="48D41FD4" w:rsidR="007E3812" w:rsidRDefault="007E3812">
      <w:pPr>
        <w:pStyle w:val="FootnoteText"/>
      </w:pPr>
      <w:r>
        <w:rPr>
          <w:rStyle w:val="FootnoteReference"/>
        </w:rPr>
        <w:footnoteRef/>
      </w:r>
      <w:r>
        <w:t xml:space="preserve"> </w:t>
      </w:r>
      <w:r w:rsidRPr="70F9FD1A">
        <w:rPr>
          <w:rFonts w:ascii="Aptos" w:eastAsia="Aptos" w:hAnsi="Aptos" w:cs="Aptos"/>
        </w:rPr>
        <w:t>Federal Ministry for Economic Affairs and Energy</w:t>
      </w:r>
      <w:r>
        <w:rPr>
          <w:rFonts w:ascii="Aptos" w:eastAsia="Aptos" w:hAnsi="Aptos" w:cs="Aptos"/>
        </w:rPr>
        <w:t xml:space="preserve"> (2016)</w:t>
      </w:r>
      <w:r w:rsidRPr="70F9FD1A">
        <w:rPr>
          <w:rFonts w:ascii="Aptos" w:eastAsia="Aptos" w:hAnsi="Aptos" w:cs="Aptos"/>
        </w:rPr>
        <w:t xml:space="preserve"> </w:t>
      </w:r>
      <w:r w:rsidRPr="70F9FD1A">
        <w:rPr>
          <w:rFonts w:ascii="Aptos" w:eastAsia="Aptos" w:hAnsi="Aptos" w:cs="Aptos"/>
          <w:i/>
          <w:iCs/>
        </w:rPr>
        <w:t xml:space="preserve">Digital Strategy 2025 </w:t>
      </w:r>
    </w:p>
  </w:footnote>
  <w:footnote w:id="34">
    <w:p w14:paraId="4CA6465C" w14:textId="77777777" w:rsidR="000F6C95" w:rsidRDefault="000F6C95" w:rsidP="000F6C95">
      <w:pPr>
        <w:pStyle w:val="FootnoteText"/>
      </w:pPr>
      <w:r>
        <w:rPr>
          <w:rStyle w:val="FootnoteReference"/>
        </w:rPr>
        <w:footnoteRef/>
      </w:r>
      <w:r>
        <w:t xml:space="preserve"> UK Research and Innovation (2025) </w:t>
      </w:r>
      <w:r w:rsidRPr="007E3812">
        <w:rPr>
          <w:i/>
          <w:iCs/>
        </w:rPr>
        <w:t>Geographical distribution of UKRI funding, financial years 2022 to 2023 and 2023 to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shd w:val="clear" w:color="auto" w:fill="1B708C" w:themeFill="accent2"/>
      <w:tblCellMar>
        <w:top w:w="115" w:type="dxa"/>
        <w:left w:w="115" w:type="dxa"/>
        <w:bottom w:w="115" w:type="dxa"/>
        <w:right w:w="115" w:type="dxa"/>
      </w:tblCellMar>
      <w:tblLook w:val="04A0" w:firstRow="1" w:lastRow="0" w:firstColumn="1" w:lastColumn="0" w:noHBand="0" w:noVBand="1"/>
    </w:tblPr>
    <w:tblGrid>
      <w:gridCol w:w="658"/>
      <w:gridCol w:w="8362"/>
    </w:tblGrid>
    <w:tr w:rsidR="005E4A81" w14:paraId="0F454459" w14:textId="77777777" w:rsidTr="0026528A">
      <w:trPr>
        <w:jc w:val="right"/>
      </w:trPr>
      <w:tc>
        <w:tcPr>
          <w:tcW w:w="0" w:type="auto"/>
          <w:shd w:val="clear" w:color="auto" w:fill="703A77" w:themeFill="text2"/>
          <w:vAlign w:val="center"/>
        </w:tcPr>
        <w:p w14:paraId="7D1948B6" w14:textId="77777777" w:rsidR="005E4A81" w:rsidRDefault="005E4A81">
          <w:pPr>
            <w:pStyle w:val="Header"/>
            <w:rPr>
              <w:caps/>
              <w:color w:val="FFFFFF" w:themeColor="background1"/>
            </w:rPr>
          </w:pPr>
        </w:p>
      </w:tc>
      <w:tc>
        <w:tcPr>
          <w:tcW w:w="0" w:type="auto"/>
          <w:shd w:val="clear" w:color="auto" w:fill="1B708C" w:themeFill="accent2"/>
          <w:vAlign w:val="center"/>
        </w:tcPr>
        <w:p w14:paraId="4E0775F6" w14:textId="4E76E329" w:rsidR="005E4A81" w:rsidRDefault="00763016">
          <w:pPr>
            <w:pStyle w:val="Header"/>
            <w:jc w:val="right"/>
            <w:rPr>
              <w:caps/>
              <w:color w:val="FFFFFF" w:themeColor="background1"/>
            </w:rPr>
          </w:pPr>
          <w:r>
            <w:rPr>
              <w:caps/>
              <w:color w:val="FFFFFF" w:themeColor="background1"/>
            </w:rPr>
            <w:t>Innovation in the North</w:t>
          </w:r>
        </w:p>
      </w:tc>
    </w:tr>
  </w:tbl>
  <w:p w14:paraId="13910B52" w14:textId="77777777" w:rsidR="005E4A81" w:rsidRDefault="005E4A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5E4809"/>
    <w:multiLevelType w:val="hybridMultilevel"/>
    <w:tmpl w:val="3D846E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4165625">
    <w:abstractNumId w:val="1"/>
  </w:num>
  <w:num w:numId="2" w16cid:durableId="815307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4D"/>
    <w:rsid w:val="00020BFF"/>
    <w:rsid w:val="000259D0"/>
    <w:rsid w:val="00050BC5"/>
    <w:rsid w:val="000631A9"/>
    <w:rsid w:val="00063F90"/>
    <w:rsid w:val="00092F44"/>
    <w:rsid w:val="000A63A9"/>
    <w:rsid w:val="000B0E4D"/>
    <w:rsid w:val="000B7788"/>
    <w:rsid w:val="000C2EB1"/>
    <w:rsid w:val="000C3DEB"/>
    <w:rsid w:val="000D2EB4"/>
    <w:rsid w:val="000D3436"/>
    <w:rsid w:val="000E173A"/>
    <w:rsid w:val="000E79DD"/>
    <w:rsid w:val="000F2DA6"/>
    <w:rsid w:val="000F41F9"/>
    <w:rsid w:val="000F6C95"/>
    <w:rsid w:val="000F79B7"/>
    <w:rsid w:val="00113040"/>
    <w:rsid w:val="00122671"/>
    <w:rsid w:val="001262E7"/>
    <w:rsid w:val="00130A09"/>
    <w:rsid w:val="001316DA"/>
    <w:rsid w:val="00135F1F"/>
    <w:rsid w:val="00136103"/>
    <w:rsid w:val="001426A5"/>
    <w:rsid w:val="00150CED"/>
    <w:rsid w:val="0015683A"/>
    <w:rsid w:val="0015796F"/>
    <w:rsid w:val="00163FEC"/>
    <w:rsid w:val="0016738D"/>
    <w:rsid w:val="00172627"/>
    <w:rsid w:val="001806AE"/>
    <w:rsid w:val="001850B8"/>
    <w:rsid w:val="00190C47"/>
    <w:rsid w:val="001938FA"/>
    <w:rsid w:val="001B3999"/>
    <w:rsid w:val="001C1E6B"/>
    <w:rsid w:val="001D0000"/>
    <w:rsid w:val="001D65B7"/>
    <w:rsid w:val="001E25AA"/>
    <w:rsid w:val="001F099D"/>
    <w:rsid w:val="00204721"/>
    <w:rsid w:val="00214F46"/>
    <w:rsid w:val="002166DE"/>
    <w:rsid w:val="00216DBC"/>
    <w:rsid w:val="002236F2"/>
    <w:rsid w:val="0022511C"/>
    <w:rsid w:val="00227E54"/>
    <w:rsid w:val="00243096"/>
    <w:rsid w:val="00244B0A"/>
    <w:rsid w:val="00245ACE"/>
    <w:rsid w:val="00250322"/>
    <w:rsid w:val="00253BC0"/>
    <w:rsid w:val="0026528A"/>
    <w:rsid w:val="002662B9"/>
    <w:rsid w:val="0026747B"/>
    <w:rsid w:val="002905C3"/>
    <w:rsid w:val="002950E2"/>
    <w:rsid w:val="002963E6"/>
    <w:rsid w:val="002A136D"/>
    <w:rsid w:val="002A5683"/>
    <w:rsid w:val="002B0650"/>
    <w:rsid w:val="002B265E"/>
    <w:rsid w:val="002B28AD"/>
    <w:rsid w:val="002B3FEB"/>
    <w:rsid w:val="002C5E8C"/>
    <w:rsid w:val="002D369F"/>
    <w:rsid w:val="002E4794"/>
    <w:rsid w:val="002E5121"/>
    <w:rsid w:val="00301014"/>
    <w:rsid w:val="00314F2E"/>
    <w:rsid w:val="0031756C"/>
    <w:rsid w:val="003205F1"/>
    <w:rsid w:val="00325333"/>
    <w:rsid w:val="00326C42"/>
    <w:rsid w:val="00344500"/>
    <w:rsid w:val="00345959"/>
    <w:rsid w:val="00354D42"/>
    <w:rsid w:val="00393F82"/>
    <w:rsid w:val="003A0224"/>
    <w:rsid w:val="003B79F4"/>
    <w:rsid w:val="003C1964"/>
    <w:rsid w:val="003C600E"/>
    <w:rsid w:val="003E484D"/>
    <w:rsid w:val="003E5FC6"/>
    <w:rsid w:val="003F748E"/>
    <w:rsid w:val="00404BC2"/>
    <w:rsid w:val="004109BC"/>
    <w:rsid w:val="00432008"/>
    <w:rsid w:val="00445D34"/>
    <w:rsid w:val="004740A1"/>
    <w:rsid w:val="004827EC"/>
    <w:rsid w:val="00496CD9"/>
    <w:rsid w:val="004A0EEC"/>
    <w:rsid w:val="004A6779"/>
    <w:rsid w:val="004B2352"/>
    <w:rsid w:val="004B5A55"/>
    <w:rsid w:val="004C49DC"/>
    <w:rsid w:val="004C4BC0"/>
    <w:rsid w:val="004F0831"/>
    <w:rsid w:val="004F3384"/>
    <w:rsid w:val="00507AF4"/>
    <w:rsid w:val="005106E3"/>
    <w:rsid w:val="00521926"/>
    <w:rsid w:val="00521ED8"/>
    <w:rsid w:val="00525290"/>
    <w:rsid w:val="005303C7"/>
    <w:rsid w:val="005411BA"/>
    <w:rsid w:val="00542EEB"/>
    <w:rsid w:val="00545EF1"/>
    <w:rsid w:val="005515F2"/>
    <w:rsid w:val="00551FAF"/>
    <w:rsid w:val="005541A4"/>
    <w:rsid w:val="005607C7"/>
    <w:rsid w:val="0056124B"/>
    <w:rsid w:val="005616BA"/>
    <w:rsid w:val="0056335E"/>
    <w:rsid w:val="00575A37"/>
    <w:rsid w:val="00576407"/>
    <w:rsid w:val="00586BD7"/>
    <w:rsid w:val="00594A45"/>
    <w:rsid w:val="005979D6"/>
    <w:rsid w:val="005A0BC2"/>
    <w:rsid w:val="005A3A96"/>
    <w:rsid w:val="005C1234"/>
    <w:rsid w:val="005C129B"/>
    <w:rsid w:val="005E41EB"/>
    <w:rsid w:val="005E4A81"/>
    <w:rsid w:val="005E6758"/>
    <w:rsid w:val="005F0343"/>
    <w:rsid w:val="005F26B5"/>
    <w:rsid w:val="005F5400"/>
    <w:rsid w:val="005F71E0"/>
    <w:rsid w:val="006037AC"/>
    <w:rsid w:val="00614F2D"/>
    <w:rsid w:val="0062220A"/>
    <w:rsid w:val="00625793"/>
    <w:rsid w:val="00644ECB"/>
    <w:rsid w:val="0067151F"/>
    <w:rsid w:val="00692AA0"/>
    <w:rsid w:val="006B34F0"/>
    <w:rsid w:val="006B5935"/>
    <w:rsid w:val="006C4015"/>
    <w:rsid w:val="006E4FC6"/>
    <w:rsid w:val="006F36C8"/>
    <w:rsid w:val="006F472D"/>
    <w:rsid w:val="0072725B"/>
    <w:rsid w:val="0076053E"/>
    <w:rsid w:val="00761B6A"/>
    <w:rsid w:val="00763016"/>
    <w:rsid w:val="007814BE"/>
    <w:rsid w:val="00785D3D"/>
    <w:rsid w:val="00787206"/>
    <w:rsid w:val="0079435E"/>
    <w:rsid w:val="0079489F"/>
    <w:rsid w:val="007A359C"/>
    <w:rsid w:val="007C2235"/>
    <w:rsid w:val="007D3008"/>
    <w:rsid w:val="007D5732"/>
    <w:rsid w:val="007E3812"/>
    <w:rsid w:val="007E5B53"/>
    <w:rsid w:val="007F0C47"/>
    <w:rsid w:val="007F2AA4"/>
    <w:rsid w:val="007F44B7"/>
    <w:rsid w:val="007F6134"/>
    <w:rsid w:val="00801FE6"/>
    <w:rsid w:val="00810DE1"/>
    <w:rsid w:val="00813404"/>
    <w:rsid w:val="00817A50"/>
    <w:rsid w:val="00832E31"/>
    <w:rsid w:val="008331D1"/>
    <w:rsid w:val="00855917"/>
    <w:rsid w:val="00886EB2"/>
    <w:rsid w:val="00892C91"/>
    <w:rsid w:val="00893E21"/>
    <w:rsid w:val="008A2156"/>
    <w:rsid w:val="008A328D"/>
    <w:rsid w:val="008A510C"/>
    <w:rsid w:val="008A5E37"/>
    <w:rsid w:val="008A7FB9"/>
    <w:rsid w:val="008C0217"/>
    <w:rsid w:val="008C4B53"/>
    <w:rsid w:val="008E531E"/>
    <w:rsid w:val="008F2786"/>
    <w:rsid w:val="00901F2A"/>
    <w:rsid w:val="0090682C"/>
    <w:rsid w:val="009144F2"/>
    <w:rsid w:val="00914A13"/>
    <w:rsid w:val="00921449"/>
    <w:rsid w:val="009216BA"/>
    <w:rsid w:val="00933F7A"/>
    <w:rsid w:val="0094546E"/>
    <w:rsid w:val="009558B6"/>
    <w:rsid w:val="0095639F"/>
    <w:rsid w:val="009619F4"/>
    <w:rsid w:val="0096507F"/>
    <w:rsid w:val="00983A7F"/>
    <w:rsid w:val="009939BB"/>
    <w:rsid w:val="009B0AAE"/>
    <w:rsid w:val="009B26A9"/>
    <w:rsid w:val="009B5744"/>
    <w:rsid w:val="009B58A9"/>
    <w:rsid w:val="009C53CB"/>
    <w:rsid w:val="009C6F6C"/>
    <w:rsid w:val="009D1A96"/>
    <w:rsid w:val="009E1711"/>
    <w:rsid w:val="009F50AB"/>
    <w:rsid w:val="00A07309"/>
    <w:rsid w:val="00A10EC6"/>
    <w:rsid w:val="00A14B25"/>
    <w:rsid w:val="00A161E1"/>
    <w:rsid w:val="00A179CD"/>
    <w:rsid w:val="00A207CA"/>
    <w:rsid w:val="00A26D5D"/>
    <w:rsid w:val="00A4252E"/>
    <w:rsid w:val="00A426F7"/>
    <w:rsid w:val="00A44A24"/>
    <w:rsid w:val="00A503F0"/>
    <w:rsid w:val="00A66B0F"/>
    <w:rsid w:val="00A67ADB"/>
    <w:rsid w:val="00A76A9F"/>
    <w:rsid w:val="00A95C3A"/>
    <w:rsid w:val="00A965C4"/>
    <w:rsid w:val="00AB1923"/>
    <w:rsid w:val="00AB50A3"/>
    <w:rsid w:val="00AC2E06"/>
    <w:rsid w:val="00AD0EDC"/>
    <w:rsid w:val="00AD2289"/>
    <w:rsid w:val="00AD4019"/>
    <w:rsid w:val="00AF1333"/>
    <w:rsid w:val="00AF4546"/>
    <w:rsid w:val="00B01935"/>
    <w:rsid w:val="00B025BC"/>
    <w:rsid w:val="00B40625"/>
    <w:rsid w:val="00B457EB"/>
    <w:rsid w:val="00B546AC"/>
    <w:rsid w:val="00B710AC"/>
    <w:rsid w:val="00B770E8"/>
    <w:rsid w:val="00B776E0"/>
    <w:rsid w:val="00B84AE9"/>
    <w:rsid w:val="00B8641E"/>
    <w:rsid w:val="00B9423B"/>
    <w:rsid w:val="00B979D9"/>
    <w:rsid w:val="00BA1BB8"/>
    <w:rsid w:val="00BA4B3F"/>
    <w:rsid w:val="00BB0E25"/>
    <w:rsid w:val="00BD11C4"/>
    <w:rsid w:val="00BE665F"/>
    <w:rsid w:val="00BE6685"/>
    <w:rsid w:val="00BF2B45"/>
    <w:rsid w:val="00C12D27"/>
    <w:rsid w:val="00C20000"/>
    <w:rsid w:val="00C23B1E"/>
    <w:rsid w:val="00C30ADD"/>
    <w:rsid w:val="00C31383"/>
    <w:rsid w:val="00C52C1B"/>
    <w:rsid w:val="00C6340C"/>
    <w:rsid w:val="00C66C62"/>
    <w:rsid w:val="00C7341E"/>
    <w:rsid w:val="00C84C26"/>
    <w:rsid w:val="00C86B0D"/>
    <w:rsid w:val="00C94701"/>
    <w:rsid w:val="00CC41E5"/>
    <w:rsid w:val="00CD2681"/>
    <w:rsid w:val="00CD33E7"/>
    <w:rsid w:val="00CE000A"/>
    <w:rsid w:val="00D1474F"/>
    <w:rsid w:val="00D86B04"/>
    <w:rsid w:val="00D97260"/>
    <w:rsid w:val="00DA2E2A"/>
    <w:rsid w:val="00DB24C9"/>
    <w:rsid w:val="00DB3A89"/>
    <w:rsid w:val="00DB49BD"/>
    <w:rsid w:val="00DC7790"/>
    <w:rsid w:val="00DD497F"/>
    <w:rsid w:val="00DE210D"/>
    <w:rsid w:val="00DE3D46"/>
    <w:rsid w:val="00DE7324"/>
    <w:rsid w:val="00E00B1C"/>
    <w:rsid w:val="00E03414"/>
    <w:rsid w:val="00E04655"/>
    <w:rsid w:val="00E06E72"/>
    <w:rsid w:val="00E07C2D"/>
    <w:rsid w:val="00E1046F"/>
    <w:rsid w:val="00E222A8"/>
    <w:rsid w:val="00E31E1E"/>
    <w:rsid w:val="00E35611"/>
    <w:rsid w:val="00E40979"/>
    <w:rsid w:val="00E43CA6"/>
    <w:rsid w:val="00E4798E"/>
    <w:rsid w:val="00E55B7B"/>
    <w:rsid w:val="00E57A14"/>
    <w:rsid w:val="00E64675"/>
    <w:rsid w:val="00E72EA9"/>
    <w:rsid w:val="00E8389C"/>
    <w:rsid w:val="00E86867"/>
    <w:rsid w:val="00E92190"/>
    <w:rsid w:val="00E92FB0"/>
    <w:rsid w:val="00EA061A"/>
    <w:rsid w:val="00ED134A"/>
    <w:rsid w:val="00ED3C14"/>
    <w:rsid w:val="00F001B4"/>
    <w:rsid w:val="00F03C10"/>
    <w:rsid w:val="00F11641"/>
    <w:rsid w:val="00F12717"/>
    <w:rsid w:val="00F15C92"/>
    <w:rsid w:val="00F166D3"/>
    <w:rsid w:val="00F31357"/>
    <w:rsid w:val="00F50D70"/>
    <w:rsid w:val="00F51225"/>
    <w:rsid w:val="00F574C8"/>
    <w:rsid w:val="00F759C4"/>
    <w:rsid w:val="00F81140"/>
    <w:rsid w:val="00F8484B"/>
    <w:rsid w:val="00F85C90"/>
    <w:rsid w:val="00FA3AE7"/>
    <w:rsid w:val="00FA4C48"/>
    <w:rsid w:val="00FA5E29"/>
    <w:rsid w:val="00FB0AC8"/>
    <w:rsid w:val="00FB2BF3"/>
    <w:rsid w:val="00FB398D"/>
    <w:rsid w:val="00FB50E0"/>
    <w:rsid w:val="00FB7A36"/>
    <w:rsid w:val="00FC2B6F"/>
    <w:rsid w:val="00FC6A71"/>
    <w:rsid w:val="00FD55DF"/>
    <w:rsid w:val="00FE7FD5"/>
    <w:rsid w:val="00FF5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237CD9"/>
  <w15:chartTrackingRefBased/>
  <w15:docId w15:val="{72131F1E-0F59-3242-9183-74C5B83F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56C"/>
    <w:rPr>
      <w:sz w:val="24"/>
    </w:rPr>
  </w:style>
  <w:style w:type="paragraph" w:styleId="Heading1">
    <w:name w:val="heading 1"/>
    <w:basedOn w:val="Normal"/>
    <w:next w:val="Normal"/>
    <w:link w:val="Heading1Char"/>
    <w:uiPriority w:val="9"/>
    <w:qFormat/>
    <w:rsid w:val="00DB24C9"/>
    <w:pPr>
      <w:keepNext/>
      <w:keepLines/>
      <w:spacing w:before="480" w:after="0"/>
      <w:outlineLvl w:val="0"/>
    </w:pPr>
    <w:rPr>
      <w:rFonts w:eastAsiaTheme="majorEastAsia" w:cstheme="majorBidi"/>
      <w:b/>
      <w:bCs/>
      <w:color w:val="241A40" w:themeColor="text1"/>
      <w:sz w:val="56"/>
      <w:szCs w:val="28"/>
    </w:rPr>
  </w:style>
  <w:style w:type="paragraph" w:styleId="Heading2">
    <w:name w:val="heading 2"/>
    <w:basedOn w:val="Normal"/>
    <w:next w:val="Normal"/>
    <w:link w:val="Heading2Char"/>
    <w:uiPriority w:val="9"/>
    <w:unhideWhenUsed/>
    <w:qFormat/>
    <w:rsid w:val="00DB24C9"/>
    <w:pPr>
      <w:keepNext/>
      <w:keepLines/>
      <w:spacing w:before="200" w:after="0"/>
      <w:outlineLvl w:val="1"/>
    </w:pPr>
    <w:rPr>
      <w:rFonts w:asciiTheme="majorHAnsi" w:eastAsiaTheme="majorEastAsia" w:hAnsiTheme="majorHAnsi" w:cstheme="majorBidi"/>
      <w:b/>
      <w:bCs/>
      <w:color w:val="241A40" w:themeColor="text1"/>
      <w:sz w:val="36"/>
      <w:szCs w:val="26"/>
    </w:rPr>
  </w:style>
  <w:style w:type="paragraph" w:styleId="Heading3">
    <w:name w:val="heading 3"/>
    <w:basedOn w:val="Normal"/>
    <w:next w:val="Normal"/>
    <w:link w:val="Heading3Char"/>
    <w:uiPriority w:val="9"/>
    <w:unhideWhenUsed/>
    <w:qFormat/>
    <w:rsid w:val="001B3999"/>
    <w:pPr>
      <w:keepNext/>
      <w:keepLines/>
      <w:spacing w:before="200" w:after="0"/>
      <w:outlineLvl w:val="2"/>
    </w:pPr>
    <w:rPr>
      <w:rFonts w:asciiTheme="majorHAnsi" w:eastAsiaTheme="majorEastAsia" w:hAnsiTheme="majorHAnsi" w:cstheme="majorBidi"/>
      <w:b/>
      <w:bCs/>
      <w:color w:val="85BAC8" w:themeColor="accent1"/>
    </w:rPr>
  </w:style>
  <w:style w:type="paragraph" w:styleId="Heading4">
    <w:name w:val="heading 4"/>
    <w:basedOn w:val="Normal"/>
    <w:next w:val="Normal"/>
    <w:link w:val="Heading4Char"/>
    <w:uiPriority w:val="9"/>
    <w:unhideWhenUsed/>
    <w:qFormat/>
    <w:rsid w:val="001B3999"/>
    <w:pPr>
      <w:keepNext/>
      <w:keepLines/>
      <w:spacing w:before="200" w:after="0"/>
      <w:outlineLvl w:val="3"/>
    </w:pPr>
    <w:rPr>
      <w:rFonts w:asciiTheme="majorHAnsi" w:eastAsiaTheme="majorEastAsia" w:hAnsiTheme="majorHAnsi" w:cstheme="majorBidi"/>
      <w:b/>
      <w:bCs/>
      <w:i/>
      <w:iCs/>
      <w:color w:val="85BAC8" w:themeColor="accent1"/>
    </w:rPr>
  </w:style>
  <w:style w:type="paragraph" w:styleId="Heading5">
    <w:name w:val="heading 5"/>
    <w:basedOn w:val="Normal"/>
    <w:next w:val="Normal"/>
    <w:link w:val="Heading5Char"/>
    <w:uiPriority w:val="9"/>
    <w:semiHidden/>
    <w:unhideWhenUsed/>
    <w:qFormat/>
    <w:rsid w:val="001B3999"/>
    <w:pPr>
      <w:keepNext/>
      <w:keepLines/>
      <w:spacing w:before="200" w:after="0"/>
      <w:outlineLvl w:val="4"/>
    </w:pPr>
    <w:rPr>
      <w:rFonts w:asciiTheme="majorHAnsi" w:eastAsiaTheme="majorEastAsia" w:hAnsiTheme="majorHAnsi" w:cstheme="majorBidi"/>
      <w:color w:val="336472" w:themeColor="accent1" w:themeShade="7F"/>
    </w:rPr>
  </w:style>
  <w:style w:type="paragraph" w:styleId="Heading6">
    <w:name w:val="heading 6"/>
    <w:basedOn w:val="Normal"/>
    <w:next w:val="Normal"/>
    <w:link w:val="Heading6Char"/>
    <w:uiPriority w:val="9"/>
    <w:semiHidden/>
    <w:unhideWhenUsed/>
    <w:qFormat/>
    <w:rsid w:val="001B3999"/>
    <w:pPr>
      <w:keepNext/>
      <w:keepLines/>
      <w:spacing w:before="200" w:after="0"/>
      <w:outlineLvl w:val="5"/>
    </w:pPr>
    <w:rPr>
      <w:rFonts w:asciiTheme="majorHAnsi" w:eastAsiaTheme="majorEastAsia" w:hAnsiTheme="majorHAnsi" w:cstheme="majorBidi"/>
      <w:i/>
      <w:iCs/>
      <w:color w:val="336472" w:themeColor="accent1" w:themeShade="7F"/>
    </w:rPr>
  </w:style>
  <w:style w:type="paragraph" w:styleId="Heading7">
    <w:name w:val="heading 7"/>
    <w:basedOn w:val="Normal"/>
    <w:next w:val="Normal"/>
    <w:link w:val="Heading7Char"/>
    <w:uiPriority w:val="9"/>
    <w:semiHidden/>
    <w:unhideWhenUsed/>
    <w:qFormat/>
    <w:rsid w:val="001B3999"/>
    <w:pPr>
      <w:keepNext/>
      <w:keepLines/>
      <w:spacing w:before="200" w:after="0"/>
      <w:outlineLvl w:val="6"/>
    </w:pPr>
    <w:rPr>
      <w:rFonts w:asciiTheme="majorHAnsi" w:eastAsiaTheme="majorEastAsia" w:hAnsiTheme="majorHAnsi" w:cstheme="majorBidi"/>
      <w:i/>
      <w:iCs/>
      <w:color w:val="4E388A" w:themeColor="text1" w:themeTint="BF"/>
    </w:rPr>
  </w:style>
  <w:style w:type="paragraph" w:styleId="Heading8">
    <w:name w:val="heading 8"/>
    <w:basedOn w:val="Normal"/>
    <w:next w:val="Normal"/>
    <w:link w:val="Heading8Char"/>
    <w:uiPriority w:val="9"/>
    <w:semiHidden/>
    <w:unhideWhenUsed/>
    <w:qFormat/>
    <w:rsid w:val="001B3999"/>
    <w:pPr>
      <w:keepNext/>
      <w:keepLines/>
      <w:spacing w:before="200" w:after="0"/>
      <w:outlineLvl w:val="7"/>
    </w:pPr>
    <w:rPr>
      <w:rFonts w:asciiTheme="majorHAnsi" w:eastAsiaTheme="majorEastAsia" w:hAnsiTheme="majorHAnsi" w:cstheme="majorBidi"/>
      <w:color w:val="85BAC8" w:themeColor="accent1"/>
      <w:sz w:val="20"/>
      <w:szCs w:val="20"/>
    </w:rPr>
  </w:style>
  <w:style w:type="paragraph" w:styleId="Heading9">
    <w:name w:val="heading 9"/>
    <w:basedOn w:val="Normal"/>
    <w:next w:val="Normal"/>
    <w:link w:val="Heading9Char"/>
    <w:uiPriority w:val="9"/>
    <w:semiHidden/>
    <w:unhideWhenUsed/>
    <w:qFormat/>
    <w:rsid w:val="001B3999"/>
    <w:pPr>
      <w:keepNext/>
      <w:keepLines/>
      <w:spacing w:before="200" w:after="0"/>
      <w:outlineLvl w:val="8"/>
    </w:pPr>
    <w:rPr>
      <w:rFonts w:asciiTheme="majorHAnsi" w:eastAsiaTheme="majorEastAsia" w:hAnsiTheme="majorHAnsi" w:cstheme="majorBidi"/>
      <w:i/>
      <w:iCs/>
      <w:color w:val="4E388A"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4C9"/>
    <w:rPr>
      <w:rFonts w:eastAsiaTheme="majorEastAsia" w:cstheme="majorBidi"/>
      <w:b/>
      <w:bCs/>
      <w:color w:val="241A40" w:themeColor="text1"/>
      <w:sz w:val="56"/>
      <w:szCs w:val="28"/>
    </w:rPr>
  </w:style>
  <w:style w:type="character" w:customStyle="1" w:styleId="Heading2Char">
    <w:name w:val="Heading 2 Char"/>
    <w:basedOn w:val="DefaultParagraphFont"/>
    <w:link w:val="Heading2"/>
    <w:uiPriority w:val="9"/>
    <w:rsid w:val="00DB24C9"/>
    <w:rPr>
      <w:rFonts w:asciiTheme="majorHAnsi" w:eastAsiaTheme="majorEastAsia" w:hAnsiTheme="majorHAnsi" w:cstheme="majorBidi"/>
      <w:b/>
      <w:bCs/>
      <w:color w:val="241A40" w:themeColor="text1"/>
      <w:sz w:val="36"/>
      <w:szCs w:val="26"/>
    </w:rPr>
  </w:style>
  <w:style w:type="character" w:customStyle="1" w:styleId="Heading3Char">
    <w:name w:val="Heading 3 Char"/>
    <w:basedOn w:val="DefaultParagraphFont"/>
    <w:link w:val="Heading3"/>
    <w:uiPriority w:val="9"/>
    <w:rsid w:val="001B3999"/>
    <w:rPr>
      <w:rFonts w:asciiTheme="majorHAnsi" w:eastAsiaTheme="majorEastAsia" w:hAnsiTheme="majorHAnsi" w:cstheme="majorBidi"/>
      <w:b/>
      <w:bCs/>
      <w:color w:val="85BAC8" w:themeColor="accent1"/>
    </w:rPr>
  </w:style>
  <w:style w:type="character" w:customStyle="1" w:styleId="Heading4Char">
    <w:name w:val="Heading 4 Char"/>
    <w:basedOn w:val="DefaultParagraphFont"/>
    <w:link w:val="Heading4"/>
    <w:uiPriority w:val="9"/>
    <w:rsid w:val="001B3999"/>
    <w:rPr>
      <w:rFonts w:asciiTheme="majorHAnsi" w:eastAsiaTheme="majorEastAsia" w:hAnsiTheme="majorHAnsi" w:cstheme="majorBidi"/>
      <w:b/>
      <w:bCs/>
      <w:i/>
      <w:iCs/>
      <w:color w:val="85BAC8" w:themeColor="accent1"/>
    </w:rPr>
  </w:style>
  <w:style w:type="character" w:customStyle="1" w:styleId="Heading5Char">
    <w:name w:val="Heading 5 Char"/>
    <w:basedOn w:val="DefaultParagraphFont"/>
    <w:link w:val="Heading5"/>
    <w:uiPriority w:val="9"/>
    <w:semiHidden/>
    <w:rsid w:val="001B3999"/>
    <w:rPr>
      <w:rFonts w:asciiTheme="majorHAnsi" w:eastAsiaTheme="majorEastAsia" w:hAnsiTheme="majorHAnsi" w:cstheme="majorBidi"/>
      <w:color w:val="336472" w:themeColor="accent1" w:themeShade="7F"/>
    </w:rPr>
  </w:style>
  <w:style w:type="character" w:customStyle="1" w:styleId="Heading6Char">
    <w:name w:val="Heading 6 Char"/>
    <w:basedOn w:val="DefaultParagraphFont"/>
    <w:link w:val="Heading6"/>
    <w:uiPriority w:val="9"/>
    <w:semiHidden/>
    <w:rsid w:val="001B3999"/>
    <w:rPr>
      <w:rFonts w:asciiTheme="majorHAnsi" w:eastAsiaTheme="majorEastAsia" w:hAnsiTheme="majorHAnsi" w:cstheme="majorBidi"/>
      <w:i/>
      <w:iCs/>
      <w:color w:val="336472" w:themeColor="accent1" w:themeShade="7F"/>
    </w:rPr>
  </w:style>
  <w:style w:type="character" w:customStyle="1" w:styleId="Heading7Char">
    <w:name w:val="Heading 7 Char"/>
    <w:basedOn w:val="DefaultParagraphFont"/>
    <w:link w:val="Heading7"/>
    <w:uiPriority w:val="9"/>
    <w:semiHidden/>
    <w:rsid w:val="001B3999"/>
    <w:rPr>
      <w:rFonts w:asciiTheme="majorHAnsi" w:eastAsiaTheme="majorEastAsia" w:hAnsiTheme="majorHAnsi" w:cstheme="majorBidi"/>
      <w:i/>
      <w:iCs/>
      <w:color w:val="4E388A" w:themeColor="text1" w:themeTint="BF"/>
    </w:rPr>
  </w:style>
  <w:style w:type="character" w:customStyle="1" w:styleId="Heading8Char">
    <w:name w:val="Heading 8 Char"/>
    <w:basedOn w:val="DefaultParagraphFont"/>
    <w:link w:val="Heading8"/>
    <w:uiPriority w:val="9"/>
    <w:semiHidden/>
    <w:rsid w:val="001B3999"/>
    <w:rPr>
      <w:rFonts w:asciiTheme="majorHAnsi" w:eastAsiaTheme="majorEastAsia" w:hAnsiTheme="majorHAnsi" w:cstheme="majorBidi"/>
      <w:color w:val="85BAC8" w:themeColor="accent1"/>
      <w:sz w:val="20"/>
      <w:szCs w:val="20"/>
    </w:rPr>
  </w:style>
  <w:style w:type="character" w:customStyle="1" w:styleId="Heading9Char">
    <w:name w:val="Heading 9 Char"/>
    <w:basedOn w:val="DefaultParagraphFont"/>
    <w:link w:val="Heading9"/>
    <w:uiPriority w:val="9"/>
    <w:semiHidden/>
    <w:rsid w:val="001B3999"/>
    <w:rPr>
      <w:rFonts w:asciiTheme="majorHAnsi" w:eastAsiaTheme="majorEastAsia" w:hAnsiTheme="majorHAnsi" w:cstheme="majorBidi"/>
      <w:i/>
      <w:iCs/>
      <w:color w:val="4E388A" w:themeColor="text1" w:themeTint="BF"/>
      <w:sz w:val="20"/>
      <w:szCs w:val="20"/>
    </w:rPr>
  </w:style>
  <w:style w:type="paragraph" w:styleId="Caption">
    <w:name w:val="caption"/>
    <w:basedOn w:val="Normal"/>
    <w:next w:val="Normal"/>
    <w:uiPriority w:val="35"/>
    <w:semiHidden/>
    <w:unhideWhenUsed/>
    <w:qFormat/>
    <w:rsid w:val="001B3999"/>
    <w:pPr>
      <w:spacing w:line="240" w:lineRule="auto"/>
    </w:pPr>
    <w:rPr>
      <w:b/>
      <w:bCs/>
      <w:color w:val="85BAC8" w:themeColor="accent1"/>
      <w:sz w:val="18"/>
      <w:szCs w:val="18"/>
    </w:rPr>
  </w:style>
  <w:style w:type="paragraph" w:styleId="Title">
    <w:name w:val="Title"/>
    <w:basedOn w:val="Normal"/>
    <w:next w:val="Normal"/>
    <w:link w:val="TitleChar"/>
    <w:uiPriority w:val="10"/>
    <w:qFormat/>
    <w:rsid w:val="000F41F9"/>
    <w:pPr>
      <w:pBdr>
        <w:bottom w:val="single" w:sz="8" w:space="4" w:color="85BAC8" w:themeColor="accent1"/>
      </w:pBdr>
      <w:spacing w:after="300" w:line="240" w:lineRule="auto"/>
      <w:contextualSpacing/>
    </w:pPr>
    <w:rPr>
      <w:rFonts w:eastAsiaTheme="majorEastAsia" w:cstheme="majorBidi"/>
      <w:b/>
      <w:color w:val="241A40" w:themeColor="text1"/>
      <w:spacing w:val="5"/>
      <w:kern w:val="28"/>
      <w:sz w:val="72"/>
      <w:szCs w:val="52"/>
    </w:rPr>
  </w:style>
  <w:style w:type="character" w:customStyle="1" w:styleId="TitleChar">
    <w:name w:val="Title Char"/>
    <w:basedOn w:val="DefaultParagraphFont"/>
    <w:link w:val="Title"/>
    <w:uiPriority w:val="10"/>
    <w:rsid w:val="000F41F9"/>
    <w:rPr>
      <w:rFonts w:eastAsiaTheme="majorEastAsia" w:cstheme="majorBidi"/>
      <w:b/>
      <w:color w:val="241A40" w:themeColor="text1"/>
      <w:spacing w:val="5"/>
      <w:kern w:val="28"/>
      <w:sz w:val="72"/>
      <w:szCs w:val="52"/>
    </w:rPr>
  </w:style>
  <w:style w:type="paragraph" w:styleId="Subtitle">
    <w:name w:val="Subtitle"/>
    <w:basedOn w:val="Normal"/>
    <w:next w:val="Normal"/>
    <w:link w:val="SubtitleChar"/>
    <w:uiPriority w:val="11"/>
    <w:qFormat/>
    <w:rsid w:val="00314F2E"/>
    <w:pPr>
      <w:numPr>
        <w:ilvl w:val="1"/>
      </w:numPr>
      <w:spacing w:line="240" w:lineRule="auto"/>
    </w:pPr>
    <w:rPr>
      <w:rFonts w:asciiTheme="majorHAnsi" w:eastAsiaTheme="majorEastAsia" w:hAnsiTheme="majorHAnsi" w:cstheme="majorBidi"/>
      <w:b/>
      <w:iCs/>
      <w:color w:val="241A40" w:themeColor="accent5"/>
      <w:spacing w:val="15"/>
      <w:sz w:val="28"/>
      <w:szCs w:val="24"/>
    </w:rPr>
  </w:style>
  <w:style w:type="character" w:customStyle="1" w:styleId="SubtitleChar">
    <w:name w:val="Subtitle Char"/>
    <w:basedOn w:val="DefaultParagraphFont"/>
    <w:link w:val="Subtitle"/>
    <w:uiPriority w:val="11"/>
    <w:rsid w:val="00314F2E"/>
    <w:rPr>
      <w:rFonts w:asciiTheme="majorHAnsi" w:eastAsiaTheme="majorEastAsia" w:hAnsiTheme="majorHAnsi" w:cstheme="majorBidi"/>
      <w:b/>
      <w:iCs/>
      <w:color w:val="241A40" w:themeColor="accent5"/>
      <w:spacing w:val="15"/>
      <w:sz w:val="28"/>
      <w:szCs w:val="24"/>
    </w:rPr>
  </w:style>
  <w:style w:type="character" w:styleId="Strong">
    <w:name w:val="Strong"/>
    <w:basedOn w:val="DefaultParagraphFont"/>
    <w:uiPriority w:val="22"/>
    <w:qFormat/>
    <w:rsid w:val="0076053E"/>
    <w:rPr>
      <w:rFonts w:ascii="Calibri" w:hAnsi="Calibri"/>
      <w:b/>
      <w:bCs/>
      <w:sz w:val="24"/>
    </w:rPr>
  </w:style>
  <w:style w:type="character" w:styleId="Emphasis">
    <w:name w:val="Emphasis"/>
    <w:basedOn w:val="DefaultParagraphFont"/>
    <w:uiPriority w:val="20"/>
    <w:qFormat/>
    <w:rsid w:val="001B3999"/>
    <w:rPr>
      <w:i/>
      <w:iCs/>
    </w:rPr>
  </w:style>
  <w:style w:type="paragraph" w:styleId="NoSpacing">
    <w:name w:val="No Spacing"/>
    <w:link w:val="NoSpacingChar"/>
    <w:uiPriority w:val="1"/>
    <w:qFormat/>
    <w:rsid w:val="001B3999"/>
    <w:pPr>
      <w:spacing w:after="0" w:line="240" w:lineRule="auto"/>
    </w:pPr>
  </w:style>
  <w:style w:type="paragraph" w:styleId="ListParagraph">
    <w:name w:val="List Paragraph"/>
    <w:basedOn w:val="Normal"/>
    <w:uiPriority w:val="34"/>
    <w:qFormat/>
    <w:rsid w:val="001B3999"/>
    <w:pPr>
      <w:ind w:left="720"/>
      <w:contextualSpacing/>
    </w:pPr>
  </w:style>
  <w:style w:type="paragraph" w:styleId="Quote">
    <w:name w:val="Quote"/>
    <w:basedOn w:val="Normal"/>
    <w:next w:val="Normal"/>
    <w:link w:val="QuoteChar"/>
    <w:uiPriority w:val="29"/>
    <w:qFormat/>
    <w:rsid w:val="001B3999"/>
    <w:rPr>
      <w:i/>
      <w:iCs/>
      <w:color w:val="241A40" w:themeColor="text1"/>
    </w:rPr>
  </w:style>
  <w:style w:type="character" w:customStyle="1" w:styleId="QuoteChar">
    <w:name w:val="Quote Char"/>
    <w:basedOn w:val="DefaultParagraphFont"/>
    <w:link w:val="Quote"/>
    <w:uiPriority w:val="29"/>
    <w:rsid w:val="001B3999"/>
    <w:rPr>
      <w:i/>
      <w:iCs/>
      <w:color w:val="241A40" w:themeColor="text1"/>
    </w:rPr>
  </w:style>
  <w:style w:type="paragraph" w:styleId="IntenseQuote">
    <w:name w:val="Intense Quote"/>
    <w:basedOn w:val="Normal"/>
    <w:next w:val="Normal"/>
    <w:link w:val="IntenseQuoteChar"/>
    <w:uiPriority w:val="30"/>
    <w:qFormat/>
    <w:rsid w:val="001B3999"/>
    <w:pPr>
      <w:pBdr>
        <w:bottom w:val="single" w:sz="4" w:space="4" w:color="85BAC8" w:themeColor="accent1"/>
      </w:pBdr>
      <w:spacing w:before="200" w:after="280"/>
      <w:ind w:left="936" w:right="936"/>
    </w:pPr>
    <w:rPr>
      <w:b/>
      <w:bCs/>
      <w:i/>
      <w:iCs/>
      <w:color w:val="85BAC8" w:themeColor="accent1"/>
    </w:rPr>
  </w:style>
  <w:style w:type="character" w:customStyle="1" w:styleId="IntenseQuoteChar">
    <w:name w:val="Intense Quote Char"/>
    <w:basedOn w:val="DefaultParagraphFont"/>
    <w:link w:val="IntenseQuote"/>
    <w:uiPriority w:val="30"/>
    <w:rsid w:val="001B3999"/>
    <w:rPr>
      <w:b/>
      <w:bCs/>
      <w:i/>
      <w:iCs/>
      <w:color w:val="85BAC8" w:themeColor="accent1"/>
    </w:rPr>
  </w:style>
  <w:style w:type="character" w:styleId="SubtleEmphasis">
    <w:name w:val="Subtle Emphasis"/>
    <w:basedOn w:val="DefaultParagraphFont"/>
    <w:uiPriority w:val="19"/>
    <w:qFormat/>
    <w:rsid w:val="001B3999"/>
    <w:rPr>
      <w:i/>
      <w:iCs/>
      <w:color w:val="816AC2" w:themeColor="text1" w:themeTint="7F"/>
    </w:rPr>
  </w:style>
  <w:style w:type="character" w:styleId="IntenseEmphasis">
    <w:name w:val="Intense Emphasis"/>
    <w:basedOn w:val="DefaultParagraphFont"/>
    <w:uiPriority w:val="21"/>
    <w:qFormat/>
    <w:rsid w:val="001B3999"/>
    <w:rPr>
      <w:b/>
      <w:bCs/>
      <w:i/>
      <w:iCs/>
      <w:color w:val="85BAC8" w:themeColor="accent1"/>
    </w:rPr>
  </w:style>
  <w:style w:type="character" w:styleId="SubtleReference">
    <w:name w:val="Subtle Reference"/>
    <w:basedOn w:val="DefaultParagraphFont"/>
    <w:uiPriority w:val="31"/>
    <w:qFormat/>
    <w:rsid w:val="001B3999"/>
    <w:rPr>
      <w:smallCaps/>
      <w:color w:val="1B708C" w:themeColor="accent2"/>
      <w:u w:val="single"/>
    </w:rPr>
  </w:style>
  <w:style w:type="character" w:styleId="IntenseReference">
    <w:name w:val="Intense Reference"/>
    <w:basedOn w:val="DefaultParagraphFont"/>
    <w:uiPriority w:val="32"/>
    <w:qFormat/>
    <w:rsid w:val="001B3999"/>
    <w:rPr>
      <w:b/>
      <w:bCs/>
      <w:smallCaps/>
      <w:color w:val="1B708C" w:themeColor="accent2"/>
      <w:spacing w:val="5"/>
      <w:u w:val="single"/>
    </w:rPr>
  </w:style>
  <w:style w:type="character" w:styleId="BookTitle">
    <w:name w:val="Book Title"/>
    <w:basedOn w:val="DefaultParagraphFont"/>
    <w:uiPriority w:val="33"/>
    <w:qFormat/>
    <w:rsid w:val="001B3999"/>
    <w:rPr>
      <w:b/>
      <w:bCs/>
      <w:smallCaps/>
      <w:spacing w:val="5"/>
    </w:rPr>
  </w:style>
  <w:style w:type="paragraph" w:styleId="TOCHeading">
    <w:name w:val="TOC Heading"/>
    <w:basedOn w:val="Heading1"/>
    <w:next w:val="Normal"/>
    <w:uiPriority w:val="39"/>
    <w:unhideWhenUsed/>
    <w:qFormat/>
    <w:rsid w:val="001B3999"/>
    <w:pPr>
      <w:outlineLvl w:val="9"/>
    </w:pPr>
  </w:style>
  <w:style w:type="paragraph" w:styleId="Footer">
    <w:name w:val="footer"/>
    <w:basedOn w:val="Normal"/>
    <w:link w:val="FooterChar"/>
    <w:uiPriority w:val="99"/>
    <w:unhideWhenUsed/>
    <w:rsid w:val="001B3999"/>
    <w:pPr>
      <w:tabs>
        <w:tab w:val="center" w:pos="4680"/>
        <w:tab w:val="right" w:pos="9360"/>
      </w:tabs>
      <w:spacing w:after="0" w:line="240" w:lineRule="auto"/>
    </w:pPr>
  </w:style>
  <w:style w:type="table" w:styleId="TableSubtle2">
    <w:name w:val="Table Subtle 2"/>
    <w:basedOn w:val="TableNormal"/>
    <w:uiPriority w:val="99"/>
    <w:semiHidden/>
    <w:unhideWhenUsed/>
    <w:rsid w:val="003E484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1B3999"/>
  </w:style>
  <w:style w:type="character" w:styleId="PageNumber">
    <w:name w:val="page number"/>
    <w:basedOn w:val="DefaultParagraphFont"/>
    <w:uiPriority w:val="99"/>
    <w:semiHidden/>
    <w:unhideWhenUsed/>
    <w:rsid w:val="001B3999"/>
  </w:style>
  <w:style w:type="paragraph" w:customStyle="1" w:styleId="PersonalName">
    <w:name w:val="Personal Name"/>
    <w:basedOn w:val="Title"/>
    <w:rsid w:val="001B3999"/>
    <w:rPr>
      <w:b w:val="0"/>
      <w:caps/>
      <w:color w:val="000000"/>
      <w:sz w:val="28"/>
      <w:szCs w:val="28"/>
    </w:rPr>
  </w:style>
  <w:style w:type="character" w:customStyle="1" w:styleId="NoSpacingChar">
    <w:name w:val="No Spacing Char"/>
    <w:basedOn w:val="DefaultParagraphFont"/>
    <w:link w:val="NoSpacing"/>
    <w:uiPriority w:val="1"/>
    <w:rsid w:val="001B3999"/>
  </w:style>
  <w:style w:type="paragraph" w:styleId="NormalWeb">
    <w:name w:val="Normal (Web)"/>
    <w:basedOn w:val="Normal"/>
    <w:uiPriority w:val="99"/>
    <w:semiHidden/>
    <w:unhideWhenUsed/>
    <w:rsid w:val="001B3999"/>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5E4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A81"/>
  </w:style>
  <w:style w:type="table" w:styleId="TableGrid">
    <w:name w:val="Table Grid"/>
    <w:basedOn w:val="TableNormal"/>
    <w:uiPriority w:val="39"/>
    <w:rsid w:val="005E4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urfulAccent5">
    <w:name w:val="List Table 7 Colorful Accent 5"/>
    <w:basedOn w:val="TableNormal"/>
    <w:uiPriority w:val="52"/>
    <w:rsid w:val="005E4A81"/>
    <w:pPr>
      <w:spacing w:after="0" w:line="240" w:lineRule="auto"/>
    </w:pPr>
    <w:rPr>
      <w:color w:val="1A132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1A4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1A4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1A4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1A40" w:themeColor="accent5"/>
        </w:tcBorders>
        <w:shd w:val="clear" w:color="auto" w:fill="FFFFFF" w:themeFill="background1"/>
      </w:tcPr>
    </w:tblStylePr>
    <w:tblStylePr w:type="band1Vert">
      <w:tblPr/>
      <w:tcPr>
        <w:shd w:val="clear" w:color="auto" w:fill="CCC3E6" w:themeFill="accent5" w:themeFillTint="33"/>
      </w:tcPr>
    </w:tblStylePr>
    <w:tblStylePr w:type="band1Horz">
      <w:tblPr/>
      <w:tcPr>
        <w:shd w:val="clear" w:color="auto" w:fill="CCC3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5E4A81"/>
    <w:pPr>
      <w:spacing w:after="0" w:line="240" w:lineRule="auto"/>
    </w:pPr>
    <w:rPr>
      <w:color w:val="14536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708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708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708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708C" w:themeColor="accent2"/>
        </w:tcBorders>
        <w:shd w:val="clear" w:color="auto" w:fill="FFFFFF" w:themeFill="background1"/>
      </w:tcPr>
    </w:tblStylePr>
    <w:tblStylePr w:type="band1Vert">
      <w:tblPr/>
      <w:tcPr>
        <w:shd w:val="clear" w:color="auto" w:fill="C5E8F4" w:themeFill="accent2" w:themeFillTint="33"/>
      </w:tcPr>
    </w:tblStylePr>
    <w:tblStylePr w:type="band1Horz">
      <w:tblPr/>
      <w:tcPr>
        <w:shd w:val="clear" w:color="auto" w:fill="C5E8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5E4A81"/>
    <w:pPr>
      <w:spacing w:after="0" w:line="240" w:lineRule="auto"/>
    </w:pPr>
    <w:rPr>
      <w:color w:val="56515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6D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6D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6D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6D73" w:themeColor="accent6"/>
        </w:tcBorders>
        <w:shd w:val="clear" w:color="auto" w:fill="FFFFFF" w:themeFill="background1"/>
      </w:tcPr>
    </w:tblStylePr>
    <w:tblStylePr w:type="band1Vert">
      <w:tblPr/>
      <w:tcPr>
        <w:shd w:val="clear" w:color="auto" w:fill="E3E1E3" w:themeFill="accent6" w:themeFillTint="33"/>
      </w:tcPr>
    </w:tblStylePr>
    <w:tblStylePr w:type="band1Horz">
      <w:tblPr/>
      <w:tcPr>
        <w:shd w:val="clear" w:color="auto" w:fill="E3E1E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5E4A81"/>
    <w:pPr>
      <w:spacing w:after="0" w:line="240" w:lineRule="auto"/>
    </w:pPr>
    <w:tblPr>
      <w:tblStyleRowBandSize w:val="1"/>
      <w:tblStyleColBandSize w:val="1"/>
      <w:tblBorders>
        <w:top w:val="single" w:sz="4" w:space="0" w:color="1DA2A9" w:themeColor="accent3"/>
        <w:left w:val="single" w:sz="4" w:space="0" w:color="1DA2A9" w:themeColor="accent3"/>
        <w:bottom w:val="single" w:sz="4" w:space="0" w:color="1DA2A9" w:themeColor="accent3"/>
        <w:right w:val="single" w:sz="4" w:space="0" w:color="1DA2A9" w:themeColor="accent3"/>
      </w:tblBorders>
    </w:tblPr>
    <w:tblStylePr w:type="firstRow">
      <w:rPr>
        <w:b/>
        <w:bCs/>
        <w:color w:val="FFFFFF" w:themeColor="background1"/>
      </w:rPr>
      <w:tblPr/>
      <w:tcPr>
        <w:shd w:val="clear" w:color="auto" w:fill="1DA2A9" w:themeFill="accent3"/>
      </w:tcPr>
    </w:tblStylePr>
    <w:tblStylePr w:type="lastRow">
      <w:rPr>
        <w:b/>
        <w:bCs/>
      </w:rPr>
      <w:tblPr/>
      <w:tcPr>
        <w:tcBorders>
          <w:top w:val="double" w:sz="4" w:space="0" w:color="1DA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A2A9" w:themeColor="accent3"/>
          <w:right w:val="single" w:sz="4" w:space="0" w:color="1DA2A9" w:themeColor="accent3"/>
        </w:tcBorders>
      </w:tcPr>
    </w:tblStylePr>
    <w:tblStylePr w:type="band1Horz">
      <w:tblPr/>
      <w:tcPr>
        <w:tcBorders>
          <w:top w:val="single" w:sz="4" w:space="0" w:color="1DA2A9" w:themeColor="accent3"/>
          <w:bottom w:val="single" w:sz="4" w:space="0" w:color="1DA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A2A9" w:themeColor="accent3"/>
          <w:left w:val="nil"/>
        </w:tcBorders>
      </w:tcPr>
    </w:tblStylePr>
    <w:tblStylePr w:type="swCell">
      <w:tblPr/>
      <w:tcPr>
        <w:tcBorders>
          <w:top w:val="double" w:sz="4" w:space="0" w:color="1DA2A9" w:themeColor="accent3"/>
          <w:right w:val="nil"/>
        </w:tcBorders>
      </w:tcPr>
    </w:tblStylePr>
  </w:style>
  <w:style w:type="table" w:styleId="ListTable1Light-Accent6">
    <w:name w:val="List Table 1 Light Accent 6"/>
    <w:basedOn w:val="TableNormal"/>
    <w:uiPriority w:val="46"/>
    <w:rsid w:val="005E4A81"/>
    <w:pPr>
      <w:spacing w:after="0" w:line="240" w:lineRule="auto"/>
    </w:pPr>
    <w:tblPr>
      <w:tblStyleRowBandSize w:val="1"/>
      <w:tblStyleColBandSize w:val="1"/>
    </w:tblPr>
    <w:tblStylePr w:type="firstRow">
      <w:rPr>
        <w:b/>
        <w:bCs/>
      </w:rPr>
      <w:tblPr/>
      <w:tcPr>
        <w:tcBorders>
          <w:bottom w:val="single" w:sz="4" w:space="0" w:color="ABA6AB" w:themeColor="accent6" w:themeTint="99"/>
        </w:tcBorders>
      </w:tcPr>
    </w:tblStylePr>
    <w:tblStylePr w:type="lastRow">
      <w:rPr>
        <w:b/>
        <w:bCs/>
      </w:rPr>
      <w:tblPr/>
      <w:tcPr>
        <w:tcBorders>
          <w:top w:val="single" w:sz="4" w:space="0" w:color="ABA6AB" w:themeColor="accent6" w:themeTint="99"/>
        </w:tcBorders>
      </w:tcPr>
    </w:tblStylePr>
    <w:tblStylePr w:type="firstCol">
      <w:rPr>
        <w:b/>
        <w:bCs/>
      </w:rPr>
    </w:tblStylePr>
    <w:tblStylePr w:type="lastCol">
      <w:rPr>
        <w:b/>
        <w:bCs/>
      </w:rPr>
    </w:tblStylePr>
    <w:tblStylePr w:type="band1Vert">
      <w:tblPr/>
      <w:tcPr>
        <w:shd w:val="clear" w:color="auto" w:fill="E3E1E3" w:themeFill="accent6" w:themeFillTint="33"/>
      </w:tcPr>
    </w:tblStylePr>
    <w:tblStylePr w:type="band1Horz">
      <w:tblPr/>
      <w:tcPr>
        <w:shd w:val="clear" w:color="auto" w:fill="E3E1E3" w:themeFill="accent6" w:themeFillTint="33"/>
      </w:tcPr>
    </w:tblStylePr>
  </w:style>
  <w:style w:type="table" w:styleId="ListTable1Light-Accent5">
    <w:name w:val="List Table 1 Light Accent 5"/>
    <w:basedOn w:val="TableNormal"/>
    <w:uiPriority w:val="46"/>
    <w:rsid w:val="005E4A81"/>
    <w:pPr>
      <w:spacing w:after="0" w:line="240" w:lineRule="auto"/>
    </w:pPr>
    <w:tblPr>
      <w:tblStyleRowBandSize w:val="1"/>
      <w:tblStyleColBandSize w:val="1"/>
    </w:tblPr>
    <w:tblStylePr w:type="firstRow">
      <w:rPr>
        <w:b/>
        <w:bCs/>
      </w:rPr>
      <w:tblPr/>
      <w:tcPr>
        <w:tcBorders>
          <w:bottom w:val="single" w:sz="4" w:space="0" w:color="674BB6" w:themeColor="accent5" w:themeTint="99"/>
        </w:tcBorders>
      </w:tcPr>
    </w:tblStylePr>
    <w:tblStylePr w:type="lastRow">
      <w:rPr>
        <w:b/>
        <w:bCs/>
      </w:rPr>
      <w:tblPr/>
      <w:tcPr>
        <w:tcBorders>
          <w:top w:val="single" w:sz="4" w:space="0" w:color="674BB6" w:themeColor="accent5" w:themeTint="99"/>
        </w:tcBorders>
      </w:tcPr>
    </w:tblStylePr>
    <w:tblStylePr w:type="firstCol">
      <w:rPr>
        <w:b/>
        <w:bCs/>
      </w:rPr>
    </w:tblStylePr>
    <w:tblStylePr w:type="lastCol">
      <w:rPr>
        <w:b/>
        <w:bCs/>
      </w:rPr>
    </w:tblStylePr>
    <w:tblStylePr w:type="band1Vert">
      <w:tblPr/>
      <w:tcPr>
        <w:shd w:val="clear" w:color="auto" w:fill="CCC3E6" w:themeFill="accent5" w:themeFillTint="33"/>
      </w:tcPr>
    </w:tblStylePr>
    <w:tblStylePr w:type="band1Horz">
      <w:tblPr/>
      <w:tcPr>
        <w:shd w:val="clear" w:color="auto" w:fill="CCC3E6" w:themeFill="accent5" w:themeFillTint="33"/>
      </w:tcPr>
    </w:tblStylePr>
  </w:style>
  <w:style w:type="table" w:styleId="GridTable2-Accent6">
    <w:name w:val="Grid Table 2 Accent 6"/>
    <w:basedOn w:val="TableNormal"/>
    <w:uiPriority w:val="47"/>
    <w:rsid w:val="005E4A81"/>
    <w:pPr>
      <w:spacing w:after="0" w:line="240" w:lineRule="auto"/>
    </w:pPr>
    <w:tblPr>
      <w:tblStyleRowBandSize w:val="1"/>
      <w:tblStyleColBandSize w:val="1"/>
      <w:tblBorders>
        <w:top w:val="single" w:sz="2" w:space="0" w:color="ABA6AB" w:themeColor="accent6" w:themeTint="99"/>
        <w:bottom w:val="single" w:sz="2" w:space="0" w:color="ABA6AB" w:themeColor="accent6" w:themeTint="99"/>
        <w:insideH w:val="single" w:sz="2" w:space="0" w:color="ABA6AB" w:themeColor="accent6" w:themeTint="99"/>
        <w:insideV w:val="single" w:sz="2" w:space="0" w:color="ABA6AB" w:themeColor="accent6" w:themeTint="99"/>
      </w:tblBorders>
    </w:tblPr>
    <w:tblStylePr w:type="firstRow">
      <w:rPr>
        <w:b/>
        <w:bCs/>
      </w:rPr>
      <w:tblPr/>
      <w:tcPr>
        <w:tcBorders>
          <w:top w:val="nil"/>
          <w:bottom w:val="single" w:sz="12" w:space="0" w:color="ABA6AB" w:themeColor="accent6" w:themeTint="99"/>
          <w:insideH w:val="nil"/>
          <w:insideV w:val="nil"/>
        </w:tcBorders>
        <w:shd w:val="clear" w:color="auto" w:fill="FFFFFF" w:themeFill="background1"/>
      </w:tcPr>
    </w:tblStylePr>
    <w:tblStylePr w:type="lastRow">
      <w:rPr>
        <w:b/>
        <w:bCs/>
      </w:rPr>
      <w:tblPr/>
      <w:tcPr>
        <w:tcBorders>
          <w:top w:val="double" w:sz="2" w:space="0" w:color="ABA6A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1E3" w:themeFill="accent6" w:themeFillTint="33"/>
      </w:tcPr>
    </w:tblStylePr>
    <w:tblStylePr w:type="band1Horz">
      <w:tblPr/>
      <w:tcPr>
        <w:shd w:val="clear" w:color="auto" w:fill="E3E1E3" w:themeFill="accent6" w:themeFillTint="33"/>
      </w:tcPr>
    </w:tblStylePr>
  </w:style>
  <w:style w:type="table" w:styleId="GridTable2-Accent1">
    <w:name w:val="Grid Table 2 Accent 1"/>
    <w:basedOn w:val="TableNormal"/>
    <w:uiPriority w:val="47"/>
    <w:rsid w:val="005E4A81"/>
    <w:pPr>
      <w:spacing w:after="0" w:line="240" w:lineRule="auto"/>
    </w:pPr>
    <w:tblPr>
      <w:tblStyleRowBandSize w:val="1"/>
      <w:tblStyleColBandSize w:val="1"/>
      <w:tblBorders>
        <w:top w:val="single" w:sz="2" w:space="0" w:color="B5D5DE" w:themeColor="accent1" w:themeTint="99"/>
        <w:bottom w:val="single" w:sz="2" w:space="0" w:color="B5D5DE" w:themeColor="accent1" w:themeTint="99"/>
        <w:insideH w:val="single" w:sz="2" w:space="0" w:color="B5D5DE" w:themeColor="accent1" w:themeTint="99"/>
        <w:insideV w:val="single" w:sz="2" w:space="0" w:color="B5D5DE" w:themeColor="accent1" w:themeTint="99"/>
      </w:tblBorders>
    </w:tblPr>
    <w:tblStylePr w:type="firstRow">
      <w:rPr>
        <w:b/>
        <w:bCs/>
      </w:rPr>
      <w:tblPr/>
      <w:tcPr>
        <w:tcBorders>
          <w:top w:val="nil"/>
          <w:bottom w:val="single" w:sz="12" w:space="0" w:color="B5D5DE" w:themeColor="accent1" w:themeTint="99"/>
          <w:insideH w:val="nil"/>
          <w:insideV w:val="nil"/>
        </w:tcBorders>
        <w:shd w:val="clear" w:color="auto" w:fill="FFFFFF" w:themeFill="background1"/>
      </w:tcPr>
    </w:tblStylePr>
    <w:tblStylePr w:type="lastRow">
      <w:rPr>
        <w:b/>
        <w:bCs/>
      </w:rPr>
      <w:tblPr/>
      <w:tcPr>
        <w:tcBorders>
          <w:top w:val="double" w:sz="2" w:space="0" w:color="B5D5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1F4" w:themeFill="accent1" w:themeFillTint="33"/>
      </w:tcPr>
    </w:tblStylePr>
    <w:tblStylePr w:type="band1Horz">
      <w:tblPr/>
      <w:tcPr>
        <w:shd w:val="clear" w:color="auto" w:fill="E6F1F4" w:themeFill="accent1" w:themeFillTint="33"/>
      </w:tcPr>
    </w:tblStylePr>
  </w:style>
  <w:style w:type="table" w:styleId="GridTable4-Accent1">
    <w:name w:val="Grid Table 4 Accent 1"/>
    <w:basedOn w:val="TableNormal"/>
    <w:uiPriority w:val="49"/>
    <w:rsid w:val="005E4A81"/>
    <w:pPr>
      <w:spacing w:after="0" w:line="240" w:lineRule="auto"/>
    </w:pPr>
    <w:tblPr>
      <w:tblStyleRowBandSize w:val="1"/>
      <w:tblStyleColBandSize w:val="1"/>
      <w:tblBorders>
        <w:top w:val="single" w:sz="4" w:space="0" w:color="B5D5DE" w:themeColor="accent1" w:themeTint="99"/>
        <w:left w:val="single" w:sz="4" w:space="0" w:color="B5D5DE" w:themeColor="accent1" w:themeTint="99"/>
        <w:bottom w:val="single" w:sz="4" w:space="0" w:color="B5D5DE" w:themeColor="accent1" w:themeTint="99"/>
        <w:right w:val="single" w:sz="4" w:space="0" w:color="B5D5DE" w:themeColor="accent1" w:themeTint="99"/>
        <w:insideH w:val="single" w:sz="4" w:space="0" w:color="B5D5DE" w:themeColor="accent1" w:themeTint="99"/>
        <w:insideV w:val="single" w:sz="4" w:space="0" w:color="B5D5DE" w:themeColor="accent1" w:themeTint="99"/>
      </w:tblBorders>
    </w:tblPr>
    <w:tblStylePr w:type="firstRow">
      <w:rPr>
        <w:b/>
        <w:bCs/>
        <w:color w:val="FFFFFF" w:themeColor="background1"/>
      </w:rPr>
      <w:tblPr/>
      <w:tcPr>
        <w:tcBorders>
          <w:top w:val="single" w:sz="4" w:space="0" w:color="85BAC8" w:themeColor="accent1"/>
          <w:left w:val="single" w:sz="4" w:space="0" w:color="85BAC8" w:themeColor="accent1"/>
          <w:bottom w:val="single" w:sz="4" w:space="0" w:color="85BAC8" w:themeColor="accent1"/>
          <w:right w:val="single" w:sz="4" w:space="0" w:color="85BAC8" w:themeColor="accent1"/>
          <w:insideH w:val="nil"/>
          <w:insideV w:val="nil"/>
        </w:tcBorders>
        <w:shd w:val="clear" w:color="auto" w:fill="85BAC8" w:themeFill="accent1"/>
      </w:tcPr>
    </w:tblStylePr>
    <w:tblStylePr w:type="lastRow">
      <w:rPr>
        <w:b/>
        <w:bCs/>
      </w:rPr>
      <w:tblPr/>
      <w:tcPr>
        <w:tcBorders>
          <w:top w:val="double" w:sz="4" w:space="0" w:color="85BAC8" w:themeColor="accent1"/>
        </w:tcBorders>
      </w:tcPr>
    </w:tblStylePr>
    <w:tblStylePr w:type="firstCol">
      <w:rPr>
        <w:b/>
        <w:bCs/>
      </w:rPr>
    </w:tblStylePr>
    <w:tblStylePr w:type="lastCol">
      <w:rPr>
        <w:b/>
        <w:bCs/>
      </w:rPr>
    </w:tblStylePr>
    <w:tblStylePr w:type="band1Vert">
      <w:tblPr/>
      <w:tcPr>
        <w:shd w:val="clear" w:color="auto" w:fill="E6F1F4" w:themeFill="accent1" w:themeFillTint="33"/>
      </w:tcPr>
    </w:tblStylePr>
    <w:tblStylePr w:type="band1Horz">
      <w:tblPr/>
      <w:tcPr>
        <w:shd w:val="clear" w:color="auto" w:fill="E6F1F4" w:themeFill="accent1" w:themeFillTint="33"/>
      </w:tcPr>
    </w:tblStylePr>
  </w:style>
  <w:style w:type="paragraph" w:styleId="TOC1">
    <w:name w:val="toc 1"/>
    <w:basedOn w:val="Normal"/>
    <w:next w:val="Normal"/>
    <w:autoRedefine/>
    <w:uiPriority w:val="39"/>
    <w:unhideWhenUsed/>
    <w:rsid w:val="00DB24C9"/>
    <w:pPr>
      <w:spacing w:before="360" w:after="360"/>
    </w:pPr>
    <w:rPr>
      <w:rFonts w:cstheme="minorHAnsi"/>
      <w:b/>
      <w:bCs/>
      <w:caps/>
      <w:sz w:val="22"/>
      <w:u w:val="single"/>
    </w:rPr>
  </w:style>
  <w:style w:type="paragraph" w:styleId="TOC2">
    <w:name w:val="toc 2"/>
    <w:basedOn w:val="Normal"/>
    <w:next w:val="Normal"/>
    <w:autoRedefine/>
    <w:uiPriority w:val="39"/>
    <w:unhideWhenUsed/>
    <w:rsid w:val="00DB24C9"/>
    <w:pPr>
      <w:spacing w:after="0"/>
    </w:pPr>
    <w:rPr>
      <w:rFonts w:cstheme="minorHAnsi"/>
      <w:b/>
      <w:bCs/>
      <w:smallCaps/>
      <w:sz w:val="22"/>
    </w:rPr>
  </w:style>
  <w:style w:type="paragraph" w:styleId="TOC3">
    <w:name w:val="toc 3"/>
    <w:basedOn w:val="Normal"/>
    <w:next w:val="Normal"/>
    <w:autoRedefine/>
    <w:uiPriority w:val="39"/>
    <w:unhideWhenUsed/>
    <w:rsid w:val="00DB24C9"/>
    <w:pPr>
      <w:spacing w:after="0"/>
    </w:pPr>
    <w:rPr>
      <w:rFonts w:cstheme="minorHAnsi"/>
      <w:smallCaps/>
      <w:sz w:val="22"/>
    </w:rPr>
  </w:style>
  <w:style w:type="paragraph" w:styleId="TOC4">
    <w:name w:val="toc 4"/>
    <w:basedOn w:val="Normal"/>
    <w:next w:val="Normal"/>
    <w:autoRedefine/>
    <w:uiPriority w:val="39"/>
    <w:unhideWhenUsed/>
    <w:rsid w:val="00DB24C9"/>
    <w:pPr>
      <w:spacing w:after="0"/>
    </w:pPr>
    <w:rPr>
      <w:rFonts w:cstheme="minorHAnsi"/>
      <w:sz w:val="22"/>
    </w:rPr>
  </w:style>
  <w:style w:type="paragraph" w:styleId="TOC5">
    <w:name w:val="toc 5"/>
    <w:basedOn w:val="Normal"/>
    <w:next w:val="Normal"/>
    <w:autoRedefine/>
    <w:uiPriority w:val="39"/>
    <w:unhideWhenUsed/>
    <w:rsid w:val="00DB24C9"/>
    <w:pPr>
      <w:spacing w:after="0"/>
    </w:pPr>
    <w:rPr>
      <w:rFonts w:cstheme="minorHAnsi"/>
      <w:sz w:val="22"/>
    </w:rPr>
  </w:style>
  <w:style w:type="paragraph" w:styleId="TOC6">
    <w:name w:val="toc 6"/>
    <w:basedOn w:val="Normal"/>
    <w:next w:val="Normal"/>
    <w:autoRedefine/>
    <w:uiPriority w:val="39"/>
    <w:unhideWhenUsed/>
    <w:rsid w:val="00DB24C9"/>
    <w:pPr>
      <w:spacing w:after="0"/>
    </w:pPr>
    <w:rPr>
      <w:rFonts w:cstheme="minorHAnsi"/>
      <w:sz w:val="22"/>
    </w:rPr>
  </w:style>
  <w:style w:type="paragraph" w:styleId="TOC7">
    <w:name w:val="toc 7"/>
    <w:basedOn w:val="Normal"/>
    <w:next w:val="Normal"/>
    <w:autoRedefine/>
    <w:uiPriority w:val="39"/>
    <w:unhideWhenUsed/>
    <w:rsid w:val="00DB24C9"/>
    <w:pPr>
      <w:spacing w:after="0"/>
    </w:pPr>
    <w:rPr>
      <w:rFonts w:cstheme="minorHAnsi"/>
      <w:sz w:val="22"/>
    </w:rPr>
  </w:style>
  <w:style w:type="paragraph" w:styleId="TOC8">
    <w:name w:val="toc 8"/>
    <w:basedOn w:val="Normal"/>
    <w:next w:val="Normal"/>
    <w:autoRedefine/>
    <w:uiPriority w:val="39"/>
    <w:unhideWhenUsed/>
    <w:rsid w:val="00DB24C9"/>
    <w:pPr>
      <w:spacing w:after="0"/>
    </w:pPr>
    <w:rPr>
      <w:rFonts w:cstheme="minorHAnsi"/>
      <w:sz w:val="22"/>
    </w:rPr>
  </w:style>
  <w:style w:type="paragraph" w:styleId="TOC9">
    <w:name w:val="toc 9"/>
    <w:basedOn w:val="Normal"/>
    <w:next w:val="Normal"/>
    <w:autoRedefine/>
    <w:uiPriority w:val="39"/>
    <w:unhideWhenUsed/>
    <w:rsid w:val="00DB24C9"/>
    <w:pPr>
      <w:spacing w:after="0"/>
    </w:pPr>
    <w:rPr>
      <w:rFonts w:cstheme="minorHAnsi"/>
      <w:sz w:val="22"/>
    </w:rPr>
  </w:style>
  <w:style w:type="character" w:styleId="Hyperlink">
    <w:name w:val="Hyperlink"/>
    <w:basedOn w:val="DefaultParagraphFont"/>
    <w:uiPriority w:val="99"/>
    <w:unhideWhenUsed/>
    <w:rsid w:val="00DB24C9"/>
    <w:rPr>
      <w:color w:val="241A40" w:themeColor="hyperlink"/>
      <w:u w:val="single"/>
    </w:rPr>
  </w:style>
  <w:style w:type="paragraph" w:styleId="FootnoteText">
    <w:name w:val="footnote text"/>
    <w:basedOn w:val="Normal"/>
    <w:link w:val="FootnoteTextChar"/>
    <w:uiPriority w:val="99"/>
    <w:semiHidden/>
    <w:unhideWhenUsed/>
    <w:rsid w:val="00AF1333"/>
    <w:pPr>
      <w:spacing w:after="0" w:line="240" w:lineRule="auto"/>
    </w:pPr>
    <w:rPr>
      <w:rFonts w:eastAsia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AF1333"/>
    <w:rPr>
      <w:rFonts w:eastAsiaTheme="minorHAnsi"/>
      <w:kern w:val="2"/>
      <w:sz w:val="20"/>
      <w:szCs w:val="20"/>
      <w14:ligatures w14:val="standardContextual"/>
    </w:rPr>
  </w:style>
  <w:style w:type="character" w:styleId="FootnoteReference">
    <w:name w:val="footnote reference"/>
    <w:basedOn w:val="DefaultParagraphFont"/>
    <w:uiPriority w:val="99"/>
    <w:semiHidden/>
    <w:unhideWhenUsed/>
    <w:rsid w:val="00AF1333"/>
    <w:rPr>
      <w:vertAlign w:val="superscript"/>
    </w:rPr>
  </w:style>
  <w:style w:type="table" w:styleId="GridTable4">
    <w:name w:val="Grid Table 4"/>
    <w:basedOn w:val="TableNormal"/>
    <w:uiPriority w:val="49"/>
    <w:rsid w:val="004A0EEC"/>
    <w:pPr>
      <w:spacing w:after="0" w:line="240" w:lineRule="auto"/>
    </w:pPr>
    <w:tblPr>
      <w:tblStyleRowBandSize w:val="1"/>
      <w:tblStyleColBandSize w:val="1"/>
      <w:tblBorders>
        <w:top w:val="single" w:sz="4" w:space="0" w:color="674BB6" w:themeColor="text1" w:themeTint="99"/>
        <w:left w:val="single" w:sz="4" w:space="0" w:color="674BB6" w:themeColor="text1" w:themeTint="99"/>
        <w:bottom w:val="single" w:sz="4" w:space="0" w:color="674BB6" w:themeColor="text1" w:themeTint="99"/>
        <w:right w:val="single" w:sz="4" w:space="0" w:color="674BB6" w:themeColor="text1" w:themeTint="99"/>
        <w:insideH w:val="single" w:sz="4" w:space="0" w:color="674BB6" w:themeColor="text1" w:themeTint="99"/>
        <w:insideV w:val="single" w:sz="4" w:space="0" w:color="674BB6" w:themeColor="text1" w:themeTint="99"/>
      </w:tblBorders>
    </w:tblPr>
    <w:tblStylePr w:type="firstRow">
      <w:rPr>
        <w:b/>
        <w:bCs/>
        <w:color w:val="FFFFFF" w:themeColor="background1"/>
      </w:rPr>
      <w:tblPr/>
      <w:tcPr>
        <w:tcBorders>
          <w:top w:val="single" w:sz="4" w:space="0" w:color="241A40" w:themeColor="text1"/>
          <w:left w:val="single" w:sz="4" w:space="0" w:color="241A40" w:themeColor="text1"/>
          <w:bottom w:val="single" w:sz="4" w:space="0" w:color="241A40" w:themeColor="text1"/>
          <w:right w:val="single" w:sz="4" w:space="0" w:color="241A40" w:themeColor="text1"/>
          <w:insideH w:val="nil"/>
          <w:insideV w:val="nil"/>
        </w:tcBorders>
        <w:shd w:val="clear" w:color="auto" w:fill="241A40" w:themeFill="text1"/>
      </w:tcPr>
    </w:tblStylePr>
    <w:tblStylePr w:type="lastRow">
      <w:rPr>
        <w:b/>
        <w:bCs/>
      </w:rPr>
      <w:tblPr/>
      <w:tcPr>
        <w:tcBorders>
          <w:top w:val="double" w:sz="4" w:space="0" w:color="241A40" w:themeColor="text1"/>
        </w:tcBorders>
      </w:tcPr>
    </w:tblStylePr>
    <w:tblStylePr w:type="firstCol">
      <w:rPr>
        <w:b/>
        <w:bCs/>
      </w:rPr>
    </w:tblStylePr>
    <w:tblStylePr w:type="lastCol">
      <w:rPr>
        <w:b/>
        <w:bCs/>
      </w:rPr>
    </w:tblStylePr>
    <w:tblStylePr w:type="band1Vert">
      <w:tblPr/>
      <w:tcPr>
        <w:shd w:val="clear" w:color="auto" w:fill="CCC3E6" w:themeFill="text1" w:themeFillTint="33"/>
      </w:tcPr>
    </w:tblStylePr>
    <w:tblStylePr w:type="band1Horz">
      <w:tblPr/>
      <w:tcPr>
        <w:shd w:val="clear" w:color="auto" w:fill="CCC3E6" w:themeFill="text1" w:themeFillTint="33"/>
      </w:tcPr>
    </w:tblStylePr>
  </w:style>
  <w:style w:type="character" w:styleId="UnresolvedMention">
    <w:name w:val="Unresolved Mention"/>
    <w:basedOn w:val="DefaultParagraphFont"/>
    <w:uiPriority w:val="99"/>
    <w:semiHidden/>
    <w:unhideWhenUsed/>
    <w:rsid w:val="004A0EEC"/>
    <w:rPr>
      <w:color w:val="605E5C"/>
      <w:shd w:val="clear" w:color="auto" w:fill="E1DFDD"/>
    </w:rPr>
  </w:style>
  <w:style w:type="paragraph" w:styleId="CommentText">
    <w:name w:val="annotation text"/>
    <w:basedOn w:val="Normal"/>
    <w:link w:val="CommentTextChar"/>
    <w:uiPriority w:val="99"/>
    <w:unhideWhenUsed/>
    <w:rsid w:val="00244B0A"/>
    <w:pPr>
      <w:spacing w:after="0" w:line="240" w:lineRule="auto"/>
    </w:pPr>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244B0A"/>
    <w:rPr>
      <w:rFonts w:eastAsiaTheme="minorHAnsi"/>
      <w:kern w:val="2"/>
      <w:sz w:val="20"/>
      <w:szCs w:val="20"/>
      <w14:ligatures w14:val="standardContextual"/>
    </w:rPr>
  </w:style>
  <w:style w:type="character" w:styleId="CommentReference">
    <w:name w:val="annotation reference"/>
    <w:basedOn w:val="DefaultParagraphFont"/>
    <w:uiPriority w:val="99"/>
    <w:semiHidden/>
    <w:unhideWhenUsed/>
    <w:rsid w:val="00244B0A"/>
    <w:rPr>
      <w:sz w:val="16"/>
      <w:szCs w:val="16"/>
    </w:rPr>
  </w:style>
  <w:style w:type="character" w:styleId="PlaceholderText">
    <w:name w:val="Placeholder Text"/>
    <w:basedOn w:val="DefaultParagraphFont"/>
    <w:uiPriority w:val="99"/>
    <w:semiHidden/>
    <w:rsid w:val="003B79F4"/>
    <w:rPr>
      <w:color w:val="666666"/>
    </w:rPr>
  </w:style>
  <w:style w:type="paragraph" w:styleId="Revision">
    <w:name w:val="Revision"/>
    <w:hidden/>
    <w:uiPriority w:val="99"/>
    <w:semiHidden/>
    <w:rsid w:val="001E25AA"/>
    <w:pPr>
      <w:spacing w:after="0" w:line="240" w:lineRule="auto"/>
    </w:pPr>
    <w:rPr>
      <w:sz w:val="24"/>
    </w:rPr>
  </w:style>
  <w:style w:type="paragraph" w:styleId="CommentSubject">
    <w:name w:val="annotation subject"/>
    <w:basedOn w:val="CommentText"/>
    <w:next w:val="CommentText"/>
    <w:link w:val="CommentSubjectChar"/>
    <w:uiPriority w:val="99"/>
    <w:semiHidden/>
    <w:unhideWhenUsed/>
    <w:rsid w:val="00817A50"/>
    <w:pPr>
      <w:spacing w:after="200"/>
    </w:pPr>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817A50"/>
    <w:rPr>
      <w:rFonts w:eastAsiaTheme="minorHAnsi"/>
      <w:b/>
      <w:bCs/>
      <w:kern w:val="2"/>
      <w:sz w:val="20"/>
      <w:szCs w:val="20"/>
      <w14:ligatures w14:val="standardContextual"/>
    </w:rPr>
  </w:style>
  <w:style w:type="character" w:styleId="FollowedHyperlink">
    <w:name w:val="FollowedHyperlink"/>
    <w:basedOn w:val="DefaultParagraphFont"/>
    <w:uiPriority w:val="99"/>
    <w:semiHidden/>
    <w:unhideWhenUsed/>
    <w:rsid w:val="007E3812"/>
    <w:rPr>
      <w:color w:val="1DA2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7961">
      <w:bodyDiv w:val="1"/>
      <w:marLeft w:val="0"/>
      <w:marRight w:val="0"/>
      <w:marTop w:val="0"/>
      <w:marBottom w:val="0"/>
      <w:divBdr>
        <w:top w:val="none" w:sz="0" w:space="0" w:color="auto"/>
        <w:left w:val="none" w:sz="0" w:space="0" w:color="auto"/>
        <w:bottom w:val="none" w:sz="0" w:space="0" w:color="auto"/>
        <w:right w:val="none" w:sz="0" w:space="0" w:color="auto"/>
      </w:divBdr>
    </w:div>
    <w:div w:id="56323461">
      <w:bodyDiv w:val="1"/>
      <w:marLeft w:val="0"/>
      <w:marRight w:val="0"/>
      <w:marTop w:val="0"/>
      <w:marBottom w:val="0"/>
      <w:divBdr>
        <w:top w:val="none" w:sz="0" w:space="0" w:color="auto"/>
        <w:left w:val="none" w:sz="0" w:space="0" w:color="auto"/>
        <w:bottom w:val="none" w:sz="0" w:space="0" w:color="auto"/>
        <w:right w:val="none" w:sz="0" w:space="0" w:color="auto"/>
      </w:divBdr>
    </w:div>
    <w:div w:id="100956589">
      <w:bodyDiv w:val="1"/>
      <w:marLeft w:val="0"/>
      <w:marRight w:val="0"/>
      <w:marTop w:val="0"/>
      <w:marBottom w:val="0"/>
      <w:divBdr>
        <w:top w:val="none" w:sz="0" w:space="0" w:color="auto"/>
        <w:left w:val="none" w:sz="0" w:space="0" w:color="auto"/>
        <w:bottom w:val="none" w:sz="0" w:space="0" w:color="auto"/>
        <w:right w:val="none" w:sz="0" w:space="0" w:color="auto"/>
      </w:divBdr>
    </w:div>
    <w:div w:id="135605422">
      <w:bodyDiv w:val="1"/>
      <w:marLeft w:val="0"/>
      <w:marRight w:val="0"/>
      <w:marTop w:val="0"/>
      <w:marBottom w:val="0"/>
      <w:divBdr>
        <w:top w:val="none" w:sz="0" w:space="0" w:color="auto"/>
        <w:left w:val="none" w:sz="0" w:space="0" w:color="auto"/>
        <w:bottom w:val="none" w:sz="0" w:space="0" w:color="auto"/>
        <w:right w:val="none" w:sz="0" w:space="0" w:color="auto"/>
      </w:divBdr>
    </w:div>
    <w:div w:id="142626915">
      <w:bodyDiv w:val="1"/>
      <w:marLeft w:val="0"/>
      <w:marRight w:val="0"/>
      <w:marTop w:val="0"/>
      <w:marBottom w:val="0"/>
      <w:divBdr>
        <w:top w:val="none" w:sz="0" w:space="0" w:color="auto"/>
        <w:left w:val="none" w:sz="0" w:space="0" w:color="auto"/>
        <w:bottom w:val="none" w:sz="0" w:space="0" w:color="auto"/>
        <w:right w:val="none" w:sz="0" w:space="0" w:color="auto"/>
      </w:divBdr>
    </w:div>
    <w:div w:id="143355164">
      <w:bodyDiv w:val="1"/>
      <w:marLeft w:val="0"/>
      <w:marRight w:val="0"/>
      <w:marTop w:val="0"/>
      <w:marBottom w:val="0"/>
      <w:divBdr>
        <w:top w:val="none" w:sz="0" w:space="0" w:color="auto"/>
        <w:left w:val="none" w:sz="0" w:space="0" w:color="auto"/>
        <w:bottom w:val="none" w:sz="0" w:space="0" w:color="auto"/>
        <w:right w:val="none" w:sz="0" w:space="0" w:color="auto"/>
      </w:divBdr>
    </w:div>
    <w:div w:id="161626851">
      <w:bodyDiv w:val="1"/>
      <w:marLeft w:val="0"/>
      <w:marRight w:val="0"/>
      <w:marTop w:val="0"/>
      <w:marBottom w:val="0"/>
      <w:divBdr>
        <w:top w:val="none" w:sz="0" w:space="0" w:color="auto"/>
        <w:left w:val="none" w:sz="0" w:space="0" w:color="auto"/>
        <w:bottom w:val="none" w:sz="0" w:space="0" w:color="auto"/>
        <w:right w:val="none" w:sz="0" w:space="0" w:color="auto"/>
      </w:divBdr>
    </w:div>
    <w:div w:id="191457648">
      <w:bodyDiv w:val="1"/>
      <w:marLeft w:val="0"/>
      <w:marRight w:val="0"/>
      <w:marTop w:val="0"/>
      <w:marBottom w:val="0"/>
      <w:divBdr>
        <w:top w:val="none" w:sz="0" w:space="0" w:color="auto"/>
        <w:left w:val="none" w:sz="0" w:space="0" w:color="auto"/>
        <w:bottom w:val="none" w:sz="0" w:space="0" w:color="auto"/>
        <w:right w:val="none" w:sz="0" w:space="0" w:color="auto"/>
      </w:divBdr>
    </w:div>
    <w:div w:id="195969787">
      <w:bodyDiv w:val="1"/>
      <w:marLeft w:val="0"/>
      <w:marRight w:val="0"/>
      <w:marTop w:val="0"/>
      <w:marBottom w:val="0"/>
      <w:divBdr>
        <w:top w:val="none" w:sz="0" w:space="0" w:color="auto"/>
        <w:left w:val="none" w:sz="0" w:space="0" w:color="auto"/>
        <w:bottom w:val="none" w:sz="0" w:space="0" w:color="auto"/>
        <w:right w:val="none" w:sz="0" w:space="0" w:color="auto"/>
      </w:divBdr>
    </w:div>
    <w:div w:id="263612670">
      <w:bodyDiv w:val="1"/>
      <w:marLeft w:val="0"/>
      <w:marRight w:val="0"/>
      <w:marTop w:val="0"/>
      <w:marBottom w:val="0"/>
      <w:divBdr>
        <w:top w:val="none" w:sz="0" w:space="0" w:color="auto"/>
        <w:left w:val="none" w:sz="0" w:space="0" w:color="auto"/>
        <w:bottom w:val="none" w:sz="0" w:space="0" w:color="auto"/>
        <w:right w:val="none" w:sz="0" w:space="0" w:color="auto"/>
      </w:divBdr>
    </w:div>
    <w:div w:id="351077927">
      <w:bodyDiv w:val="1"/>
      <w:marLeft w:val="0"/>
      <w:marRight w:val="0"/>
      <w:marTop w:val="0"/>
      <w:marBottom w:val="0"/>
      <w:divBdr>
        <w:top w:val="none" w:sz="0" w:space="0" w:color="auto"/>
        <w:left w:val="none" w:sz="0" w:space="0" w:color="auto"/>
        <w:bottom w:val="none" w:sz="0" w:space="0" w:color="auto"/>
        <w:right w:val="none" w:sz="0" w:space="0" w:color="auto"/>
      </w:divBdr>
    </w:div>
    <w:div w:id="455026748">
      <w:bodyDiv w:val="1"/>
      <w:marLeft w:val="0"/>
      <w:marRight w:val="0"/>
      <w:marTop w:val="0"/>
      <w:marBottom w:val="0"/>
      <w:divBdr>
        <w:top w:val="none" w:sz="0" w:space="0" w:color="auto"/>
        <w:left w:val="none" w:sz="0" w:space="0" w:color="auto"/>
        <w:bottom w:val="none" w:sz="0" w:space="0" w:color="auto"/>
        <w:right w:val="none" w:sz="0" w:space="0" w:color="auto"/>
      </w:divBdr>
    </w:div>
    <w:div w:id="465123880">
      <w:bodyDiv w:val="1"/>
      <w:marLeft w:val="0"/>
      <w:marRight w:val="0"/>
      <w:marTop w:val="0"/>
      <w:marBottom w:val="0"/>
      <w:divBdr>
        <w:top w:val="none" w:sz="0" w:space="0" w:color="auto"/>
        <w:left w:val="none" w:sz="0" w:space="0" w:color="auto"/>
        <w:bottom w:val="none" w:sz="0" w:space="0" w:color="auto"/>
        <w:right w:val="none" w:sz="0" w:space="0" w:color="auto"/>
      </w:divBdr>
    </w:div>
    <w:div w:id="523860928">
      <w:bodyDiv w:val="1"/>
      <w:marLeft w:val="0"/>
      <w:marRight w:val="0"/>
      <w:marTop w:val="0"/>
      <w:marBottom w:val="0"/>
      <w:divBdr>
        <w:top w:val="none" w:sz="0" w:space="0" w:color="auto"/>
        <w:left w:val="none" w:sz="0" w:space="0" w:color="auto"/>
        <w:bottom w:val="none" w:sz="0" w:space="0" w:color="auto"/>
        <w:right w:val="none" w:sz="0" w:space="0" w:color="auto"/>
      </w:divBdr>
    </w:div>
    <w:div w:id="566765842">
      <w:bodyDiv w:val="1"/>
      <w:marLeft w:val="0"/>
      <w:marRight w:val="0"/>
      <w:marTop w:val="0"/>
      <w:marBottom w:val="0"/>
      <w:divBdr>
        <w:top w:val="none" w:sz="0" w:space="0" w:color="auto"/>
        <w:left w:val="none" w:sz="0" w:space="0" w:color="auto"/>
        <w:bottom w:val="none" w:sz="0" w:space="0" w:color="auto"/>
        <w:right w:val="none" w:sz="0" w:space="0" w:color="auto"/>
      </w:divBdr>
    </w:div>
    <w:div w:id="681467251">
      <w:bodyDiv w:val="1"/>
      <w:marLeft w:val="0"/>
      <w:marRight w:val="0"/>
      <w:marTop w:val="0"/>
      <w:marBottom w:val="0"/>
      <w:divBdr>
        <w:top w:val="none" w:sz="0" w:space="0" w:color="auto"/>
        <w:left w:val="none" w:sz="0" w:space="0" w:color="auto"/>
        <w:bottom w:val="none" w:sz="0" w:space="0" w:color="auto"/>
        <w:right w:val="none" w:sz="0" w:space="0" w:color="auto"/>
      </w:divBdr>
    </w:div>
    <w:div w:id="732314912">
      <w:bodyDiv w:val="1"/>
      <w:marLeft w:val="0"/>
      <w:marRight w:val="0"/>
      <w:marTop w:val="0"/>
      <w:marBottom w:val="0"/>
      <w:divBdr>
        <w:top w:val="none" w:sz="0" w:space="0" w:color="auto"/>
        <w:left w:val="none" w:sz="0" w:space="0" w:color="auto"/>
        <w:bottom w:val="none" w:sz="0" w:space="0" w:color="auto"/>
        <w:right w:val="none" w:sz="0" w:space="0" w:color="auto"/>
      </w:divBdr>
    </w:div>
    <w:div w:id="819466654">
      <w:bodyDiv w:val="1"/>
      <w:marLeft w:val="0"/>
      <w:marRight w:val="0"/>
      <w:marTop w:val="0"/>
      <w:marBottom w:val="0"/>
      <w:divBdr>
        <w:top w:val="none" w:sz="0" w:space="0" w:color="auto"/>
        <w:left w:val="none" w:sz="0" w:space="0" w:color="auto"/>
        <w:bottom w:val="none" w:sz="0" w:space="0" w:color="auto"/>
        <w:right w:val="none" w:sz="0" w:space="0" w:color="auto"/>
      </w:divBdr>
    </w:div>
    <w:div w:id="842400057">
      <w:bodyDiv w:val="1"/>
      <w:marLeft w:val="0"/>
      <w:marRight w:val="0"/>
      <w:marTop w:val="0"/>
      <w:marBottom w:val="0"/>
      <w:divBdr>
        <w:top w:val="none" w:sz="0" w:space="0" w:color="auto"/>
        <w:left w:val="none" w:sz="0" w:space="0" w:color="auto"/>
        <w:bottom w:val="none" w:sz="0" w:space="0" w:color="auto"/>
        <w:right w:val="none" w:sz="0" w:space="0" w:color="auto"/>
      </w:divBdr>
    </w:div>
    <w:div w:id="1007514198">
      <w:bodyDiv w:val="1"/>
      <w:marLeft w:val="0"/>
      <w:marRight w:val="0"/>
      <w:marTop w:val="0"/>
      <w:marBottom w:val="0"/>
      <w:divBdr>
        <w:top w:val="none" w:sz="0" w:space="0" w:color="auto"/>
        <w:left w:val="none" w:sz="0" w:space="0" w:color="auto"/>
        <w:bottom w:val="none" w:sz="0" w:space="0" w:color="auto"/>
        <w:right w:val="none" w:sz="0" w:space="0" w:color="auto"/>
      </w:divBdr>
    </w:div>
    <w:div w:id="1008219340">
      <w:bodyDiv w:val="1"/>
      <w:marLeft w:val="0"/>
      <w:marRight w:val="0"/>
      <w:marTop w:val="0"/>
      <w:marBottom w:val="0"/>
      <w:divBdr>
        <w:top w:val="none" w:sz="0" w:space="0" w:color="auto"/>
        <w:left w:val="none" w:sz="0" w:space="0" w:color="auto"/>
        <w:bottom w:val="none" w:sz="0" w:space="0" w:color="auto"/>
        <w:right w:val="none" w:sz="0" w:space="0" w:color="auto"/>
      </w:divBdr>
    </w:div>
    <w:div w:id="1070468445">
      <w:bodyDiv w:val="1"/>
      <w:marLeft w:val="0"/>
      <w:marRight w:val="0"/>
      <w:marTop w:val="0"/>
      <w:marBottom w:val="0"/>
      <w:divBdr>
        <w:top w:val="none" w:sz="0" w:space="0" w:color="auto"/>
        <w:left w:val="none" w:sz="0" w:space="0" w:color="auto"/>
        <w:bottom w:val="none" w:sz="0" w:space="0" w:color="auto"/>
        <w:right w:val="none" w:sz="0" w:space="0" w:color="auto"/>
      </w:divBdr>
    </w:div>
    <w:div w:id="1083649251">
      <w:bodyDiv w:val="1"/>
      <w:marLeft w:val="0"/>
      <w:marRight w:val="0"/>
      <w:marTop w:val="0"/>
      <w:marBottom w:val="0"/>
      <w:divBdr>
        <w:top w:val="none" w:sz="0" w:space="0" w:color="auto"/>
        <w:left w:val="none" w:sz="0" w:space="0" w:color="auto"/>
        <w:bottom w:val="none" w:sz="0" w:space="0" w:color="auto"/>
        <w:right w:val="none" w:sz="0" w:space="0" w:color="auto"/>
      </w:divBdr>
    </w:div>
    <w:div w:id="1142384622">
      <w:bodyDiv w:val="1"/>
      <w:marLeft w:val="0"/>
      <w:marRight w:val="0"/>
      <w:marTop w:val="0"/>
      <w:marBottom w:val="0"/>
      <w:divBdr>
        <w:top w:val="none" w:sz="0" w:space="0" w:color="auto"/>
        <w:left w:val="none" w:sz="0" w:space="0" w:color="auto"/>
        <w:bottom w:val="none" w:sz="0" w:space="0" w:color="auto"/>
        <w:right w:val="none" w:sz="0" w:space="0" w:color="auto"/>
      </w:divBdr>
    </w:div>
    <w:div w:id="1248228828">
      <w:bodyDiv w:val="1"/>
      <w:marLeft w:val="0"/>
      <w:marRight w:val="0"/>
      <w:marTop w:val="0"/>
      <w:marBottom w:val="0"/>
      <w:divBdr>
        <w:top w:val="none" w:sz="0" w:space="0" w:color="auto"/>
        <w:left w:val="none" w:sz="0" w:space="0" w:color="auto"/>
        <w:bottom w:val="none" w:sz="0" w:space="0" w:color="auto"/>
        <w:right w:val="none" w:sz="0" w:space="0" w:color="auto"/>
      </w:divBdr>
    </w:div>
    <w:div w:id="1274825670">
      <w:bodyDiv w:val="1"/>
      <w:marLeft w:val="0"/>
      <w:marRight w:val="0"/>
      <w:marTop w:val="0"/>
      <w:marBottom w:val="0"/>
      <w:divBdr>
        <w:top w:val="none" w:sz="0" w:space="0" w:color="auto"/>
        <w:left w:val="none" w:sz="0" w:space="0" w:color="auto"/>
        <w:bottom w:val="none" w:sz="0" w:space="0" w:color="auto"/>
        <w:right w:val="none" w:sz="0" w:space="0" w:color="auto"/>
      </w:divBdr>
    </w:div>
    <w:div w:id="1280795700">
      <w:bodyDiv w:val="1"/>
      <w:marLeft w:val="0"/>
      <w:marRight w:val="0"/>
      <w:marTop w:val="0"/>
      <w:marBottom w:val="0"/>
      <w:divBdr>
        <w:top w:val="none" w:sz="0" w:space="0" w:color="auto"/>
        <w:left w:val="none" w:sz="0" w:space="0" w:color="auto"/>
        <w:bottom w:val="none" w:sz="0" w:space="0" w:color="auto"/>
        <w:right w:val="none" w:sz="0" w:space="0" w:color="auto"/>
      </w:divBdr>
    </w:div>
    <w:div w:id="1313487342">
      <w:bodyDiv w:val="1"/>
      <w:marLeft w:val="0"/>
      <w:marRight w:val="0"/>
      <w:marTop w:val="0"/>
      <w:marBottom w:val="0"/>
      <w:divBdr>
        <w:top w:val="none" w:sz="0" w:space="0" w:color="auto"/>
        <w:left w:val="none" w:sz="0" w:space="0" w:color="auto"/>
        <w:bottom w:val="none" w:sz="0" w:space="0" w:color="auto"/>
        <w:right w:val="none" w:sz="0" w:space="0" w:color="auto"/>
      </w:divBdr>
    </w:div>
    <w:div w:id="1338189163">
      <w:bodyDiv w:val="1"/>
      <w:marLeft w:val="0"/>
      <w:marRight w:val="0"/>
      <w:marTop w:val="0"/>
      <w:marBottom w:val="0"/>
      <w:divBdr>
        <w:top w:val="none" w:sz="0" w:space="0" w:color="auto"/>
        <w:left w:val="none" w:sz="0" w:space="0" w:color="auto"/>
        <w:bottom w:val="none" w:sz="0" w:space="0" w:color="auto"/>
        <w:right w:val="none" w:sz="0" w:space="0" w:color="auto"/>
      </w:divBdr>
    </w:div>
    <w:div w:id="1346400141">
      <w:bodyDiv w:val="1"/>
      <w:marLeft w:val="0"/>
      <w:marRight w:val="0"/>
      <w:marTop w:val="0"/>
      <w:marBottom w:val="0"/>
      <w:divBdr>
        <w:top w:val="none" w:sz="0" w:space="0" w:color="auto"/>
        <w:left w:val="none" w:sz="0" w:space="0" w:color="auto"/>
        <w:bottom w:val="none" w:sz="0" w:space="0" w:color="auto"/>
        <w:right w:val="none" w:sz="0" w:space="0" w:color="auto"/>
      </w:divBdr>
    </w:div>
    <w:div w:id="1349482532">
      <w:bodyDiv w:val="1"/>
      <w:marLeft w:val="0"/>
      <w:marRight w:val="0"/>
      <w:marTop w:val="0"/>
      <w:marBottom w:val="0"/>
      <w:divBdr>
        <w:top w:val="none" w:sz="0" w:space="0" w:color="auto"/>
        <w:left w:val="none" w:sz="0" w:space="0" w:color="auto"/>
        <w:bottom w:val="none" w:sz="0" w:space="0" w:color="auto"/>
        <w:right w:val="none" w:sz="0" w:space="0" w:color="auto"/>
      </w:divBdr>
    </w:div>
    <w:div w:id="1436171859">
      <w:bodyDiv w:val="1"/>
      <w:marLeft w:val="0"/>
      <w:marRight w:val="0"/>
      <w:marTop w:val="0"/>
      <w:marBottom w:val="0"/>
      <w:divBdr>
        <w:top w:val="none" w:sz="0" w:space="0" w:color="auto"/>
        <w:left w:val="none" w:sz="0" w:space="0" w:color="auto"/>
        <w:bottom w:val="none" w:sz="0" w:space="0" w:color="auto"/>
        <w:right w:val="none" w:sz="0" w:space="0" w:color="auto"/>
      </w:divBdr>
    </w:div>
    <w:div w:id="1473517197">
      <w:bodyDiv w:val="1"/>
      <w:marLeft w:val="0"/>
      <w:marRight w:val="0"/>
      <w:marTop w:val="0"/>
      <w:marBottom w:val="0"/>
      <w:divBdr>
        <w:top w:val="none" w:sz="0" w:space="0" w:color="auto"/>
        <w:left w:val="none" w:sz="0" w:space="0" w:color="auto"/>
        <w:bottom w:val="none" w:sz="0" w:space="0" w:color="auto"/>
        <w:right w:val="none" w:sz="0" w:space="0" w:color="auto"/>
      </w:divBdr>
    </w:div>
    <w:div w:id="1652060486">
      <w:bodyDiv w:val="1"/>
      <w:marLeft w:val="0"/>
      <w:marRight w:val="0"/>
      <w:marTop w:val="0"/>
      <w:marBottom w:val="0"/>
      <w:divBdr>
        <w:top w:val="none" w:sz="0" w:space="0" w:color="auto"/>
        <w:left w:val="none" w:sz="0" w:space="0" w:color="auto"/>
        <w:bottom w:val="none" w:sz="0" w:space="0" w:color="auto"/>
        <w:right w:val="none" w:sz="0" w:space="0" w:color="auto"/>
      </w:divBdr>
    </w:div>
    <w:div w:id="1748184366">
      <w:bodyDiv w:val="1"/>
      <w:marLeft w:val="0"/>
      <w:marRight w:val="0"/>
      <w:marTop w:val="0"/>
      <w:marBottom w:val="0"/>
      <w:divBdr>
        <w:top w:val="none" w:sz="0" w:space="0" w:color="auto"/>
        <w:left w:val="none" w:sz="0" w:space="0" w:color="auto"/>
        <w:bottom w:val="none" w:sz="0" w:space="0" w:color="auto"/>
        <w:right w:val="none" w:sz="0" w:space="0" w:color="auto"/>
      </w:divBdr>
    </w:div>
    <w:div w:id="1773011581">
      <w:bodyDiv w:val="1"/>
      <w:marLeft w:val="0"/>
      <w:marRight w:val="0"/>
      <w:marTop w:val="0"/>
      <w:marBottom w:val="0"/>
      <w:divBdr>
        <w:top w:val="none" w:sz="0" w:space="0" w:color="auto"/>
        <w:left w:val="none" w:sz="0" w:space="0" w:color="auto"/>
        <w:bottom w:val="none" w:sz="0" w:space="0" w:color="auto"/>
        <w:right w:val="none" w:sz="0" w:space="0" w:color="auto"/>
      </w:divBdr>
    </w:div>
    <w:div w:id="1790195672">
      <w:bodyDiv w:val="1"/>
      <w:marLeft w:val="0"/>
      <w:marRight w:val="0"/>
      <w:marTop w:val="0"/>
      <w:marBottom w:val="0"/>
      <w:divBdr>
        <w:top w:val="none" w:sz="0" w:space="0" w:color="auto"/>
        <w:left w:val="none" w:sz="0" w:space="0" w:color="auto"/>
        <w:bottom w:val="none" w:sz="0" w:space="0" w:color="auto"/>
        <w:right w:val="none" w:sz="0" w:space="0" w:color="auto"/>
      </w:divBdr>
    </w:div>
    <w:div w:id="1822382774">
      <w:bodyDiv w:val="1"/>
      <w:marLeft w:val="0"/>
      <w:marRight w:val="0"/>
      <w:marTop w:val="0"/>
      <w:marBottom w:val="0"/>
      <w:divBdr>
        <w:top w:val="none" w:sz="0" w:space="0" w:color="auto"/>
        <w:left w:val="none" w:sz="0" w:space="0" w:color="auto"/>
        <w:bottom w:val="none" w:sz="0" w:space="0" w:color="auto"/>
        <w:right w:val="none" w:sz="0" w:space="0" w:color="auto"/>
      </w:divBdr>
    </w:div>
    <w:div w:id="1897818470">
      <w:bodyDiv w:val="1"/>
      <w:marLeft w:val="0"/>
      <w:marRight w:val="0"/>
      <w:marTop w:val="0"/>
      <w:marBottom w:val="0"/>
      <w:divBdr>
        <w:top w:val="none" w:sz="0" w:space="0" w:color="auto"/>
        <w:left w:val="none" w:sz="0" w:space="0" w:color="auto"/>
        <w:bottom w:val="none" w:sz="0" w:space="0" w:color="auto"/>
        <w:right w:val="none" w:sz="0" w:space="0" w:color="auto"/>
      </w:divBdr>
    </w:div>
    <w:div w:id="1939436587">
      <w:bodyDiv w:val="1"/>
      <w:marLeft w:val="0"/>
      <w:marRight w:val="0"/>
      <w:marTop w:val="0"/>
      <w:marBottom w:val="0"/>
      <w:divBdr>
        <w:top w:val="none" w:sz="0" w:space="0" w:color="auto"/>
        <w:left w:val="none" w:sz="0" w:space="0" w:color="auto"/>
        <w:bottom w:val="none" w:sz="0" w:space="0" w:color="auto"/>
        <w:right w:val="none" w:sz="0" w:space="0" w:color="auto"/>
      </w:divBdr>
    </w:div>
    <w:div w:id="1964725180">
      <w:bodyDiv w:val="1"/>
      <w:marLeft w:val="0"/>
      <w:marRight w:val="0"/>
      <w:marTop w:val="0"/>
      <w:marBottom w:val="0"/>
      <w:divBdr>
        <w:top w:val="none" w:sz="0" w:space="0" w:color="auto"/>
        <w:left w:val="none" w:sz="0" w:space="0" w:color="auto"/>
        <w:bottom w:val="none" w:sz="0" w:space="0" w:color="auto"/>
        <w:right w:val="none" w:sz="0" w:space="0" w:color="auto"/>
      </w:divBdr>
    </w:div>
    <w:div w:id="1980063548">
      <w:bodyDiv w:val="1"/>
      <w:marLeft w:val="0"/>
      <w:marRight w:val="0"/>
      <w:marTop w:val="0"/>
      <w:marBottom w:val="0"/>
      <w:divBdr>
        <w:top w:val="none" w:sz="0" w:space="0" w:color="auto"/>
        <w:left w:val="none" w:sz="0" w:space="0" w:color="auto"/>
        <w:bottom w:val="none" w:sz="0" w:space="0" w:color="auto"/>
        <w:right w:val="none" w:sz="0" w:space="0" w:color="auto"/>
      </w:divBdr>
    </w:div>
    <w:div w:id="1990599081">
      <w:bodyDiv w:val="1"/>
      <w:marLeft w:val="0"/>
      <w:marRight w:val="0"/>
      <w:marTop w:val="0"/>
      <w:marBottom w:val="0"/>
      <w:divBdr>
        <w:top w:val="none" w:sz="0" w:space="0" w:color="auto"/>
        <w:left w:val="none" w:sz="0" w:space="0" w:color="auto"/>
        <w:bottom w:val="none" w:sz="0" w:space="0" w:color="auto"/>
        <w:right w:val="none" w:sz="0" w:space="0" w:color="auto"/>
      </w:divBdr>
    </w:div>
    <w:div w:id="2032608415">
      <w:bodyDiv w:val="1"/>
      <w:marLeft w:val="0"/>
      <w:marRight w:val="0"/>
      <w:marTop w:val="0"/>
      <w:marBottom w:val="0"/>
      <w:divBdr>
        <w:top w:val="none" w:sz="0" w:space="0" w:color="auto"/>
        <w:left w:val="none" w:sz="0" w:space="0" w:color="auto"/>
        <w:bottom w:val="none" w:sz="0" w:space="0" w:color="auto"/>
        <w:right w:val="none" w:sz="0" w:space="0" w:color="auto"/>
      </w:divBdr>
    </w:div>
    <w:div w:id="2048918003">
      <w:bodyDiv w:val="1"/>
      <w:marLeft w:val="0"/>
      <w:marRight w:val="0"/>
      <w:marTop w:val="0"/>
      <w:marBottom w:val="0"/>
      <w:divBdr>
        <w:top w:val="none" w:sz="0" w:space="0" w:color="auto"/>
        <w:left w:val="none" w:sz="0" w:space="0" w:color="auto"/>
        <w:bottom w:val="none" w:sz="0" w:space="0" w:color="auto"/>
        <w:right w:val="none" w:sz="0" w:space="0" w:color="auto"/>
      </w:divBdr>
    </w:div>
    <w:div w:id="2079748216">
      <w:bodyDiv w:val="1"/>
      <w:marLeft w:val="0"/>
      <w:marRight w:val="0"/>
      <w:marTop w:val="0"/>
      <w:marBottom w:val="0"/>
      <w:divBdr>
        <w:top w:val="none" w:sz="0" w:space="0" w:color="auto"/>
        <w:left w:val="none" w:sz="0" w:space="0" w:color="auto"/>
        <w:bottom w:val="none" w:sz="0" w:space="0" w:color="auto"/>
        <w:right w:val="none" w:sz="0" w:space="0" w:color="auto"/>
      </w:divBdr>
    </w:div>
    <w:div w:id="213420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s://public.flourish.studio/story/3154346/"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pplewebdata://798F009B-8C9B-4985-8853-2FAC2CCBC45F" TargetMode="External"/><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organisations/department-for-business-and-trade" TargetMode="External"/><Relationship Id="rId3" Type="http://schemas.openxmlformats.org/officeDocument/2006/relationships/hyperlink" Target="https://www.ons.gov.uk/economy/economicoutputandproductivity/productivitymeasures/articles/managementpracticesandinnovationgreatbritain/2021-08-23" TargetMode="External"/><Relationship Id="rId7" Type="http://schemas.openxmlformats.org/officeDocument/2006/relationships/hyperlink" Target="https://www.dwih-saopaulo.org/en/supporter/german-federation-of-industrial-research-associations-aif/" TargetMode="External"/><Relationship Id="rId2" Type="http://schemas.openxmlformats.org/officeDocument/2006/relationships/hyperlink" Target="https://www.techuk.org/resource/are-we-getting-closer-to-achieving-the-target-for-the-uk-to-invest-2-4-of-gdp-in-r-d-by-2027.html" TargetMode="External"/><Relationship Id="rId1" Type="http://schemas.openxmlformats.org/officeDocument/2006/relationships/hyperlink" Target="https://www.sciencedirect.com/science/article/pii/S0166497222001286" TargetMode="External"/><Relationship Id="rId6" Type="http://schemas.openxmlformats.org/officeDocument/2006/relationships/hyperlink" Target="https://researchbriefings.files.parliament.uk/documents/CBP-8527/CBP-8527.pdf" TargetMode="External"/><Relationship Id="rId5" Type="http://schemas.openxmlformats.org/officeDocument/2006/relationships/hyperlink" Target="https://www.gov.uk/government/publications/uk-shared-prosperity-fund-interventions-outputs-and-indicators/interventions-list-for-england" TargetMode="External"/><Relationship Id="rId4" Type="http://schemas.openxmlformats.org/officeDocument/2006/relationships/hyperlink" Target="https://tomforth.co.uk/regionalrand/" TargetMode="External"/><Relationship Id="rId9" Type="http://schemas.openxmlformats.org/officeDocument/2006/relationships/hyperlink" Target="https://www.gov.uk/government/organisations/department-for-business-energy-and-industrial-strateg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1D454CF4B94D948887D0AE025EE9618"/>
        <w:category>
          <w:name w:val="General"/>
          <w:gallery w:val="placeholder"/>
        </w:category>
        <w:types>
          <w:type w:val="bbPlcHdr"/>
        </w:types>
        <w:behaviors>
          <w:behavior w:val="content"/>
        </w:behaviors>
        <w:guid w:val="{91F66AAD-B866-274D-9552-D50122848272}"/>
      </w:docPartPr>
      <w:docPartBody>
        <w:p w:rsidR="00997B03" w:rsidRDefault="00637817" w:rsidP="00637817">
          <w:pPr>
            <w:pStyle w:val="41D454CF4B94D948887D0AE025EE9618"/>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817"/>
    <w:rsid w:val="00000276"/>
    <w:rsid w:val="0008769E"/>
    <w:rsid w:val="00150CED"/>
    <w:rsid w:val="001C1E6B"/>
    <w:rsid w:val="002D369F"/>
    <w:rsid w:val="003F7774"/>
    <w:rsid w:val="004162F0"/>
    <w:rsid w:val="00637817"/>
    <w:rsid w:val="0066664F"/>
    <w:rsid w:val="00692AA0"/>
    <w:rsid w:val="007778B7"/>
    <w:rsid w:val="007C0D34"/>
    <w:rsid w:val="009127F8"/>
    <w:rsid w:val="009343F9"/>
    <w:rsid w:val="00997B03"/>
    <w:rsid w:val="009D1E4D"/>
    <w:rsid w:val="00A07309"/>
    <w:rsid w:val="00A07657"/>
    <w:rsid w:val="00A8420E"/>
    <w:rsid w:val="00B8085B"/>
    <w:rsid w:val="00BD4CA3"/>
    <w:rsid w:val="00C03161"/>
    <w:rsid w:val="00C210E7"/>
    <w:rsid w:val="00C6340C"/>
    <w:rsid w:val="00CA0698"/>
    <w:rsid w:val="00D74C91"/>
    <w:rsid w:val="00E00B1C"/>
    <w:rsid w:val="00EA45C3"/>
    <w:rsid w:val="00FF5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10E7"/>
    <w:rPr>
      <w:color w:val="666666"/>
    </w:rPr>
  </w:style>
  <w:style w:type="paragraph" w:customStyle="1" w:styleId="41D454CF4B94D948887D0AE025EE9618">
    <w:name w:val="41D454CF4B94D948887D0AE025EE9618"/>
    <w:rsid w:val="006378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orther Powerhouse">
      <a:dk1>
        <a:srgbClr val="241A40"/>
      </a:dk1>
      <a:lt1>
        <a:srgbClr val="FFFFFF"/>
      </a:lt1>
      <a:dk2>
        <a:srgbClr val="703A77"/>
      </a:dk2>
      <a:lt2>
        <a:srgbClr val="BFBFBE"/>
      </a:lt2>
      <a:accent1>
        <a:srgbClr val="85BAC8"/>
      </a:accent1>
      <a:accent2>
        <a:srgbClr val="1B708C"/>
      </a:accent2>
      <a:accent3>
        <a:srgbClr val="1DA2A9"/>
      </a:accent3>
      <a:accent4>
        <a:srgbClr val="703A77"/>
      </a:accent4>
      <a:accent5>
        <a:srgbClr val="241A40"/>
      </a:accent5>
      <a:accent6>
        <a:srgbClr val="736D73"/>
      </a:accent6>
      <a:hlink>
        <a:srgbClr val="241A40"/>
      </a:hlink>
      <a:folHlink>
        <a:srgbClr val="1DA2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8FF63-F647-5740-AEED-0F94FF71F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7069</Words>
  <Characters>40429</Characters>
  <Application>Microsoft Office Word</Application>
  <DocSecurity>4</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Document title</dc:creator>
  <cp:keywords/>
  <dc:description/>
  <cp:lastModifiedBy>Joe Dadomo</cp:lastModifiedBy>
  <cp:revision>2</cp:revision>
  <dcterms:created xsi:type="dcterms:W3CDTF">2025-06-27T14:01:00Z</dcterms:created>
  <dcterms:modified xsi:type="dcterms:W3CDTF">2025-06-27T14:01:00Z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81a1c89c-dd7c-485a-9e42-e4d36afe4d6f</vt:lpwstr>
  </property>
</Properties>
</file>