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6C77A" w14:textId="4CF04783" w:rsidR="00507AF4" w:rsidRPr="003C2A1E" w:rsidRDefault="00507AF4" w:rsidP="0031756C">
      <w:pPr>
        <w:pStyle w:val="Title"/>
        <w:rPr>
          <w:rFonts w:cstheme="minorHAnsi"/>
        </w:rPr>
      </w:pPr>
      <w:r w:rsidRPr="003C2A1E">
        <w:rPr>
          <w:rFonts w:cstheme="minorHAnsi"/>
          <w:noProof/>
        </w:rPr>
        <w:drawing>
          <wp:anchor distT="0" distB="0" distL="114300" distR="114300" simplePos="0" relativeHeight="251658240" behindDoc="0" locked="0" layoutInCell="1" allowOverlap="1" wp14:anchorId="43DA694C" wp14:editId="7048D0F9">
            <wp:simplePos x="0" y="0"/>
            <wp:positionH relativeFrom="column">
              <wp:posOffset>-948520</wp:posOffset>
            </wp:positionH>
            <wp:positionV relativeFrom="paragraph">
              <wp:posOffset>-1004874</wp:posOffset>
            </wp:positionV>
            <wp:extent cx="7544938" cy="10664357"/>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4938" cy="10664357"/>
                    </a:xfrm>
                    <a:prstGeom prst="rect">
                      <a:avLst/>
                    </a:prstGeom>
                  </pic:spPr>
                </pic:pic>
              </a:graphicData>
            </a:graphic>
            <wp14:sizeRelH relativeFrom="margin">
              <wp14:pctWidth>0</wp14:pctWidth>
            </wp14:sizeRelH>
            <wp14:sizeRelV relativeFrom="margin">
              <wp14:pctHeight>0</wp14:pctHeight>
            </wp14:sizeRelV>
          </wp:anchor>
        </w:drawing>
      </w:r>
      <w:r w:rsidRPr="003C2A1E">
        <w:rPr>
          <w:rFonts w:cstheme="minorHAnsi"/>
          <w:noProof/>
        </w:rPr>
        <w:softHyphen/>
      </w:r>
    </w:p>
    <w:p w14:paraId="231F691E" w14:textId="77777777" w:rsidR="00507AF4" w:rsidRPr="003C2A1E" w:rsidRDefault="00507AF4" w:rsidP="0031756C">
      <w:pPr>
        <w:pStyle w:val="Title"/>
        <w:rPr>
          <w:rFonts w:cstheme="minorHAnsi"/>
        </w:rPr>
      </w:pPr>
    </w:p>
    <w:p w14:paraId="0710568E" w14:textId="77777777" w:rsidR="00507AF4" w:rsidRPr="003C2A1E" w:rsidRDefault="00507AF4" w:rsidP="0031756C">
      <w:pPr>
        <w:pStyle w:val="Title"/>
        <w:rPr>
          <w:rFonts w:cstheme="minorHAnsi"/>
        </w:rPr>
      </w:pPr>
    </w:p>
    <w:p w14:paraId="18D530F9" w14:textId="77777777" w:rsidR="00507AF4" w:rsidRPr="003C2A1E" w:rsidRDefault="00507AF4" w:rsidP="0031756C">
      <w:pPr>
        <w:pStyle w:val="Title"/>
        <w:rPr>
          <w:rFonts w:cstheme="minorHAnsi"/>
        </w:rPr>
      </w:pPr>
    </w:p>
    <w:p w14:paraId="45C47A74" w14:textId="77777777" w:rsidR="00507AF4" w:rsidRPr="003C2A1E" w:rsidRDefault="00507AF4" w:rsidP="0031756C">
      <w:pPr>
        <w:pStyle w:val="Title"/>
        <w:rPr>
          <w:rFonts w:cstheme="minorHAnsi"/>
        </w:rPr>
      </w:pPr>
    </w:p>
    <w:p w14:paraId="1D9A7E3F" w14:textId="77777777" w:rsidR="00507AF4" w:rsidRPr="003C2A1E" w:rsidRDefault="00507AF4" w:rsidP="0031756C">
      <w:pPr>
        <w:pStyle w:val="Title"/>
        <w:rPr>
          <w:rFonts w:cstheme="minorHAnsi"/>
        </w:rPr>
      </w:pPr>
    </w:p>
    <w:p w14:paraId="4AEA0303" w14:textId="77777777" w:rsidR="00507AF4" w:rsidRPr="003C2A1E" w:rsidRDefault="00507AF4" w:rsidP="0031756C">
      <w:pPr>
        <w:pStyle w:val="Title"/>
        <w:rPr>
          <w:rFonts w:cstheme="minorHAnsi"/>
        </w:rPr>
      </w:pPr>
    </w:p>
    <w:p w14:paraId="0E8278EA" w14:textId="56786968" w:rsidR="00507AF4" w:rsidRPr="003C2A1E" w:rsidRDefault="0041462A" w:rsidP="0031756C">
      <w:pPr>
        <w:pStyle w:val="Title"/>
        <w:rPr>
          <w:rFonts w:cstheme="minorHAnsi"/>
        </w:rPr>
      </w:pPr>
      <w:r w:rsidRPr="003C2A1E">
        <w:rPr>
          <w:rFonts w:cstheme="minorHAnsi"/>
          <w:noProof/>
        </w:rPr>
        <mc:AlternateContent>
          <mc:Choice Requires="wps">
            <w:drawing>
              <wp:anchor distT="0" distB="0" distL="114300" distR="114300" simplePos="0" relativeHeight="251659264" behindDoc="0" locked="0" layoutInCell="1" allowOverlap="1" wp14:anchorId="67C2558B" wp14:editId="0F413AC1">
                <wp:simplePos x="0" y="0"/>
                <wp:positionH relativeFrom="column">
                  <wp:posOffset>1733142</wp:posOffset>
                </wp:positionH>
                <wp:positionV relativeFrom="paragraph">
                  <wp:posOffset>351543</wp:posOffset>
                </wp:positionV>
                <wp:extent cx="3949065" cy="2347263"/>
                <wp:effectExtent l="0" t="0" r="0" b="0"/>
                <wp:wrapNone/>
                <wp:docPr id="3" name="Text Box 3"/>
                <wp:cNvGraphicFramePr/>
                <a:graphic xmlns:a="http://schemas.openxmlformats.org/drawingml/2006/main">
                  <a:graphicData uri="http://schemas.microsoft.com/office/word/2010/wordprocessingShape">
                    <wps:wsp>
                      <wps:cNvSpPr txBox="1"/>
                      <wps:spPr>
                        <a:xfrm>
                          <a:off x="0" y="0"/>
                          <a:ext cx="3949065" cy="2347263"/>
                        </a:xfrm>
                        <a:prstGeom prst="rect">
                          <a:avLst/>
                        </a:prstGeom>
                        <a:noFill/>
                        <a:ln w="6350">
                          <a:noFill/>
                        </a:ln>
                      </wps:spPr>
                      <wps:txbx>
                        <w:txbxContent>
                          <w:p w14:paraId="0D2E7958" w14:textId="7C1A0AA8" w:rsidR="00507AF4" w:rsidRDefault="00186188" w:rsidP="00507AF4">
                            <w:pPr>
                              <w:pStyle w:val="Title"/>
                            </w:pPr>
                            <w:r>
                              <w:t xml:space="preserve">Decarbonisation </w:t>
                            </w:r>
                            <w:r>
                              <w:br/>
                              <w:t xml:space="preserve">in </w:t>
                            </w:r>
                            <w:r w:rsidR="0041462A">
                              <w:t xml:space="preserve">&amp; beyond </w:t>
                            </w:r>
                            <w:r>
                              <w:t>the Northern Growth Corridor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2558B" id="_x0000_t202" coordsize="21600,21600" o:spt="202" path="m,l,21600r21600,l21600,xe">
                <v:stroke joinstyle="miter"/>
                <v:path gradientshapeok="t" o:connecttype="rect"/>
              </v:shapetype>
              <v:shape id="Text Box 3" o:spid="_x0000_s1026" type="#_x0000_t202" style="position:absolute;margin-left:136.45pt;margin-top:27.7pt;width:310.95pt;height:1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" filled="f" stroked="f" strokeweight=".5pt">
                <v:textbox>
                  <w:txbxContent>
                    <w:p w14:paraId="0D2E7958" w14:textId="7C1A0AA8" w:rsidR="00507AF4" w:rsidRDefault="00186188" w:rsidP="00507AF4">
                      <w:pPr>
                        <w:pStyle w:val="Title"/>
                      </w:pPr>
                      <w:r>
                        <w:t xml:space="preserve">Decarbonisation </w:t>
                      </w:r>
                      <w:r>
                        <w:br/>
                        <w:t xml:space="preserve">in </w:t>
                      </w:r>
                      <w:r w:rsidR="0041462A">
                        <w:t xml:space="preserve">&amp; beyond </w:t>
                      </w:r>
                      <w:r>
                        <w:t>the Northern Growth Corridor</w:t>
                      </w:r>
                    </w:p>
                  </w:txbxContent>
                </v:textbox>
              </v:shape>
            </w:pict>
          </mc:Fallback>
        </mc:AlternateContent>
      </w:r>
    </w:p>
    <w:p w14:paraId="3E654EEC" w14:textId="6F77800D" w:rsidR="00507AF4" w:rsidRPr="003C2A1E" w:rsidRDefault="00507AF4" w:rsidP="0031756C">
      <w:pPr>
        <w:pStyle w:val="Title"/>
        <w:rPr>
          <w:rFonts w:cstheme="minorHAnsi"/>
        </w:rPr>
      </w:pPr>
    </w:p>
    <w:p w14:paraId="4F918A20" w14:textId="4AD26412" w:rsidR="00507AF4" w:rsidRPr="003C2A1E" w:rsidRDefault="00507AF4" w:rsidP="0031756C">
      <w:pPr>
        <w:pStyle w:val="Title"/>
        <w:rPr>
          <w:rFonts w:cstheme="minorHAnsi"/>
        </w:rPr>
      </w:pPr>
    </w:p>
    <w:p w14:paraId="1D6CD807" w14:textId="378C1902" w:rsidR="00507AF4" w:rsidRPr="003C2A1E" w:rsidRDefault="00507AF4" w:rsidP="0031756C">
      <w:pPr>
        <w:pStyle w:val="Title"/>
        <w:rPr>
          <w:rFonts w:cstheme="minorHAnsi"/>
        </w:rPr>
      </w:pPr>
    </w:p>
    <w:p w14:paraId="73A83552" w14:textId="77777777" w:rsidR="00507AF4" w:rsidRPr="003C2A1E" w:rsidRDefault="00507AF4" w:rsidP="0031756C">
      <w:pPr>
        <w:pStyle w:val="Title"/>
        <w:rPr>
          <w:rFonts w:cstheme="minorHAnsi"/>
        </w:rPr>
      </w:pPr>
      <w:r w:rsidRPr="003C2A1E">
        <w:rPr>
          <w:rFonts w:cstheme="minorHAnsi"/>
          <w:noProof/>
        </w:rPr>
        <mc:AlternateContent>
          <mc:Choice Requires="wps">
            <w:drawing>
              <wp:anchor distT="0" distB="0" distL="114300" distR="114300" simplePos="0" relativeHeight="251661312" behindDoc="0" locked="0" layoutInCell="1" allowOverlap="1" wp14:anchorId="5581D9BE" wp14:editId="249218A7">
                <wp:simplePos x="0" y="0"/>
                <wp:positionH relativeFrom="column">
                  <wp:posOffset>1777735</wp:posOffset>
                </wp:positionH>
                <wp:positionV relativeFrom="paragraph">
                  <wp:posOffset>269240</wp:posOffset>
                </wp:positionV>
                <wp:extent cx="3949430" cy="1181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49430" cy="1181100"/>
                        </a:xfrm>
                        <a:prstGeom prst="rect">
                          <a:avLst/>
                        </a:prstGeom>
                        <a:noFill/>
                        <a:ln w="6350">
                          <a:noFill/>
                        </a:ln>
                      </wps:spPr>
                      <wps:txbx>
                        <w:txbxContent>
                          <w:p w14:paraId="0DFD7F12" w14:textId="08AA5CB5" w:rsidR="00D825CB" w:rsidRPr="00A94C68" w:rsidRDefault="00186188" w:rsidP="00186188">
                            <w:pPr>
                              <w:rPr>
                                <w:rStyle w:val="BookTitle"/>
                                <w:color w:val="1DA2A9" w:themeColor="accent3"/>
                                <w:sz w:val="32"/>
                                <w:szCs w:val="32"/>
                              </w:rPr>
                            </w:pPr>
                            <w:r>
                              <w:rPr>
                                <w:rStyle w:val="BookTitle"/>
                                <w:color w:val="1DA2A9" w:themeColor="accent3"/>
                                <w:sz w:val="44"/>
                                <w:szCs w:val="44"/>
                              </w:rPr>
                              <w:t>SECURING GROWTH FROM THE NET ZERO TRANSITION</w:t>
                            </w:r>
                            <w:r w:rsidR="00C171C7" w:rsidRPr="00C171C7">
                              <w:rPr>
                                <w:rStyle w:val="BookTitle"/>
                                <w:color w:val="1DA2A9" w:themeColor="accent3"/>
                                <w:sz w:val="44"/>
                                <w:szCs w:val="44"/>
                              </w:rPr>
                              <w:t xml:space="preserve">. </w:t>
                            </w:r>
                          </w:p>
                          <w:p w14:paraId="7E513F7C" w14:textId="77777777" w:rsidR="00D825CB" w:rsidRPr="00C171C7" w:rsidRDefault="00D825CB" w:rsidP="00C171C7">
                            <w:pPr>
                              <w:rPr>
                                <w:rStyle w:val="BookTitle"/>
                                <w:color w:val="1DA2A9" w:themeColor="accent3"/>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1D9BE" id="Text Box 4" o:spid="_x0000_s1027" type="#_x0000_t202" style="position:absolute;margin-left:140pt;margin-top:21.2pt;width:311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" filled="f" stroked="f" strokeweight=".5pt">
                <v:textbox>
                  <w:txbxContent>
                    <w:p w14:paraId="0DFD7F12" w14:textId="08AA5CB5" w:rsidR="00D825CB" w:rsidRPr="00A94C68" w:rsidRDefault="00186188" w:rsidP="00186188">
                      <w:pPr>
                        <w:rPr>
                          <w:rStyle w:val="BookTitle"/>
                          <w:color w:val="1DA2A9" w:themeColor="accent3"/>
                          <w:sz w:val="32"/>
                          <w:szCs w:val="32"/>
                        </w:rPr>
                      </w:pPr>
                      <w:r>
                        <w:rPr>
                          <w:rStyle w:val="BookTitle"/>
                          <w:color w:val="1DA2A9" w:themeColor="accent3"/>
                          <w:sz w:val="44"/>
                          <w:szCs w:val="44"/>
                        </w:rPr>
                        <w:t>SECURING GROWTH FROM THE NET ZERO TRANSITION</w:t>
                      </w:r>
                      <w:r w:rsidR="00C171C7" w:rsidRPr="00C171C7">
                        <w:rPr>
                          <w:rStyle w:val="BookTitle"/>
                          <w:color w:val="1DA2A9" w:themeColor="accent3"/>
                          <w:sz w:val="44"/>
                          <w:szCs w:val="44"/>
                        </w:rPr>
                        <w:t xml:space="preserve">. </w:t>
                      </w:r>
                    </w:p>
                    <w:p w14:paraId="7E513F7C" w14:textId="77777777" w:rsidR="00D825CB" w:rsidRPr="00C171C7" w:rsidRDefault="00D825CB" w:rsidP="00C171C7">
                      <w:pPr>
                        <w:rPr>
                          <w:rStyle w:val="BookTitle"/>
                          <w:color w:val="1DA2A9" w:themeColor="accent3"/>
                          <w:sz w:val="44"/>
                          <w:szCs w:val="44"/>
                        </w:rPr>
                      </w:pPr>
                    </w:p>
                  </w:txbxContent>
                </v:textbox>
              </v:shape>
            </w:pict>
          </mc:Fallback>
        </mc:AlternateContent>
      </w:r>
    </w:p>
    <w:p w14:paraId="17126E26" w14:textId="77777777" w:rsidR="00507AF4" w:rsidRPr="003C2A1E" w:rsidRDefault="00507AF4" w:rsidP="0031756C">
      <w:pPr>
        <w:pStyle w:val="Title"/>
        <w:rPr>
          <w:rFonts w:cstheme="minorHAnsi"/>
        </w:rPr>
      </w:pPr>
    </w:p>
    <w:p w14:paraId="391855E3" w14:textId="65977431" w:rsidR="00507AF4" w:rsidRPr="003C2A1E" w:rsidRDefault="00507AF4" w:rsidP="0031756C">
      <w:pPr>
        <w:pStyle w:val="Title"/>
        <w:rPr>
          <w:rFonts w:cstheme="minorHAnsi"/>
        </w:rPr>
      </w:pPr>
      <w:r w:rsidRPr="003C2A1E">
        <w:rPr>
          <w:rFonts w:cstheme="minorHAnsi"/>
          <w:noProof/>
        </w:rPr>
        <mc:AlternateContent>
          <mc:Choice Requires="wps">
            <w:drawing>
              <wp:anchor distT="0" distB="0" distL="114300" distR="114300" simplePos="0" relativeHeight="251663360" behindDoc="0" locked="0" layoutInCell="1" allowOverlap="1" wp14:anchorId="063110AC" wp14:editId="62925ACB">
                <wp:simplePos x="0" y="0"/>
                <wp:positionH relativeFrom="column">
                  <wp:posOffset>1910080</wp:posOffset>
                </wp:positionH>
                <wp:positionV relativeFrom="paragraph">
                  <wp:posOffset>709930</wp:posOffset>
                </wp:positionV>
                <wp:extent cx="3949430" cy="778213"/>
                <wp:effectExtent l="0" t="0" r="0" b="0"/>
                <wp:wrapNone/>
                <wp:docPr id="5" name="Text Box 5"/>
                <wp:cNvGraphicFramePr/>
                <a:graphic xmlns:a="http://schemas.openxmlformats.org/drawingml/2006/main">
                  <a:graphicData uri="http://schemas.microsoft.com/office/word/2010/wordprocessingShape">
                    <wps:wsp>
                      <wps:cNvSpPr txBox="1"/>
                      <wps:spPr>
                        <a:xfrm>
                          <a:off x="0" y="0"/>
                          <a:ext cx="3949430" cy="778213"/>
                        </a:xfrm>
                        <a:prstGeom prst="rect">
                          <a:avLst/>
                        </a:prstGeom>
                        <a:noFill/>
                        <a:ln w="6350">
                          <a:noFill/>
                        </a:ln>
                      </wps:spPr>
                      <wps:txbx>
                        <w:txbxContent>
                          <w:p w14:paraId="024590B7" w14:textId="77777777" w:rsidR="00B05906" w:rsidRDefault="00C171C7" w:rsidP="00507AF4">
                            <w:pPr>
                              <w:pStyle w:val="ListParagraph"/>
                              <w:jc w:val="right"/>
                            </w:pPr>
                            <w:r>
                              <w:t>J</w:t>
                            </w:r>
                            <w:r w:rsidR="00186188">
                              <w:t>anuary 2026</w:t>
                            </w:r>
                          </w:p>
                          <w:p w14:paraId="44E0D44B" w14:textId="3FEA2866" w:rsidR="00B05906" w:rsidRDefault="00B05906" w:rsidP="00B05906">
                            <w:pPr>
                              <w:pStyle w:val="ListParagraph"/>
                              <w:jc w:val="center"/>
                            </w:pPr>
                          </w:p>
                          <w:p w14:paraId="29225CE6" w14:textId="6F749BE6" w:rsidR="00C171C7" w:rsidRPr="00507AF4" w:rsidRDefault="00186188" w:rsidP="00507AF4">
                            <w:pPr>
                              <w:pStyle w:val="ListParagraph"/>
                              <w:jc w:val="right"/>
                              <w:rPr>
                                <w:rStyle w:val="BookTitle"/>
                                <w:color w:val="1DA2A9" w:themeColor="accent3"/>
                                <w:sz w:val="44"/>
                                <w:szCs w:val="44"/>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110AC" id="Text Box 5" o:spid="_x0000_s1028" type="#_x0000_t202" style="position:absolute;margin-left:150.4pt;margin-top:55.9pt;width:311pt;height:6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" filled="f" stroked="f" strokeweight=".5pt">
                <v:textbox>
                  <w:txbxContent>
                    <w:p w14:paraId="024590B7" w14:textId="77777777" w:rsidR="00B05906" w:rsidRDefault="00C171C7" w:rsidP="00507AF4">
                      <w:pPr>
                        <w:pStyle w:val="ListParagraph"/>
                        <w:jc w:val="right"/>
                      </w:pPr>
                      <w:r>
                        <w:t>J</w:t>
                      </w:r>
                      <w:r w:rsidR="00186188">
                        <w:t>anuary 2026</w:t>
                      </w:r>
                    </w:p>
                    <w:p w14:paraId="44E0D44B" w14:textId="3FEA2866" w:rsidR="00B05906" w:rsidRDefault="00B05906" w:rsidP="00B05906">
                      <w:pPr>
                        <w:pStyle w:val="ListParagraph"/>
                        <w:jc w:val="center"/>
                      </w:pPr>
                    </w:p>
                    <w:p w14:paraId="29225CE6" w14:textId="6F749BE6" w:rsidR="00C171C7" w:rsidRPr="00507AF4" w:rsidRDefault="00186188" w:rsidP="00507AF4">
                      <w:pPr>
                        <w:pStyle w:val="ListParagraph"/>
                        <w:jc w:val="right"/>
                        <w:rPr>
                          <w:rStyle w:val="BookTitle"/>
                          <w:color w:val="1DA2A9" w:themeColor="accent3"/>
                          <w:sz w:val="44"/>
                          <w:szCs w:val="44"/>
                        </w:rPr>
                      </w:pPr>
                      <w:r>
                        <w:t xml:space="preserve"> </w:t>
                      </w:r>
                    </w:p>
                  </w:txbxContent>
                </v:textbox>
              </v:shape>
            </w:pict>
          </mc:Fallback>
        </mc:AlternateContent>
      </w:r>
    </w:p>
    <w:p w14:paraId="75A3B423" w14:textId="733D1FFE" w:rsidR="00507AF4" w:rsidRDefault="00186188" w:rsidP="0031756C">
      <w:pPr>
        <w:pStyle w:val="Title"/>
        <w:rPr>
          <w:rFonts w:cstheme="minorHAnsi"/>
        </w:rPr>
      </w:pPr>
      <w:r>
        <w:rPr>
          <w:rFonts w:cstheme="minorHAnsi"/>
        </w:rPr>
        <w:t>Table of contents</w:t>
      </w:r>
    </w:p>
    <w:sdt>
      <w:sdtPr>
        <w:rPr>
          <w:rFonts w:eastAsiaTheme="minorHAnsi" w:cstheme="minorBidi"/>
          <w:b w:val="0"/>
          <w:bCs w:val="0"/>
          <w:color w:val="auto"/>
          <w:kern w:val="2"/>
          <w:sz w:val="24"/>
          <w:szCs w:val="24"/>
          <w14:ligatures w14:val="standardContextual"/>
        </w:rPr>
        <w:id w:val="-1824345936"/>
        <w:docPartObj>
          <w:docPartGallery w:val="Table of Contents"/>
          <w:docPartUnique/>
        </w:docPartObj>
      </w:sdtPr>
      <w:sdtEndPr>
        <w:rPr>
          <w:rFonts w:eastAsiaTheme="minorEastAsia"/>
          <w:noProof/>
          <w:kern w:val="0"/>
          <w:szCs w:val="22"/>
          <w14:ligatures w14:val="none"/>
        </w:rPr>
      </w:sdtEndPr>
      <w:sdtContent>
        <w:p w14:paraId="50E39BFB" w14:textId="77777777" w:rsidR="00186188" w:rsidRDefault="00186188" w:rsidP="00186188">
          <w:pPr>
            <w:pStyle w:val="TOCHeading"/>
          </w:pPr>
          <w:r>
            <w:t>Table of Contents</w:t>
          </w:r>
        </w:p>
        <w:p w14:paraId="46E3BD08" w14:textId="77777777" w:rsidR="00186188" w:rsidRDefault="00186188" w:rsidP="00186188">
          <w:pPr>
            <w:pStyle w:val="TOC1"/>
            <w:tabs>
              <w:tab w:val="right" w:leader="dot" w:pos="9016"/>
            </w:tabs>
            <w:rPr>
              <w:b w:val="0"/>
              <w:bCs w:val="0"/>
              <w:caps w:val="0"/>
              <w:noProof/>
              <w:sz w:val="24"/>
              <w:szCs w:val="24"/>
              <w:lang w:eastAsia="en-GB"/>
            </w:rPr>
          </w:pPr>
          <w:r>
            <w:rPr>
              <w:b w:val="0"/>
              <w:bCs w:val="0"/>
              <w:sz w:val="20"/>
              <w:szCs w:val="20"/>
            </w:rPr>
            <w:fldChar w:fldCharType="begin"/>
          </w:r>
          <w:r>
            <w:instrText xml:space="preserve"> TOC \o "1-3" \h \z \u </w:instrText>
          </w:r>
          <w:r>
            <w:rPr>
              <w:b w:val="0"/>
              <w:bCs w:val="0"/>
              <w:sz w:val="20"/>
              <w:szCs w:val="20"/>
            </w:rPr>
            <w:fldChar w:fldCharType="separate"/>
          </w:r>
          <w:hyperlink w:anchor="_Toc218945908" w:history="1">
            <w:r w:rsidRPr="0052114A">
              <w:rPr>
                <w:rStyle w:val="Hyperlink"/>
                <w:noProof/>
              </w:rPr>
              <w:t>1: Executive Summary</w:t>
            </w:r>
            <w:r>
              <w:rPr>
                <w:noProof/>
                <w:webHidden/>
              </w:rPr>
              <w:tab/>
            </w:r>
            <w:r>
              <w:rPr>
                <w:noProof/>
                <w:webHidden/>
              </w:rPr>
              <w:fldChar w:fldCharType="begin"/>
            </w:r>
            <w:r>
              <w:rPr>
                <w:noProof/>
                <w:webHidden/>
              </w:rPr>
              <w:instrText xml:space="preserve"> PAGEREF _Toc218945908 \h </w:instrText>
            </w:r>
            <w:r>
              <w:rPr>
                <w:noProof/>
                <w:webHidden/>
              </w:rPr>
            </w:r>
            <w:r>
              <w:rPr>
                <w:noProof/>
                <w:webHidden/>
              </w:rPr>
              <w:fldChar w:fldCharType="separate"/>
            </w:r>
            <w:r>
              <w:rPr>
                <w:noProof/>
                <w:webHidden/>
              </w:rPr>
              <w:t>3</w:t>
            </w:r>
            <w:r>
              <w:rPr>
                <w:noProof/>
                <w:webHidden/>
              </w:rPr>
              <w:fldChar w:fldCharType="end"/>
            </w:r>
          </w:hyperlink>
        </w:p>
        <w:p w14:paraId="29D7B55F" w14:textId="77777777" w:rsidR="00186188" w:rsidRDefault="00186188" w:rsidP="00186188">
          <w:pPr>
            <w:pStyle w:val="TOC1"/>
            <w:tabs>
              <w:tab w:val="right" w:leader="dot" w:pos="9016"/>
            </w:tabs>
            <w:rPr>
              <w:b w:val="0"/>
              <w:bCs w:val="0"/>
              <w:caps w:val="0"/>
              <w:noProof/>
              <w:sz w:val="24"/>
              <w:szCs w:val="24"/>
              <w:lang w:eastAsia="en-GB"/>
            </w:rPr>
          </w:pPr>
          <w:hyperlink w:anchor="_Toc218945909" w:history="1">
            <w:r w:rsidRPr="0052114A">
              <w:rPr>
                <w:rStyle w:val="Hyperlink"/>
                <w:noProof/>
              </w:rPr>
              <w:t>2: The net zero economy and the North of England</w:t>
            </w:r>
            <w:r>
              <w:rPr>
                <w:noProof/>
                <w:webHidden/>
              </w:rPr>
              <w:tab/>
            </w:r>
            <w:r>
              <w:rPr>
                <w:noProof/>
                <w:webHidden/>
              </w:rPr>
              <w:fldChar w:fldCharType="begin"/>
            </w:r>
            <w:r>
              <w:rPr>
                <w:noProof/>
                <w:webHidden/>
              </w:rPr>
              <w:instrText xml:space="preserve"> PAGEREF _Toc218945909 \h </w:instrText>
            </w:r>
            <w:r>
              <w:rPr>
                <w:noProof/>
                <w:webHidden/>
              </w:rPr>
            </w:r>
            <w:r>
              <w:rPr>
                <w:noProof/>
                <w:webHidden/>
              </w:rPr>
              <w:fldChar w:fldCharType="separate"/>
            </w:r>
            <w:r>
              <w:rPr>
                <w:noProof/>
                <w:webHidden/>
              </w:rPr>
              <w:t>6</w:t>
            </w:r>
            <w:r>
              <w:rPr>
                <w:noProof/>
                <w:webHidden/>
              </w:rPr>
              <w:fldChar w:fldCharType="end"/>
            </w:r>
          </w:hyperlink>
        </w:p>
        <w:p w14:paraId="5355D2B4" w14:textId="77777777" w:rsidR="00186188" w:rsidRDefault="00186188" w:rsidP="00186188">
          <w:pPr>
            <w:pStyle w:val="TOC1"/>
            <w:tabs>
              <w:tab w:val="right" w:leader="dot" w:pos="9016"/>
            </w:tabs>
            <w:rPr>
              <w:b w:val="0"/>
              <w:bCs w:val="0"/>
              <w:caps w:val="0"/>
              <w:noProof/>
              <w:sz w:val="24"/>
              <w:szCs w:val="24"/>
              <w:lang w:eastAsia="en-GB"/>
            </w:rPr>
          </w:pPr>
          <w:hyperlink w:anchor="_Toc218945910" w:history="1">
            <w:r w:rsidRPr="0052114A">
              <w:rPr>
                <w:rStyle w:val="Hyperlink"/>
                <w:noProof/>
              </w:rPr>
              <w:t>3: The scale and composition of the net zero economy in the North of England</w:t>
            </w:r>
            <w:r>
              <w:rPr>
                <w:noProof/>
                <w:webHidden/>
              </w:rPr>
              <w:tab/>
            </w:r>
            <w:r>
              <w:rPr>
                <w:noProof/>
                <w:webHidden/>
              </w:rPr>
              <w:fldChar w:fldCharType="begin"/>
            </w:r>
            <w:r>
              <w:rPr>
                <w:noProof/>
                <w:webHidden/>
              </w:rPr>
              <w:instrText xml:space="preserve"> PAGEREF _Toc218945910 \h </w:instrText>
            </w:r>
            <w:r>
              <w:rPr>
                <w:noProof/>
                <w:webHidden/>
              </w:rPr>
            </w:r>
            <w:r>
              <w:rPr>
                <w:noProof/>
                <w:webHidden/>
              </w:rPr>
              <w:fldChar w:fldCharType="separate"/>
            </w:r>
            <w:r>
              <w:rPr>
                <w:noProof/>
                <w:webHidden/>
              </w:rPr>
              <w:t>8</w:t>
            </w:r>
            <w:r>
              <w:rPr>
                <w:noProof/>
                <w:webHidden/>
              </w:rPr>
              <w:fldChar w:fldCharType="end"/>
            </w:r>
          </w:hyperlink>
        </w:p>
        <w:p w14:paraId="1E813163" w14:textId="77777777" w:rsidR="00186188" w:rsidRDefault="00186188" w:rsidP="00186188">
          <w:pPr>
            <w:pStyle w:val="TOC2"/>
            <w:tabs>
              <w:tab w:val="right" w:leader="dot" w:pos="9016"/>
            </w:tabs>
            <w:rPr>
              <w:smallCaps w:val="0"/>
              <w:noProof/>
              <w:sz w:val="24"/>
              <w:szCs w:val="24"/>
              <w:lang w:eastAsia="en-GB"/>
            </w:rPr>
          </w:pPr>
          <w:hyperlink w:anchor="_Toc218945911" w:history="1">
            <w:r w:rsidRPr="0052114A">
              <w:rPr>
                <w:rStyle w:val="Hyperlink"/>
                <w:noProof/>
              </w:rPr>
              <w:t>3.1 ITL2 distribution: scale and specialisation</w:t>
            </w:r>
            <w:r>
              <w:rPr>
                <w:noProof/>
                <w:webHidden/>
              </w:rPr>
              <w:tab/>
            </w:r>
            <w:r>
              <w:rPr>
                <w:noProof/>
                <w:webHidden/>
              </w:rPr>
              <w:fldChar w:fldCharType="begin"/>
            </w:r>
            <w:r>
              <w:rPr>
                <w:noProof/>
                <w:webHidden/>
              </w:rPr>
              <w:instrText xml:space="preserve"> PAGEREF _Toc218945911 \h </w:instrText>
            </w:r>
            <w:r>
              <w:rPr>
                <w:noProof/>
                <w:webHidden/>
              </w:rPr>
            </w:r>
            <w:r>
              <w:rPr>
                <w:noProof/>
                <w:webHidden/>
              </w:rPr>
              <w:fldChar w:fldCharType="separate"/>
            </w:r>
            <w:r>
              <w:rPr>
                <w:noProof/>
                <w:webHidden/>
              </w:rPr>
              <w:t>9</w:t>
            </w:r>
            <w:r>
              <w:rPr>
                <w:noProof/>
                <w:webHidden/>
              </w:rPr>
              <w:fldChar w:fldCharType="end"/>
            </w:r>
          </w:hyperlink>
        </w:p>
        <w:p w14:paraId="5D506F51" w14:textId="77777777" w:rsidR="00186188" w:rsidRDefault="00186188" w:rsidP="00186188">
          <w:pPr>
            <w:pStyle w:val="TOC2"/>
            <w:tabs>
              <w:tab w:val="right" w:leader="dot" w:pos="9016"/>
            </w:tabs>
            <w:rPr>
              <w:smallCaps w:val="0"/>
              <w:noProof/>
              <w:sz w:val="24"/>
              <w:szCs w:val="24"/>
              <w:lang w:eastAsia="en-GB"/>
            </w:rPr>
          </w:pPr>
          <w:hyperlink w:anchor="_Toc218945912" w:history="1">
            <w:r w:rsidRPr="0052114A">
              <w:rPr>
                <w:rStyle w:val="Hyperlink"/>
                <w:noProof/>
              </w:rPr>
              <w:t>3.2 ITL3 distribution: geographic concentration</w:t>
            </w:r>
            <w:r>
              <w:rPr>
                <w:noProof/>
                <w:webHidden/>
              </w:rPr>
              <w:tab/>
            </w:r>
            <w:r>
              <w:rPr>
                <w:noProof/>
                <w:webHidden/>
              </w:rPr>
              <w:fldChar w:fldCharType="begin"/>
            </w:r>
            <w:r>
              <w:rPr>
                <w:noProof/>
                <w:webHidden/>
              </w:rPr>
              <w:instrText xml:space="preserve"> PAGEREF _Toc218945912 \h </w:instrText>
            </w:r>
            <w:r>
              <w:rPr>
                <w:noProof/>
                <w:webHidden/>
              </w:rPr>
            </w:r>
            <w:r>
              <w:rPr>
                <w:noProof/>
                <w:webHidden/>
              </w:rPr>
              <w:fldChar w:fldCharType="separate"/>
            </w:r>
            <w:r>
              <w:rPr>
                <w:noProof/>
                <w:webHidden/>
              </w:rPr>
              <w:t>11</w:t>
            </w:r>
            <w:r>
              <w:rPr>
                <w:noProof/>
                <w:webHidden/>
              </w:rPr>
              <w:fldChar w:fldCharType="end"/>
            </w:r>
          </w:hyperlink>
        </w:p>
        <w:p w14:paraId="71CB53C9" w14:textId="77777777" w:rsidR="00186188" w:rsidRDefault="00186188" w:rsidP="00186188">
          <w:pPr>
            <w:pStyle w:val="TOC1"/>
            <w:tabs>
              <w:tab w:val="right" w:leader="dot" w:pos="9016"/>
            </w:tabs>
            <w:rPr>
              <w:b w:val="0"/>
              <w:bCs w:val="0"/>
              <w:caps w:val="0"/>
              <w:noProof/>
              <w:sz w:val="24"/>
              <w:szCs w:val="24"/>
              <w:lang w:eastAsia="en-GB"/>
            </w:rPr>
          </w:pPr>
          <w:hyperlink w:anchor="_Toc218945913" w:history="1">
            <w:r w:rsidRPr="0052114A">
              <w:rPr>
                <w:rStyle w:val="Hyperlink"/>
                <w:noProof/>
              </w:rPr>
              <w:t>4: Productivity and value in the net zero economy</w:t>
            </w:r>
            <w:r>
              <w:rPr>
                <w:noProof/>
                <w:webHidden/>
              </w:rPr>
              <w:tab/>
            </w:r>
            <w:r>
              <w:rPr>
                <w:noProof/>
                <w:webHidden/>
              </w:rPr>
              <w:fldChar w:fldCharType="begin"/>
            </w:r>
            <w:r>
              <w:rPr>
                <w:noProof/>
                <w:webHidden/>
              </w:rPr>
              <w:instrText xml:space="preserve"> PAGEREF _Toc218945913 \h </w:instrText>
            </w:r>
            <w:r>
              <w:rPr>
                <w:noProof/>
                <w:webHidden/>
              </w:rPr>
            </w:r>
            <w:r>
              <w:rPr>
                <w:noProof/>
                <w:webHidden/>
              </w:rPr>
              <w:fldChar w:fldCharType="separate"/>
            </w:r>
            <w:r>
              <w:rPr>
                <w:noProof/>
                <w:webHidden/>
              </w:rPr>
              <w:t>14</w:t>
            </w:r>
            <w:r>
              <w:rPr>
                <w:noProof/>
                <w:webHidden/>
              </w:rPr>
              <w:fldChar w:fldCharType="end"/>
            </w:r>
          </w:hyperlink>
        </w:p>
        <w:p w14:paraId="205A2C4D" w14:textId="77777777" w:rsidR="00186188" w:rsidRDefault="00186188" w:rsidP="00186188">
          <w:pPr>
            <w:pStyle w:val="TOC2"/>
            <w:tabs>
              <w:tab w:val="right" w:leader="dot" w:pos="9016"/>
            </w:tabs>
            <w:rPr>
              <w:smallCaps w:val="0"/>
              <w:noProof/>
              <w:sz w:val="24"/>
              <w:szCs w:val="24"/>
              <w:lang w:eastAsia="en-GB"/>
            </w:rPr>
          </w:pPr>
          <w:hyperlink w:anchor="_Toc218945914" w:history="1">
            <w:r w:rsidRPr="0052114A">
              <w:rPr>
                <w:rStyle w:val="Hyperlink"/>
                <w:noProof/>
              </w:rPr>
              <w:t>4.1 ITL2 productivity distribution</w:t>
            </w:r>
            <w:r>
              <w:rPr>
                <w:noProof/>
                <w:webHidden/>
              </w:rPr>
              <w:tab/>
            </w:r>
            <w:r>
              <w:rPr>
                <w:noProof/>
                <w:webHidden/>
              </w:rPr>
              <w:fldChar w:fldCharType="begin"/>
            </w:r>
            <w:r>
              <w:rPr>
                <w:noProof/>
                <w:webHidden/>
              </w:rPr>
              <w:instrText xml:space="preserve"> PAGEREF _Toc218945914 \h </w:instrText>
            </w:r>
            <w:r>
              <w:rPr>
                <w:noProof/>
                <w:webHidden/>
              </w:rPr>
            </w:r>
            <w:r>
              <w:rPr>
                <w:noProof/>
                <w:webHidden/>
              </w:rPr>
              <w:fldChar w:fldCharType="separate"/>
            </w:r>
            <w:r>
              <w:rPr>
                <w:noProof/>
                <w:webHidden/>
              </w:rPr>
              <w:t>14</w:t>
            </w:r>
            <w:r>
              <w:rPr>
                <w:noProof/>
                <w:webHidden/>
              </w:rPr>
              <w:fldChar w:fldCharType="end"/>
            </w:r>
          </w:hyperlink>
        </w:p>
        <w:p w14:paraId="3E623733" w14:textId="77777777" w:rsidR="00186188" w:rsidRDefault="00186188" w:rsidP="00186188">
          <w:pPr>
            <w:pStyle w:val="TOC2"/>
            <w:tabs>
              <w:tab w:val="right" w:leader="dot" w:pos="9016"/>
            </w:tabs>
            <w:rPr>
              <w:smallCaps w:val="0"/>
              <w:noProof/>
              <w:sz w:val="24"/>
              <w:szCs w:val="24"/>
              <w:lang w:eastAsia="en-GB"/>
            </w:rPr>
          </w:pPr>
          <w:hyperlink w:anchor="_Toc218945915" w:history="1">
            <w:r w:rsidRPr="0052114A">
              <w:rPr>
                <w:rStyle w:val="Hyperlink"/>
                <w:noProof/>
              </w:rPr>
              <w:t>4.2 ITL3 productivity distribution</w:t>
            </w:r>
            <w:r>
              <w:rPr>
                <w:noProof/>
                <w:webHidden/>
              </w:rPr>
              <w:tab/>
            </w:r>
            <w:r>
              <w:rPr>
                <w:noProof/>
                <w:webHidden/>
              </w:rPr>
              <w:fldChar w:fldCharType="begin"/>
            </w:r>
            <w:r>
              <w:rPr>
                <w:noProof/>
                <w:webHidden/>
              </w:rPr>
              <w:instrText xml:space="preserve"> PAGEREF _Toc218945915 \h </w:instrText>
            </w:r>
            <w:r>
              <w:rPr>
                <w:noProof/>
                <w:webHidden/>
              </w:rPr>
            </w:r>
            <w:r>
              <w:rPr>
                <w:noProof/>
                <w:webHidden/>
              </w:rPr>
              <w:fldChar w:fldCharType="separate"/>
            </w:r>
            <w:r>
              <w:rPr>
                <w:noProof/>
                <w:webHidden/>
              </w:rPr>
              <w:t>15</w:t>
            </w:r>
            <w:r>
              <w:rPr>
                <w:noProof/>
                <w:webHidden/>
              </w:rPr>
              <w:fldChar w:fldCharType="end"/>
            </w:r>
          </w:hyperlink>
        </w:p>
        <w:p w14:paraId="58EC8654" w14:textId="77777777" w:rsidR="00186188" w:rsidRDefault="00186188" w:rsidP="00186188">
          <w:pPr>
            <w:pStyle w:val="TOC2"/>
            <w:tabs>
              <w:tab w:val="right" w:leader="dot" w:pos="9016"/>
            </w:tabs>
            <w:rPr>
              <w:smallCaps w:val="0"/>
              <w:noProof/>
              <w:sz w:val="24"/>
              <w:szCs w:val="24"/>
              <w:lang w:eastAsia="en-GB"/>
            </w:rPr>
          </w:pPr>
          <w:hyperlink w:anchor="_Toc218945916" w:history="1">
            <w:r w:rsidRPr="0052114A">
              <w:rPr>
                <w:rStyle w:val="Hyperlink"/>
                <w:noProof/>
              </w:rPr>
              <w:t>4.3 Relationships between employment, output and productivity</w:t>
            </w:r>
            <w:r>
              <w:rPr>
                <w:noProof/>
                <w:webHidden/>
              </w:rPr>
              <w:tab/>
            </w:r>
            <w:r>
              <w:rPr>
                <w:noProof/>
                <w:webHidden/>
              </w:rPr>
              <w:fldChar w:fldCharType="begin"/>
            </w:r>
            <w:r>
              <w:rPr>
                <w:noProof/>
                <w:webHidden/>
              </w:rPr>
              <w:instrText xml:space="preserve"> PAGEREF _Toc218945916 \h </w:instrText>
            </w:r>
            <w:r>
              <w:rPr>
                <w:noProof/>
                <w:webHidden/>
              </w:rPr>
            </w:r>
            <w:r>
              <w:rPr>
                <w:noProof/>
                <w:webHidden/>
              </w:rPr>
              <w:fldChar w:fldCharType="separate"/>
            </w:r>
            <w:r>
              <w:rPr>
                <w:noProof/>
                <w:webHidden/>
              </w:rPr>
              <w:t>15</w:t>
            </w:r>
            <w:r>
              <w:rPr>
                <w:noProof/>
                <w:webHidden/>
              </w:rPr>
              <w:fldChar w:fldCharType="end"/>
            </w:r>
          </w:hyperlink>
        </w:p>
        <w:p w14:paraId="04EA2673" w14:textId="77777777" w:rsidR="00186188" w:rsidRDefault="00186188" w:rsidP="00186188">
          <w:pPr>
            <w:pStyle w:val="TOC2"/>
            <w:tabs>
              <w:tab w:val="right" w:leader="dot" w:pos="9016"/>
            </w:tabs>
            <w:rPr>
              <w:smallCaps w:val="0"/>
              <w:noProof/>
              <w:sz w:val="24"/>
              <w:szCs w:val="24"/>
              <w:lang w:eastAsia="en-GB"/>
            </w:rPr>
          </w:pPr>
          <w:hyperlink w:anchor="_Toc218945917" w:history="1">
            <w:r w:rsidRPr="0052114A">
              <w:rPr>
                <w:rStyle w:val="Hyperlink"/>
                <w:noProof/>
              </w:rPr>
              <w:t>4.4 Implications for economic structure</w:t>
            </w:r>
            <w:r>
              <w:rPr>
                <w:noProof/>
                <w:webHidden/>
              </w:rPr>
              <w:tab/>
            </w:r>
            <w:r>
              <w:rPr>
                <w:noProof/>
                <w:webHidden/>
              </w:rPr>
              <w:fldChar w:fldCharType="begin"/>
            </w:r>
            <w:r>
              <w:rPr>
                <w:noProof/>
                <w:webHidden/>
              </w:rPr>
              <w:instrText xml:space="preserve"> PAGEREF _Toc218945917 \h </w:instrText>
            </w:r>
            <w:r>
              <w:rPr>
                <w:noProof/>
                <w:webHidden/>
              </w:rPr>
            </w:r>
            <w:r>
              <w:rPr>
                <w:noProof/>
                <w:webHidden/>
              </w:rPr>
              <w:fldChar w:fldCharType="separate"/>
            </w:r>
            <w:r>
              <w:rPr>
                <w:noProof/>
                <w:webHidden/>
              </w:rPr>
              <w:t>16</w:t>
            </w:r>
            <w:r>
              <w:rPr>
                <w:noProof/>
                <w:webHidden/>
              </w:rPr>
              <w:fldChar w:fldCharType="end"/>
            </w:r>
          </w:hyperlink>
        </w:p>
        <w:p w14:paraId="25D1CCC4" w14:textId="77777777" w:rsidR="00186188" w:rsidRDefault="00186188" w:rsidP="00186188">
          <w:pPr>
            <w:pStyle w:val="TOC1"/>
            <w:tabs>
              <w:tab w:val="right" w:leader="dot" w:pos="9016"/>
            </w:tabs>
            <w:rPr>
              <w:b w:val="0"/>
              <w:bCs w:val="0"/>
              <w:caps w:val="0"/>
              <w:noProof/>
              <w:sz w:val="24"/>
              <w:szCs w:val="24"/>
              <w:lang w:eastAsia="en-GB"/>
            </w:rPr>
          </w:pPr>
          <w:hyperlink w:anchor="_Toc218945918" w:history="1">
            <w:r w:rsidRPr="0052114A">
              <w:rPr>
                <w:rStyle w:val="Hyperlink"/>
                <w:noProof/>
              </w:rPr>
              <w:t>5: Investment in the net zero economy</w:t>
            </w:r>
            <w:r>
              <w:rPr>
                <w:noProof/>
                <w:webHidden/>
              </w:rPr>
              <w:tab/>
            </w:r>
            <w:r>
              <w:rPr>
                <w:noProof/>
                <w:webHidden/>
              </w:rPr>
              <w:fldChar w:fldCharType="begin"/>
            </w:r>
            <w:r>
              <w:rPr>
                <w:noProof/>
                <w:webHidden/>
              </w:rPr>
              <w:instrText xml:space="preserve"> PAGEREF _Toc218945918 \h </w:instrText>
            </w:r>
            <w:r>
              <w:rPr>
                <w:noProof/>
                <w:webHidden/>
              </w:rPr>
            </w:r>
            <w:r>
              <w:rPr>
                <w:noProof/>
                <w:webHidden/>
              </w:rPr>
              <w:fldChar w:fldCharType="separate"/>
            </w:r>
            <w:r>
              <w:rPr>
                <w:noProof/>
                <w:webHidden/>
              </w:rPr>
              <w:t>19</w:t>
            </w:r>
            <w:r>
              <w:rPr>
                <w:noProof/>
                <w:webHidden/>
              </w:rPr>
              <w:fldChar w:fldCharType="end"/>
            </w:r>
          </w:hyperlink>
        </w:p>
        <w:p w14:paraId="7CA93D83" w14:textId="77777777" w:rsidR="00186188" w:rsidRDefault="00186188" w:rsidP="00186188">
          <w:pPr>
            <w:pStyle w:val="TOC2"/>
            <w:tabs>
              <w:tab w:val="right" w:leader="dot" w:pos="9016"/>
            </w:tabs>
            <w:rPr>
              <w:smallCaps w:val="0"/>
              <w:noProof/>
              <w:sz w:val="24"/>
              <w:szCs w:val="24"/>
              <w:lang w:eastAsia="en-GB"/>
            </w:rPr>
          </w:pPr>
          <w:hyperlink w:anchor="_Toc218945919" w:history="1">
            <w:r w:rsidRPr="0052114A">
              <w:rPr>
                <w:rStyle w:val="Hyperlink"/>
                <w:noProof/>
              </w:rPr>
              <w:t>5.1 Strategic roles at ITL2 level</w:t>
            </w:r>
            <w:r>
              <w:rPr>
                <w:noProof/>
                <w:webHidden/>
              </w:rPr>
              <w:tab/>
            </w:r>
            <w:r>
              <w:rPr>
                <w:noProof/>
                <w:webHidden/>
              </w:rPr>
              <w:fldChar w:fldCharType="begin"/>
            </w:r>
            <w:r>
              <w:rPr>
                <w:noProof/>
                <w:webHidden/>
              </w:rPr>
              <w:instrText xml:space="preserve"> PAGEREF _Toc218945919 \h </w:instrText>
            </w:r>
            <w:r>
              <w:rPr>
                <w:noProof/>
                <w:webHidden/>
              </w:rPr>
            </w:r>
            <w:r>
              <w:rPr>
                <w:noProof/>
                <w:webHidden/>
              </w:rPr>
              <w:fldChar w:fldCharType="separate"/>
            </w:r>
            <w:r>
              <w:rPr>
                <w:noProof/>
                <w:webHidden/>
              </w:rPr>
              <w:t>19</w:t>
            </w:r>
            <w:r>
              <w:rPr>
                <w:noProof/>
                <w:webHidden/>
              </w:rPr>
              <w:fldChar w:fldCharType="end"/>
            </w:r>
          </w:hyperlink>
        </w:p>
        <w:p w14:paraId="03A9C148" w14:textId="77777777" w:rsidR="00186188" w:rsidRDefault="00186188" w:rsidP="00186188">
          <w:pPr>
            <w:pStyle w:val="TOC2"/>
            <w:tabs>
              <w:tab w:val="right" w:leader="dot" w:pos="9016"/>
            </w:tabs>
            <w:rPr>
              <w:smallCaps w:val="0"/>
              <w:noProof/>
              <w:sz w:val="24"/>
              <w:szCs w:val="24"/>
              <w:lang w:eastAsia="en-GB"/>
            </w:rPr>
          </w:pPr>
          <w:hyperlink w:anchor="_Toc218945920" w:history="1">
            <w:r w:rsidRPr="0052114A">
              <w:rPr>
                <w:rStyle w:val="Hyperlink"/>
                <w:noProof/>
              </w:rPr>
              <w:t>5.2 Local differentiation at ITL3 level</w:t>
            </w:r>
            <w:r>
              <w:rPr>
                <w:noProof/>
                <w:webHidden/>
              </w:rPr>
              <w:tab/>
            </w:r>
            <w:r>
              <w:rPr>
                <w:noProof/>
                <w:webHidden/>
              </w:rPr>
              <w:fldChar w:fldCharType="begin"/>
            </w:r>
            <w:r>
              <w:rPr>
                <w:noProof/>
                <w:webHidden/>
              </w:rPr>
              <w:instrText xml:space="preserve"> PAGEREF _Toc218945920 \h </w:instrText>
            </w:r>
            <w:r>
              <w:rPr>
                <w:noProof/>
                <w:webHidden/>
              </w:rPr>
            </w:r>
            <w:r>
              <w:rPr>
                <w:noProof/>
                <w:webHidden/>
              </w:rPr>
              <w:fldChar w:fldCharType="separate"/>
            </w:r>
            <w:r>
              <w:rPr>
                <w:noProof/>
                <w:webHidden/>
              </w:rPr>
              <w:t>20</w:t>
            </w:r>
            <w:r>
              <w:rPr>
                <w:noProof/>
                <w:webHidden/>
              </w:rPr>
              <w:fldChar w:fldCharType="end"/>
            </w:r>
          </w:hyperlink>
        </w:p>
        <w:p w14:paraId="22688FD8" w14:textId="77777777" w:rsidR="00186188" w:rsidRDefault="00186188" w:rsidP="00186188">
          <w:pPr>
            <w:pStyle w:val="TOC2"/>
            <w:tabs>
              <w:tab w:val="right" w:leader="dot" w:pos="9016"/>
            </w:tabs>
            <w:rPr>
              <w:smallCaps w:val="0"/>
              <w:noProof/>
              <w:sz w:val="24"/>
              <w:szCs w:val="24"/>
              <w:lang w:eastAsia="en-GB"/>
            </w:rPr>
          </w:pPr>
          <w:hyperlink w:anchor="_Toc218945921" w:history="1">
            <w:r w:rsidRPr="0052114A">
              <w:rPr>
                <w:rStyle w:val="Hyperlink"/>
                <w:noProof/>
              </w:rPr>
              <w:t>5.3 Aligning investment approaches to place-based roles</w:t>
            </w:r>
            <w:r>
              <w:rPr>
                <w:noProof/>
                <w:webHidden/>
              </w:rPr>
              <w:tab/>
            </w:r>
            <w:r>
              <w:rPr>
                <w:noProof/>
                <w:webHidden/>
              </w:rPr>
              <w:fldChar w:fldCharType="begin"/>
            </w:r>
            <w:r>
              <w:rPr>
                <w:noProof/>
                <w:webHidden/>
              </w:rPr>
              <w:instrText xml:space="preserve"> PAGEREF _Toc218945921 \h </w:instrText>
            </w:r>
            <w:r>
              <w:rPr>
                <w:noProof/>
                <w:webHidden/>
              </w:rPr>
            </w:r>
            <w:r>
              <w:rPr>
                <w:noProof/>
                <w:webHidden/>
              </w:rPr>
              <w:fldChar w:fldCharType="separate"/>
            </w:r>
            <w:r>
              <w:rPr>
                <w:noProof/>
                <w:webHidden/>
              </w:rPr>
              <w:t>21</w:t>
            </w:r>
            <w:r>
              <w:rPr>
                <w:noProof/>
                <w:webHidden/>
              </w:rPr>
              <w:fldChar w:fldCharType="end"/>
            </w:r>
          </w:hyperlink>
        </w:p>
        <w:p w14:paraId="20631D26" w14:textId="77777777" w:rsidR="00186188" w:rsidRDefault="00186188" w:rsidP="00186188">
          <w:pPr>
            <w:pStyle w:val="TOC2"/>
            <w:tabs>
              <w:tab w:val="right" w:leader="dot" w:pos="9016"/>
            </w:tabs>
            <w:rPr>
              <w:smallCaps w:val="0"/>
              <w:noProof/>
              <w:sz w:val="24"/>
              <w:szCs w:val="24"/>
              <w:lang w:eastAsia="en-GB"/>
            </w:rPr>
          </w:pPr>
          <w:hyperlink w:anchor="_Toc218945922" w:history="1">
            <w:r w:rsidRPr="0052114A">
              <w:rPr>
                <w:rStyle w:val="Hyperlink"/>
                <w:noProof/>
              </w:rPr>
              <w:t>5.4 Implications for public and private investment</w:t>
            </w:r>
            <w:r>
              <w:rPr>
                <w:noProof/>
                <w:webHidden/>
              </w:rPr>
              <w:tab/>
            </w:r>
            <w:r>
              <w:rPr>
                <w:noProof/>
                <w:webHidden/>
              </w:rPr>
              <w:fldChar w:fldCharType="begin"/>
            </w:r>
            <w:r>
              <w:rPr>
                <w:noProof/>
                <w:webHidden/>
              </w:rPr>
              <w:instrText xml:space="preserve"> PAGEREF _Toc218945922 \h </w:instrText>
            </w:r>
            <w:r>
              <w:rPr>
                <w:noProof/>
                <w:webHidden/>
              </w:rPr>
            </w:r>
            <w:r>
              <w:rPr>
                <w:noProof/>
                <w:webHidden/>
              </w:rPr>
              <w:fldChar w:fldCharType="separate"/>
            </w:r>
            <w:r>
              <w:rPr>
                <w:noProof/>
                <w:webHidden/>
              </w:rPr>
              <w:t>21</w:t>
            </w:r>
            <w:r>
              <w:rPr>
                <w:noProof/>
                <w:webHidden/>
              </w:rPr>
              <w:fldChar w:fldCharType="end"/>
            </w:r>
          </w:hyperlink>
        </w:p>
        <w:p w14:paraId="1561FFD1" w14:textId="77777777" w:rsidR="00186188" w:rsidRDefault="00186188" w:rsidP="00186188">
          <w:pPr>
            <w:pStyle w:val="TOC2"/>
            <w:tabs>
              <w:tab w:val="right" w:leader="dot" w:pos="9016"/>
            </w:tabs>
            <w:rPr>
              <w:smallCaps w:val="0"/>
              <w:noProof/>
              <w:sz w:val="24"/>
              <w:szCs w:val="24"/>
              <w:lang w:eastAsia="en-GB"/>
            </w:rPr>
          </w:pPr>
          <w:hyperlink w:anchor="_Toc218945923" w:history="1">
            <w:r w:rsidRPr="0052114A">
              <w:rPr>
                <w:rStyle w:val="Hyperlink"/>
                <w:noProof/>
              </w:rPr>
              <w:t>5.5 From analysis to delivery</w:t>
            </w:r>
            <w:r>
              <w:rPr>
                <w:noProof/>
                <w:webHidden/>
              </w:rPr>
              <w:tab/>
            </w:r>
            <w:r>
              <w:rPr>
                <w:noProof/>
                <w:webHidden/>
              </w:rPr>
              <w:fldChar w:fldCharType="begin"/>
            </w:r>
            <w:r>
              <w:rPr>
                <w:noProof/>
                <w:webHidden/>
              </w:rPr>
              <w:instrText xml:space="preserve"> PAGEREF _Toc218945923 \h </w:instrText>
            </w:r>
            <w:r>
              <w:rPr>
                <w:noProof/>
                <w:webHidden/>
              </w:rPr>
            </w:r>
            <w:r>
              <w:rPr>
                <w:noProof/>
                <w:webHidden/>
              </w:rPr>
              <w:fldChar w:fldCharType="separate"/>
            </w:r>
            <w:r>
              <w:rPr>
                <w:noProof/>
                <w:webHidden/>
              </w:rPr>
              <w:t>22</w:t>
            </w:r>
            <w:r>
              <w:rPr>
                <w:noProof/>
                <w:webHidden/>
              </w:rPr>
              <w:fldChar w:fldCharType="end"/>
            </w:r>
          </w:hyperlink>
        </w:p>
        <w:p w14:paraId="6B9FB390" w14:textId="77777777" w:rsidR="00186188" w:rsidRDefault="00186188" w:rsidP="00186188">
          <w:pPr>
            <w:pStyle w:val="TOC1"/>
            <w:tabs>
              <w:tab w:val="right" w:leader="dot" w:pos="9016"/>
            </w:tabs>
            <w:rPr>
              <w:b w:val="0"/>
              <w:bCs w:val="0"/>
              <w:caps w:val="0"/>
              <w:noProof/>
              <w:sz w:val="24"/>
              <w:szCs w:val="24"/>
              <w:lang w:eastAsia="en-GB"/>
            </w:rPr>
          </w:pPr>
          <w:hyperlink w:anchor="_Toc218945924" w:history="1">
            <w:r w:rsidRPr="0052114A">
              <w:rPr>
                <w:rStyle w:val="Hyperlink"/>
                <w:noProof/>
              </w:rPr>
              <w:t>6: Case studies: net zero delivery in the North of England</w:t>
            </w:r>
            <w:r>
              <w:rPr>
                <w:noProof/>
                <w:webHidden/>
              </w:rPr>
              <w:tab/>
            </w:r>
            <w:r>
              <w:rPr>
                <w:noProof/>
                <w:webHidden/>
              </w:rPr>
              <w:fldChar w:fldCharType="begin"/>
            </w:r>
            <w:r>
              <w:rPr>
                <w:noProof/>
                <w:webHidden/>
              </w:rPr>
              <w:instrText xml:space="preserve"> PAGEREF _Toc218945924 \h </w:instrText>
            </w:r>
            <w:r>
              <w:rPr>
                <w:noProof/>
                <w:webHidden/>
              </w:rPr>
            </w:r>
            <w:r>
              <w:rPr>
                <w:noProof/>
                <w:webHidden/>
              </w:rPr>
              <w:fldChar w:fldCharType="separate"/>
            </w:r>
            <w:r>
              <w:rPr>
                <w:noProof/>
                <w:webHidden/>
              </w:rPr>
              <w:t>23</w:t>
            </w:r>
            <w:r>
              <w:rPr>
                <w:noProof/>
                <w:webHidden/>
              </w:rPr>
              <w:fldChar w:fldCharType="end"/>
            </w:r>
          </w:hyperlink>
        </w:p>
        <w:p w14:paraId="382E8BB2" w14:textId="77777777" w:rsidR="00186188" w:rsidRDefault="00186188" w:rsidP="00186188">
          <w:pPr>
            <w:pStyle w:val="TOC2"/>
            <w:tabs>
              <w:tab w:val="right" w:leader="dot" w:pos="9016"/>
            </w:tabs>
            <w:rPr>
              <w:smallCaps w:val="0"/>
              <w:noProof/>
              <w:sz w:val="24"/>
              <w:szCs w:val="24"/>
              <w:lang w:eastAsia="en-GB"/>
            </w:rPr>
          </w:pPr>
          <w:hyperlink w:anchor="_Toc218945927" w:history="1">
            <w:r w:rsidRPr="0052114A">
              <w:rPr>
                <w:rStyle w:val="Hyperlink"/>
                <w:noProof/>
              </w:rPr>
              <w:t>Bioenergy with carbon capture at Drax Power Station</w:t>
            </w:r>
            <w:r>
              <w:rPr>
                <w:noProof/>
                <w:webHidden/>
              </w:rPr>
              <w:tab/>
            </w:r>
            <w:r>
              <w:rPr>
                <w:noProof/>
                <w:webHidden/>
              </w:rPr>
              <w:fldChar w:fldCharType="begin"/>
            </w:r>
            <w:r>
              <w:rPr>
                <w:noProof/>
                <w:webHidden/>
              </w:rPr>
              <w:instrText xml:space="preserve"> PAGEREF _Toc218945927 \h </w:instrText>
            </w:r>
            <w:r>
              <w:rPr>
                <w:noProof/>
                <w:webHidden/>
              </w:rPr>
            </w:r>
            <w:r>
              <w:rPr>
                <w:noProof/>
                <w:webHidden/>
              </w:rPr>
              <w:fldChar w:fldCharType="separate"/>
            </w:r>
            <w:r>
              <w:rPr>
                <w:noProof/>
                <w:webHidden/>
              </w:rPr>
              <w:t>23</w:t>
            </w:r>
            <w:r>
              <w:rPr>
                <w:noProof/>
                <w:webHidden/>
              </w:rPr>
              <w:fldChar w:fldCharType="end"/>
            </w:r>
          </w:hyperlink>
        </w:p>
        <w:p w14:paraId="6CB1FFA8" w14:textId="77777777" w:rsidR="00186188" w:rsidRDefault="00186188" w:rsidP="00186188">
          <w:pPr>
            <w:pStyle w:val="TOC2"/>
            <w:tabs>
              <w:tab w:val="right" w:leader="dot" w:pos="9016"/>
            </w:tabs>
            <w:rPr>
              <w:smallCaps w:val="0"/>
              <w:noProof/>
              <w:sz w:val="24"/>
              <w:szCs w:val="24"/>
              <w:lang w:eastAsia="en-GB"/>
            </w:rPr>
          </w:pPr>
          <w:hyperlink w:anchor="_Toc218945928" w:history="1">
            <w:r w:rsidRPr="0052114A">
              <w:rPr>
                <w:rStyle w:val="Hyperlink"/>
                <w:noProof/>
              </w:rPr>
              <w:t>Industrial decarbonisation and carbon capture in the Humber</w:t>
            </w:r>
            <w:r>
              <w:rPr>
                <w:noProof/>
                <w:webHidden/>
              </w:rPr>
              <w:tab/>
            </w:r>
            <w:r>
              <w:rPr>
                <w:noProof/>
                <w:webHidden/>
              </w:rPr>
              <w:fldChar w:fldCharType="begin"/>
            </w:r>
            <w:r>
              <w:rPr>
                <w:noProof/>
                <w:webHidden/>
              </w:rPr>
              <w:instrText xml:space="preserve"> PAGEREF _Toc218945928 \h </w:instrText>
            </w:r>
            <w:r>
              <w:rPr>
                <w:noProof/>
                <w:webHidden/>
              </w:rPr>
            </w:r>
            <w:r>
              <w:rPr>
                <w:noProof/>
                <w:webHidden/>
              </w:rPr>
              <w:fldChar w:fldCharType="separate"/>
            </w:r>
            <w:r>
              <w:rPr>
                <w:noProof/>
                <w:webHidden/>
              </w:rPr>
              <w:t>24</w:t>
            </w:r>
            <w:r>
              <w:rPr>
                <w:noProof/>
                <w:webHidden/>
              </w:rPr>
              <w:fldChar w:fldCharType="end"/>
            </w:r>
          </w:hyperlink>
        </w:p>
        <w:p w14:paraId="03A9C1A0" w14:textId="77777777" w:rsidR="00186188" w:rsidRDefault="00186188" w:rsidP="00186188">
          <w:pPr>
            <w:pStyle w:val="TOC2"/>
            <w:tabs>
              <w:tab w:val="right" w:leader="dot" w:pos="9016"/>
            </w:tabs>
            <w:rPr>
              <w:smallCaps w:val="0"/>
              <w:noProof/>
              <w:sz w:val="24"/>
              <w:szCs w:val="24"/>
              <w:lang w:eastAsia="en-GB"/>
            </w:rPr>
          </w:pPr>
          <w:hyperlink w:anchor="_Toc218945929" w:history="1">
            <w:r w:rsidRPr="0052114A">
              <w:rPr>
                <w:rStyle w:val="Hyperlink"/>
                <w:noProof/>
              </w:rPr>
              <w:t>Lessons for net zero delivery in the North</w:t>
            </w:r>
            <w:r>
              <w:rPr>
                <w:noProof/>
                <w:webHidden/>
              </w:rPr>
              <w:tab/>
            </w:r>
            <w:r>
              <w:rPr>
                <w:noProof/>
                <w:webHidden/>
              </w:rPr>
              <w:fldChar w:fldCharType="begin"/>
            </w:r>
            <w:r>
              <w:rPr>
                <w:noProof/>
                <w:webHidden/>
              </w:rPr>
              <w:instrText xml:space="preserve"> PAGEREF _Toc218945929 \h </w:instrText>
            </w:r>
            <w:r>
              <w:rPr>
                <w:noProof/>
                <w:webHidden/>
              </w:rPr>
            </w:r>
            <w:r>
              <w:rPr>
                <w:noProof/>
                <w:webHidden/>
              </w:rPr>
              <w:fldChar w:fldCharType="separate"/>
            </w:r>
            <w:r>
              <w:rPr>
                <w:noProof/>
                <w:webHidden/>
              </w:rPr>
              <w:t>25</w:t>
            </w:r>
            <w:r>
              <w:rPr>
                <w:noProof/>
                <w:webHidden/>
              </w:rPr>
              <w:fldChar w:fldCharType="end"/>
            </w:r>
          </w:hyperlink>
        </w:p>
        <w:p w14:paraId="2275D8B0" w14:textId="77777777" w:rsidR="00186188" w:rsidRDefault="00186188" w:rsidP="00186188">
          <w:pPr>
            <w:pStyle w:val="TOC1"/>
            <w:tabs>
              <w:tab w:val="right" w:leader="dot" w:pos="9016"/>
            </w:tabs>
            <w:rPr>
              <w:b w:val="0"/>
              <w:bCs w:val="0"/>
              <w:caps w:val="0"/>
              <w:noProof/>
              <w:sz w:val="24"/>
              <w:szCs w:val="24"/>
              <w:lang w:eastAsia="en-GB"/>
            </w:rPr>
          </w:pPr>
          <w:hyperlink w:anchor="_Toc218945930" w:history="1">
            <w:r w:rsidRPr="0052114A">
              <w:rPr>
                <w:rStyle w:val="Hyperlink"/>
                <w:noProof/>
              </w:rPr>
              <w:t>7: Barriers to growth in the net zero economy</w:t>
            </w:r>
            <w:r>
              <w:rPr>
                <w:noProof/>
                <w:webHidden/>
              </w:rPr>
              <w:tab/>
            </w:r>
            <w:r>
              <w:rPr>
                <w:noProof/>
                <w:webHidden/>
              </w:rPr>
              <w:fldChar w:fldCharType="begin"/>
            </w:r>
            <w:r>
              <w:rPr>
                <w:noProof/>
                <w:webHidden/>
              </w:rPr>
              <w:instrText xml:space="preserve"> PAGEREF _Toc218945930 \h </w:instrText>
            </w:r>
            <w:r>
              <w:rPr>
                <w:noProof/>
                <w:webHidden/>
              </w:rPr>
            </w:r>
            <w:r>
              <w:rPr>
                <w:noProof/>
                <w:webHidden/>
              </w:rPr>
              <w:fldChar w:fldCharType="separate"/>
            </w:r>
            <w:r>
              <w:rPr>
                <w:noProof/>
                <w:webHidden/>
              </w:rPr>
              <w:t>26</w:t>
            </w:r>
            <w:r>
              <w:rPr>
                <w:noProof/>
                <w:webHidden/>
              </w:rPr>
              <w:fldChar w:fldCharType="end"/>
            </w:r>
          </w:hyperlink>
        </w:p>
        <w:p w14:paraId="1E06AF4E" w14:textId="77777777" w:rsidR="00186188" w:rsidRDefault="00186188" w:rsidP="00186188">
          <w:pPr>
            <w:pStyle w:val="TOC1"/>
            <w:tabs>
              <w:tab w:val="right" w:leader="dot" w:pos="9016"/>
            </w:tabs>
            <w:rPr>
              <w:b w:val="0"/>
              <w:bCs w:val="0"/>
              <w:caps w:val="0"/>
              <w:noProof/>
              <w:sz w:val="24"/>
              <w:szCs w:val="24"/>
              <w:lang w:eastAsia="en-GB"/>
            </w:rPr>
          </w:pPr>
          <w:hyperlink w:anchor="_Toc218945931" w:history="1">
            <w:r w:rsidRPr="0052114A">
              <w:rPr>
                <w:rStyle w:val="Hyperlink"/>
                <w:noProof/>
              </w:rPr>
              <w:t>8: Policy implications for the net zero economy in the North of England</w:t>
            </w:r>
            <w:r>
              <w:rPr>
                <w:noProof/>
                <w:webHidden/>
              </w:rPr>
              <w:tab/>
            </w:r>
            <w:r>
              <w:rPr>
                <w:noProof/>
                <w:webHidden/>
              </w:rPr>
              <w:fldChar w:fldCharType="begin"/>
            </w:r>
            <w:r>
              <w:rPr>
                <w:noProof/>
                <w:webHidden/>
              </w:rPr>
              <w:instrText xml:space="preserve"> PAGEREF _Toc218945931 \h </w:instrText>
            </w:r>
            <w:r>
              <w:rPr>
                <w:noProof/>
                <w:webHidden/>
              </w:rPr>
            </w:r>
            <w:r>
              <w:rPr>
                <w:noProof/>
                <w:webHidden/>
              </w:rPr>
              <w:fldChar w:fldCharType="separate"/>
            </w:r>
            <w:r>
              <w:rPr>
                <w:noProof/>
                <w:webHidden/>
              </w:rPr>
              <w:t>28</w:t>
            </w:r>
            <w:r>
              <w:rPr>
                <w:noProof/>
                <w:webHidden/>
              </w:rPr>
              <w:fldChar w:fldCharType="end"/>
            </w:r>
          </w:hyperlink>
        </w:p>
        <w:p w14:paraId="0180153D" w14:textId="77777777" w:rsidR="00186188" w:rsidRDefault="00186188" w:rsidP="00186188">
          <w:pPr>
            <w:pStyle w:val="TOC1"/>
            <w:tabs>
              <w:tab w:val="right" w:leader="dot" w:pos="9016"/>
            </w:tabs>
            <w:rPr>
              <w:b w:val="0"/>
              <w:bCs w:val="0"/>
              <w:caps w:val="0"/>
              <w:noProof/>
              <w:sz w:val="24"/>
              <w:szCs w:val="24"/>
              <w:lang w:eastAsia="en-GB"/>
            </w:rPr>
          </w:pPr>
          <w:hyperlink w:anchor="_Toc218945932" w:history="1">
            <w:r w:rsidRPr="0052114A">
              <w:rPr>
                <w:rStyle w:val="Hyperlink"/>
                <w:noProof/>
              </w:rPr>
              <w:t>Appendix A: Methodology</w:t>
            </w:r>
            <w:r>
              <w:rPr>
                <w:noProof/>
                <w:webHidden/>
              </w:rPr>
              <w:tab/>
            </w:r>
            <w:r>
              <w:rPr>
                <w:noProof/>
                <w:webHidden/>
              </w:rPr>
              <w:fldChar w:fldCharType="begin"/>
            </w:r>
            <w:r>
              <w:rPr>
                <w:noProof/>
                <w:webHidden/>
              </w:rPr>
              <w:instrText xml:space="preserve"> PAGEREF _Toc218945932 \h </w:instrText>
            </w:r>
            <w:r>
              <w:rPr>
                <w:noProof/>
                <w:webHidden/>
              </w:rPr>
            </w:r>
            <w:r>
              <w:rPr>
                <w:noProof/>
                <w:webHidden/>
              </w:rPr>
              <w:fldChar w:fldCharType="separate"/>
            </w:r>
            <w:r>
              <w:rPr>
                <w:noProof/>
                <w:webHidden/>
              </w:rPr>
              <w:t>30</w:t>
            </w:r>
            <w:r>
              <w:rPr>
                <w:noProof/>
                <w:webHidden/>
              </w:rPr>
              <w:fldChar w:fldCharType="end"/>
            </w:r>
          </w:hyperlink>
        </w:p>
        <w:p w14:paraId="29BB66BB" w14:textId="77777777" w:rsidR="00186188" w:rsidRDefault="00186188" w:rsidP="00186188">
          <w:pPr>
            <w:pStyle w:val="TOC1"/>
            <w:tabs>
              <w:tab w:val="right" w:leader="dot" w:pos="9016"/>
            </w:tabs>
            <w:rPr>
              <w:b w:val="0"/>
              <w:bCs w:val="0"/>
              <w:caps w:val="0"/>
              <w:noProof/>
              <w:sz w:val="24"/>
              <w:szCs w:val="24"/>
              <w:lang w:eastAsia="en-GB"/>
            </w:rPr>
          </w:pPr>
          <w:hyperlink w:anchor="_Toc218945933" w:history="1">
            <w:r w:rsidRPr="0052114A">
              <w:rPr>
                <w:rStyle w:val="Hyperlink"/>
                <w:noProof/>
              </w:rPr>
              <w:t>Appendix B: Northern ITL2 Areas Full Table</w:t>
            </w:r>
            <w:r>
              <w:rPr>
                <w:noProof/>
                <w:webHidden/>
              </w:rPr>
              <w:tab/>
            </w:r>
            <w:r>
              <w:rPr>
                <w:noProof/>
                <w:webHidden/>
              </w:rPr>
              <w:fldChar w:fldCharType="begin"/>
            </w:r>
            <w:r>
              <w:rPr>
                <w:noProof/>
                <w:webHidden/>
              </w:rPr>
              <w:instrText xml:space="preserve"> PAGEREF _Toc218945933 \h </w:instrText>
            </w:r>
            <w:r>
              <w:rPr>
                <w:noProof/>
                <w:webHidden/>
              </w:rPr>
            </w:r>
            <w:r>
              <w:rPr>
                <w:noProof/>
                <w:webHidden/>
              </w:rPr>
              <w:fldChar w:fldCharType="separate"/>
            </w:r>
            <w:r>
              <w:rPr>
                <w:noProof/>
                <w:webHidden/>
              </w:rPr>
              <w:t>31</w:t>
            </w:r>
            <w:r>
              <w:rPr>
                <w:noProof/>
                <w:webHidden/>
              </w:rPr>
              <w:fldChar w:fldCharType="end"/>
            </w:r>
          </w:hyperlink>
        </w:p>
        <w:p w14:paraId="1560D5CD" w14:textId="77777777" w:rsidR="00186188" w:rsidRDefault="00186188" w:rsidP="00186188">
          <w:pPr>
            <w:pStyle w:val="TOC1"/>
            <w:tabs>
              <w:tab w:val="right" w:leader="dot" w:pos="9016"/>
            </w:tabs>
            <w:rPr>
              <w:b w:val="0"/>
              <w:bCs w:val="0"/>
              <w:caps w:val="0"/>
              <w:noProof/>
              <w:sz w:val="24"/>
              <w:szCs w:val="24"/>
              <w:lang w:eastAsia="en-GB"/>
            </w:rPr>
          </w:pPr>
          <w:hyperlink w:anchor="_Toc218945934" w:history="1">
            <w:r w:rsidRPr="0052114A">
              <w:rPr>
                <w:rStyle w:val="Hyperlink"/>
                <w:noProof/>
              </w:rPr>
              <w:t>Appendix C: Northern ITL3 Areas Full Table</w:t>
            </w:r>
            <w:r>
              <w:rPr>
                <w:noProof/>
                <w:webHidden/>
              </w:rPr>
              <w:tab/>
            </w:r>
            <w:r>
              <w:rPr>
                <w:noProof/>
                <w:webHidden/>
              </w:rPr>
              <w:fldChar w:fldCharType="begin"/>
            </w:r>
            <w:r>
              <w:rPr>
                <w:noProof/>
                <w:webHidden/>
              </w:rPr>
              <w:instrText xml:space="preserve"> PAGEREF _Toc218945934 \h </w:instrText>
            </w:r>
            <w:r>
              <w:rPr>
                <w:noProof/>
                <w:webHidden/>
              </w:rPr>
            </w:r>
            <w:r>
              <w:rPr>
                <w:noProof/>
                <w:webHidden/>
              </w:rPr>
              <w:fldChar w:fldCharType="separate"/>
            </w:r>
            <w:r>
              <w:rPr>
                <w:noProof/>
                <w:webHidden/>
              </w:rPr>
              <w:t>32</w:t>
            </w:r>
            <w:r>
              <w:rPr>
                <w:noProof/>
                <w:webHidden/>
              </w:rPr>
              <w:fldChar w:fldCharType="end"/>
            </w:r>
          </w:hyperlink>
        </w:p>
        <w:p w14:paraId="589E82DA" w14:textId="77777777" w:rsidR="00463A94" w:rsidRDefault="00186188" w:rsidP="00186188">
          <w:pPr>
            <w:rPr>
              <w:noProof/>
            </w:rPr>
          </w:pPr>
          <w:r>
            <w:rPr>
              <w:b/>
              <w:bCs/>
              <w:noProof/>
            </w:rPr>
            <w:lastRenderedPageBreak/>
            <w:fldChar w:fldCharType="end"/>
          </w:r>
        </w:p>
      </w:sdtContent>
    </w:sdt>
    <w:p w14:paraId="3CDACDD6" w14:textId="27B285E5" w:rsidR="00186188" w:rsidRPr="003E1267" w:rsidRDefault="00186188" w:rsidP="00186188">
      <w:pPr>
        <w:pStyle w:val="Heading1"/>
      </w:pPr>
      <w:bookmarkStart w:id="0" w:name="_Toc218945908"/>
      <w:r w:rsidRPr="003E1267">
        <w:t>1: Executive Summary</w:t>
      </w:r>
      <w:bookmarkEnd w:id="0"/>
    </w:p>
    <w:p w14:paraId="31176854" w14:textId="3ACC4BAD" w:rsidR="00186188" w:rsidRDefault="00186188" w:rsidP="00186188">
      <w:r w:rsidRPr="00592AA2">
        <w:t>The net zero economy is already a significant and strategically important component of the North of England’s economy. This report provides a detailed assessment of its scale, structure and performance, drawing on new analysis of employment, output and productivity across the</w:t>
      </w:r>
      <w:r w:rsidR="008F5812">
        <w:t xml:space="preserve"> North</w:t>
      </w:r>
      <w:r w:rsidRPr="00592AA2">
        <w:t>. It shows that the North plays a critical role in national net zero delivery, but that activity is highly concentrated, uneven in its economic impact, and dependent on effective coordination between public and private investment.</w:t>
      </w:r>
    </w:p>
    <w:p w14:paraId="6A0A3355" w14:textId="77777777" w:rsidR="00186188" w:rsidRPr="003E1267" w:rsidRDefault="00186188" w:rsidP="00186188">
      <w:r w:rsidRPr="003E1267">
        <w:rPr>
          <w:b/>
          <w:bCs/>
        </w:rPr>
        <w:t xml:space="preserve">The scale of the </w:t>
      </w:r>
      <w:r>
        <w:rPr>
          <w:b/>
          <w:bCs/>
        </w:rPr>
        <w:t>net zero</w:t>
      </w:r>
      <w:r w:rsidRPr="003E1267">
        <w:rPr>
          <w:b/>
          <w:bCs/>
        </w:rPr>
        <w:t xml:space="preserve"> economy in the North</w:t>
      </w:r>
    </w:p>
    <w:p w14:paraId="24603566" w14:textId="77777777" w:rsidR="00186188" w:rsidRDefault="00186188" w:rsidP="00186188">
      <w:r>
        <w:t>The North of England hosts over 8,500 net zero sites, supporting around 140,000 jobs and generating an estimated £13.3 billion of gross value added (GVA). This represents just over one fifth of Great Britain’s net zero employment and output, despite the North accounting for a smaller share of overall economic activity.</w:t>
      </w:r>
    </w:p>
    <w:p w14:paraId="19ED44A7" w14:textId="77777777" w:rsidR="00186188" w:rsidRDefault="00186188" w:rsidP="00186188">
      <w:r>
        <w:t>Net zero employment accounts for 1.97% of total employment in the North, broadly in line with the nation’s average, while net zero activity contributes a slightly higher share of total GVA in the region than nationally. This indicates that net zero activity in the North is, on average, more capital-intensive and value-generating, even where employment intensity is similar.</w:t>
      </w:r>
    </w:p>
    <w:p w14:paraId="3E6F6FCB" w14:textId="77777777" w:rsidR="00186188" w:rsidRDefault="00186188" w:rsidP="00186188">
      <w:r>
        <w:t>However, this aggregate position masks substantial internal variation.</w:t>
      </w:r>
    </w:p>
    <w:p w14:paraId="54209044" w14:textId="77777777" w:rsidR="00186188" w:rsidRPr="003E1267" w:rsidRDefault="00186188" w:rsidP="00186188">
      <w:r w:rsidRPr="003E1267">
        <w:rPr>
          <w:b/>
          <w:bCs/>
        </w:rPr>
        <w:t>Concentration and uneven economic impact</w:t>
      </w:r>
    </w:p>
    <w:p w14:paraId="004B7286" w14:textId="77777777" w:rsidR="00186188" w:rsidRDefault="00186188" w:rsidP="00186188">
      <w:r>
        <w:t>Net zero employment and output in the North are highly concentrated in a small number of places. At ITL3 level, a limited group of areas accounts for a disproportionate share of net zero jobs and GVA, notably Sunderland and Tyneside in the case of the latter. Some locations exhibit very high concentrations of net zero employment linked to specific assets, while others - including parts of large urban economies - play a more limited direct role when measured relative to the size of their wider labour markets.</w:t>
      </w:r>
    </w:p>
    <w:p w14:paraId="69752EC8" w14:textId="77777777" w:rsidR="00186188" w:rsidRDefault="00186188" w:rsidP="00186188">
      <w:r>
        <w:t>This concentration reflects the asset-based nature of much net zero activity, particularly in energy generation, industrial decarbonisation and large-scale infrastructure. It also means that the economic benefits of net zero are unevenly distributed and highly dependent on local industrial structure, infrastructure and delivery capacity.</w:t>
      </w:r>
    </w:p>
    <w:p w14:paraId="4F90A006" w14:textId="77777777" w:rsidR="00186188" w:rsidRPr="003E1267" w:rsidRDefault="00186188" w:rsidP="00186188">
      <w:r w:rsidRPr="003E1267">
        <w:rPr>
          <w:b/>
          <w:bCs/>
        </w:rPr>
        <w:t>Productivity and economic roles</w:t>
      </w:r>
    </w:p>
    <w:p w14:paraId="7A57E795" w14:textId="77777777" w:rsidR="00186188" w:rsidRPr="00B95568" w:rsidRDefault="00186188" w:rsidP="00186188">
      <w:r w:rsidRPr="00B95568">
        <w:t xml:space="preserve">Analysis of net zero productivity reveals even sharper differences between places. While average net zero productivity in the North is close to the </w:t>
      </w:r>
      <w:r>
        <w:t>Great Britain</w:t>
      </w:r>
      <w:r w:rsidRPr="00B95568">
        <w:t xml:space="preserve"> average, the range </w:t>
      </w:r>
      <w:r w:rsidRPr="00B95568">
        <w:lastRenderedPageBreak/>
        <w:t>across local economies is wide. At ITL3 level, net zero GVA per job varies by more than a factor of six between the highest and lowest performing areas.</w:t>
      </w:r>
    </w:p>
    <w:p w14:paraId="195C446E" w14:textId="77777777" w:rsidR="00186188" w:rsidRPr="00B95568" w:rsidRDefault="00186188" w:rsidP="00186188">
      <w:r w:rsidRPr="00B95568">
        <w:t>Crucially, areas with the highest net zero employment shares do not necessarily generate the highest value per job. Some locations are characterised by employment-intensive but lower-productivity net zero activity, while others support high-value, capital-intensive activity with relatively small workforces.</w:t>
      </w:r>
    </w:p>
    <w:p w14:paraId="03B9E8D6" w14:textId="77777777" w:rsidR="00186188" w:rsidRPr="00B95568" w:rsidRDefault="00186188" w:rsidP="00186188">
      <w:r w:rsidRPr="00B95568">
        <w:t>Using a quadrant-based typology, the report identifies four distinct economic roles within the net zero economy:</w:t>
      </w:r>
    </w:p>
    <w:p w14:paraId="0E26080D" w14:textId="77777777" w:rsidR="00186188" w:rsidRPr="00B95568" w:rsidRDefault="00186188" w:rsidP="00186188">
      <w:pPr>
        <w:numPr>
          <w:ilvl w:val="0"/>
          <w:numId w:val="54"/>
        </w:numPr>
        <w:spacing w:after="160" w:line="278" w:lineRule="auto"/>
      </w:pPr>
      <w:r w:rsidRPr="00B95568">
        <w:rPr>
          <w:b/>
          <w:bCs/>
        </w:rPr>
        <w:t>Balanced areas</w:t>
      </w:r>
      <w:r w:rsidRPr="00B95568">
        <w:t>, combining above-average employment intensity and productivity</w:t>
      </w:r>
    </w:p>
    <w:p w14:paraId="640F97F0" w14:textId="77777777" w:rsidR="00186188" w:rsidRPr="00B95568" w:rsidRDefault="00186188" w:rsidP="00186188">
      <w:pPr>
        <w:numPr>
          <w:ilvl w:val="0"/>
          <w:numId w:val="54"/>
        </w:numPr>
        <w:spacing w:after="160" w:line="278" w:lineRule="auto"/>
      </w:pPr>
      <w:r w:rsidRPr="00B95568">
        <w:rPr>
          <w:b/>
          <w:bCs/>
        </w:rPr>
        <w:t>Employment-intensive areas</w:t>
      </w:r>
      <w:r w:rsidRPr="00B95568">
        <w:t>, hosting large net zero workforces but lower value per job</w:t>
      </w:r>
    </w:p>
    <w:p w14:paraId="4544BB63" w14:textId="77777777" w:rsidR="00186188" w:rsidRPr="00B95568" w:rsidRDefault="00186188" w:rsidP="00186188">
      <w:pPr>
        <w:numPr>
          <w:ilvl w:val="0"/>
          <w:numId w:val="54"/>
        </w:numPr>
        <w:spacing w:after="160" w:line="278" w:lineRule="auto"/>
      </w:pPr>
      <w:r w:rsidRPr="00B95568">
        <w:rPr>
          <w:b/>
          <w:bCs/>
        </w:rPr>
        <w:t>Value-intensive areas</w:t>
      </w:r>
      <w:r w:rsidRPr="00B95568">
        <w:t>, generating high output with relatively small employment footprints</w:t>
      </w:r>
    </w:p>
    <w:p w14:paraId="78D59FB3" w14:textId="77777777" w:rsidR="00186188" w:rsidRPr="00B95568" w:rsidRDefault="00186188" w:rsidP="00186188">
      <w:pPr>
        <w:numPr>
          <w:ilvl w:val="0"/>
          <w:numId w:val="54"/>
        </w:numPr>
        <w:spacing w:after="160" w:line="278" w:lineRule="auto"/>
      </w:pPr>
      <w:r w:rsidRPr="00B95568">
        <w:rPr>
          <w:b/>
          <w:bCs/>
        </w:rPr>
        <w:t>Marginal areas</w:t>
      </w:r>
      <w:r w:rsidRPr="00B95568">
        <w:t>, where net zero activity currently plays a limited economic role</w:t>
      </w:r>
    </w:p>
    <w:p w14:paraId="365C94F5" w14:textId="77777777" w:rsidR="00186188" w:rsidRPr="003E1267" w:rsidRDefault="00186188" w:rsidP="00186188">
      <w:r w:rsidRPr="00B95568">
        <w:t>These roles are evident at both ITL2 and ITL3 levels and have direct implications for investment strategy and policy design.</w:t>
      </w:r>
    </w:p>
    <w:p w14:paraId="18CB494F" w14:textId="77777777" w:rsidR="00186188" w:rsidRPr="003E1267" w:rsidRDefault="00186188" w:rsidP="00186188">
      <w:r w:rsidRPr="003E1267">
        <w:rPr>
          <w:b/>
          <w:bCs/>
        </w:rPr>
        <w:t>Implications for investment and policy</w:t>
      </w:r>
    </w:p>
    <w:p w14:paraId="49C8080E" w14:textId="77777777" w:rsidR="00186188" w:rsidRDefault="00186188" w:rsidP="00186188">
      <w:r>
        <w:t>The analysis shows that a uniform, one-size-fits-all approach to net zero investment is unlikely to be effective. Different places face different constraints and opportunities, and the economic returns to intervention vary accordingly.</w:t>
      </w:r>
    </w:p>
    <w:p w14:paraId="19E9EF4F" w14:textId="386D8DE0" w:rsidR="00186188" w:rsidRDefault="00186188" w:rsidP="00186188">
      <w:r>
        <w:t xml:space="preserve">In balanced areas, the priority for Mayoral Combined Authorities should broadly be scaling and acceleration, supported by enabling infrastructure and coordinated investment. The approach of the </w:t>
      </w:r>
      <w:proofErr w:type="gramStart"/>
      <w:r>
        <w:t>North East</w:t>
      </w:r>
      <w:proofErr w:type="gramEnd"/>
      <w:r>
        <w:t xml:space="preserve">, to make the green energy revolution one of their core five missions, is an exemplar of a region responding to its economic context and </w:t>
      </w:r>
      <w:r w:rsidR="008F5812">
        <w:t xml:space="preserve">the </w:t>
      </w:r>
      <w:r>
        <w:t>scale of opportunity. In employment-intensive areas, the focus should shift towards productivity, skills progression and value capture rather than job creation alone. In value-intensive areas, policy should aim to anchor high-value activity locally through stronger supply chains and skills alignment. In marginal areas, early-stage public intervention is often required to build capacity and reduce risk before private investment can flow.</w:t>
      </w:r>
    </w:p>
    <w:p w14:paraId="3E8E6498" w14:textId="5DE89BBC" w:rsidR="00186188" w:rsidRDefault="00186188" w:rsidP="00186188">
      <w:r>
        <w:t xml:space="preserve">Local Growth Strategies, GB Energy and National Wealth Fund should </w:t>
      </w:r>
      <w:r w:rsidR="008F5812">
        <w:t xml:space="preserve">therefore </w:t>
      </w:r>
      <w:r>
        <w:t>play a critical role not simply as a source of funding, but as mechanisms for coordination, de-risking and alignment - particularly for capital-intensive net zero technologies and shared infrastructure.</w:t>
      </w:r>
    </w:p>
    <w:p w14:paraId="7BD71D9C" w14:textId="77777777" w:rsidR="00463A94" w:rsidRDefault="00463A94" w:rsidP="00186188">
      <w:pPr>
        <w:rPr>
          <w:b/>
          <w:bCs/>
        </w:rPr>
      </w:pPr>
    </w:p>
    <w:p w14:paraId="77B5EC37" w14:textId="52755F55" w:rsidR="00186188" w:rsidRPr="003E1267" w:rsidRDefault="00186188" w:rsidP="00186188">
      <w:r w:rsidRPr="003E1267">
        <w:rPr>
          <w:b/>
          <w:bCs/>
        </w:rPr>
        <w:lastRenderedPageBreak/>
        <w:t>Lessons from case studies</w:t>
      </w:r>
    </w:p>
    <w:p w14:paraId="1933E162" w14:textId="4CB3D51C" w:rsidR="00186188" w:rsidRDefault="00186188" w:rsidP="00186188">
      <w:r>
        <w:t xml:space="preserve">Case studies from across the North, from </w:t>
      </w:r>
      <w:r w:rsidR="008F5812">
        <w:t xml:space="preserve">a </w:t>
      </w:r>
      <w:r>
        <w:t>gigafactory in the North East to BECCS (bioenergy with carbon capture and storage) at Drax and industrial decarbonisation in the wider Humber, illustrate how these dynamics operate in practice. They show that the most economically significant net zero opportunities are frequently associated with large, place-specific assets and clusters, and that effective delivery depends on the interaction between private capital leveraged by public policy and investment.</w:t>
      </w:r>
    </w:p>
    <w:p w14:paraId="765A398D" w14:textId="77777777" w:rsidR="00186188" w:rsidRDefault="00186188" w:rsidP="00186188">
      <w:r>
        <w:t>These examples reinforce the importance of place-based approaches to net zero delivery, where national policy frameworks are aligned with regional leadership and local economic conditions.</w:t>
      </w:r>
    </w:p>
    <w:p w14:paraId="7E5EC4F7" w14:textId="77777777" w:rsidR="00186188" w:rsidRPr="003E1267" w:rsidRDefault="00186188" w:rsidP="00186188">
      <w:r w:rsidRPr="003E1267">
        <w:rPr>
          <w:b/>
          <w:bCs/>
        </w:rPr>
        <w:t>Conclusions</w:t>
      </w:r>
    </w:p>
    <w:p w14:paraId="14B72368" w14:textId="77777777" w:rsidR="00186188" w:rsidRDefault="00186188" w:rsidP="00186188">
      <w:r>
        <w:t>The net zero transition represents a major economic opportunity for the North of England, but realising this opportunity is not automatic. Success will depend on recognising the uneven structure of the net zero economy, targeting investment in line with local economic roles, and strengthening delivery capacity across the region.</w:t>
      </w:r>
    </w:p>
    <w:p w14:paraId="50D60101" w14:textId="77777777" w:rsidR="00186188" w:rsidRDefault="00186188" w:rsidP="00186188">
      <w:r>
        <w:t>If approached strategically, net zero can support productivity growth, industrial resilience and long-term competitiveness in the North. If approached without regard to place, it risks reinforcing existing disparities and underdelivering on its economic potential.</w:t>
      </w:r>
    </w:p>
    <w:p w14:paraId="3CF1745B" w14:textId="77777777" w:rsidR="00186188" w:rsidRDefault="00186188" w:rsidP="00186188">
      <w:r>
        <w:t>This report provides an evidence base to support more effective, place-sensitive decision-making as the net zero transition accelerates.</w:t>
      </w:r>
    </w:p>
    <w:p w14:paraId="16099D9B" w14:textId="77777777" w:rsidR="00186188" w:rsidRDefault="00186188" w:rsidP="00186188">
      <w:r>
        <w:br w:type="page"/>
      </w:r>
    </w:p>
    <w:p w14:paraId="09EFEEEC" w14:textId="77777777" w:rsidR="00186188" w:rsidRPr="009E3263" w:rsidRDefault="00186188" w:rsidP="00186188">
      <w:pPr>
        <w:pStyle w:val="Heading1"/>
      </w:pPr>
      <w:bookmarkStart w:id="1" w:name="_Toc218945909"/>
      <w:r w:rsidRPr="009E3263">
        <w:lastRenderedPageBreak/>
        <w:t xml:space="preserve">2: The </w:t>
      </w:r>
      <w:r>
        <w:t>net zero</w:t>
      </w:r>
      <w:r w:rsidRPr="009E3263">
        <w:t xml:space="preserve"> economy and the North of England</w:t>
      </w:r>
      <w:bookmarkEnd w:id="1"/>
    </w:p>
    <w:p w14:paraId="54AD7C45" w14:textId="77777777" w:rsidR="00186188" w:rsidRPr="009E3263" w:rsidRDefault="00186188" w:rsidP="00186188">
      <w:r w:rsidRPr="009E3263">
        <w:t xml:space="preserve">The </w:t>
      </w:r>
      <w:r>
        <w:t>net zero</w:t>
      </w:r>
      <w:r w:rsidRPr="009E3263">
        <w:t xml:space="preserve"> economy is no longer a marginal or emerging part of the economy. It is now a significant source of economic activity, employment and investment, with implications for productivity, competitiveness and long-term growth. The transition to </w:t>
      </w:r>
      <w:r>
        <w:t>net zero</w:t>
      </w:r>
      <w:r w:rsidRPr="009E3263">
        <w:t xml:space="preserve"> is often framed primarily as a challenge of decarbonisation. In practice, it is also a process of economic restructuring, involving new industries, new supply chains and new patterns of investment.</w:t>
      </w:r>
    </w:p>
    <w:p w14:paraId="1E85472C" w14:textId="77777777" w:rsidR="00186188" w:rsidRDefault="00186188" w:rsidP="00186188">
      <w:r w:rsidRPr="009E3263">
        <w:t xml:space="preserve">The North of England sits at the centre of this transition. Its role reflects a combination of industrial structure, geography and existing economic assets. Energy generation, heavy industry, manufacturing and logistics all remain more prominent in the North than in many other parts of </w:t>
      </w:r>
      <w:r>
        <w:t>Great Britain</w:t>
      </w:r>
      <w:r w:rsidRPr="009E3263">
        <w:t xml:space="preserve">. These sectors are among the most directly affected by the shift to </w:t>
      </w:r>
      <w:r>
        <w:t>net zero</w:t>
      </w:r>
      <w:r w:rsidRPr="009E3263">
        <w:t>, but they are also where the opportunities for growth, innovation and value creation are greatest.</w:t>
      </w:r>
    </w:p>
    <w:p w14:paraId="5BF2ECA3" w14:textId="04F9BBCD" w:rsidR="004D465C" w:rsidRPr="009E3263" w:rsidRDefault="004D465C" w:rsidP="00186188">
      <w:r w:rsidRPr="008D62DD">
        <w:t>A full explanation of how the net zero economy is defined for the purposes of this analysis is set out in Appendix A.</w:t>
      </w:r>
    </w:p>
    <w:p w14:paraId="7A08303B" w14:textId="77777777" w:rsidR="00186188" w:rsidRPr="009E3263" w:rsidRDefault="00186188" w:rsidP="00186188">
      <w:r w:rsidRPr="009E3263">
        <w:t xml:space="preserve">The scale of net zero activity in the North is already substantial. Across the region, there are </w:t>
      </w:r>
      <w:r>
        <w:t>over 8,500</w:t>
      </w:r>
      <w:r w:rsidRPr="009E3263">
        <w:t xml:space="preserve"> net zero sites, supporting more than </w:t>
      </w:r>
      <w:r>
        <w:t>140,000</w:t>
      </w:r>
      <w:r w:rsidRPr="009E3263">
        <w:t xml:space="preserve"> jobs and generating over £1</w:t>
      </w:r>
      <w:r>
        <w:t>3</w:t>
      </w:r>
      <w:r w:rsidRPr="009E3263">
        <w:t xml:space="preserve"> billion in gross value added. This accounts for around a </w:t>
      </w:r>
      <w:r>
        <w:t>fifth</w:t>
      </w:r>
      <w:r w:rsidRPr="009E3263">
        <w:t xml:space="preserve"> of net zero employment and output</w:t>
      </w:r>
      <w:r>
        <w:t xml:space="preserve"> in Great Britain.</w:t>
      </w:r>
    </w:p>
    <w:p w14:paraId="272F520E" w14:textId="3FAB7641" w:rsidR="00186188" w:rsidRDefault="00186188" w:rsidP="00186188">
      <w:r w:rsidRPr="009E3263">
        <w:t>This matters for two reasons. First</w:t>
      </w:r>
      <w:r w:rsidR="0009495B">
        <w:t>ly</w:t>
      </w:r>
      <w:r w:rsidRPr="009E3263">
        <w:t xml:space="preserve">, the </w:t>
      </w:r>
      <w:r>
        <w:t>country’s</w:t>
      </w:r>
      <w:r w:rsidRPr="009E3263">
        <w:t xml:space="preserve"> ability to meet its </w:t>
      </w:r>
      <w:r>
        <w:t>net zero</w:t>
      </w:r>
      <w:r w:rsidRPr="009E3263">
        <w:t xml:space="preserve"> objectives depends heavily on what happens in the North. Many of the sectors that must decarbonise at pace are concentrated there, including energy, industry and parts of transport and logistics. </w:t>
      </w:r>
      <w:r>
        <w:t xml:space="preserve">However, there is a risk that the offshoring of emissions of previous decades continues, with the regulation of carbon intensive activity leading to the activity to be offshored if the decisions to </w:t>
      </w:r>
      <w:proofErr w:type="gramStart"/>
      <w:r>
        <w:t>actually decarbonise</w:t>
      </w:r>
      <w:proofErr w:type="gramEnd"/>
      <w:r>
        <w:t xml:space="preserve"> the processes are not taken. The easiest way to cut a nation state</w:t>
      </w:r>
      <w:r w:rsidR="0009495B">
        <w:t>’s</w:t>
      </w:r>
      <w:r>
        <w:t xml:space="preserve"> own emissions is to simply send the emissions across the world with a net increase to global emissions as a result.</w:t>
      </w:r>
    </w:p>
    <w:p w14:paraId="5D6B97E9" w14:textId="2657F7DB" w:rsidR="00186188" w:rsidRPr="009E3263" w:rsidRDefault="00186188" w:rsidP="00186188">
      <w:r w:rsidRPr="009E3263">
        <w:t>Second</w:t>
      </w:r>
      <w:r w:rsidR="0009495B">
        <w:t>ly</w:t>
      </w:r>
      <w:r w:rsidRPr="009E3263">
        <w:t>, the economic benefits of the transition will not be evenly distributed by default. Where investment flows, where supply chains locate and where skills are developed will shape regional economic outcomes for decades.</w:t>
      </w:r>
    </w:p>
    <w:p w14:paraId="03AFA1A9" w14:textId="77777777" w:rsidR="00186188" w:rsidRPr="009E3263" w:rsidRDefault="00186188" w:rsidP="00186188">
      <w:r w:rsidRPr="009E3263">
        <w:t xml:space="preserve">The </w:t>
      </w:r>
      <w:r>
        <w:t>net zero</w:t>
      </w:r>
      <w:r w:rsidRPr="009E3263">
        <w:t xml:space="preserve"> economy in the North is also distinct in its composition. Compared to </w:t>
      </w:r>
      <w:r>
        <w:t xml:space="preserve">Great Britain </w:t>
      </w:r>
      <w:r w:rsidRPr="009E3263">
        <w:t xml:space="preserve">as a whole, </w:t>
      </w:r>
      <w:r>
        <w:t xml:space="preserve">net zero activity </w:t>
      </w:r>
      <w:r w:rsidRPr="009754D6">
        <w:t>accounts for a similar share of total employment, but a larger share of economic output in the North</w:t>
      </w:r>
      <w:r w:rsidRPr="009E3263">
        <w:t xml:space="preserve">. This shows both the region’s industrial base </w:t>
      </w:r>
      <w:r w:rsidRPr="009E3263">
        <w:lastRenderedPageBreak/>
        <w:t>and its role in energy production and distribution. It also reflects the presence of large-scale assets and clusters that are central to national decarbonisation pathways.</w:t>
      </w:r>
    </w:p>
    <w:p w14:paraId="03D985F9" w14:textId="77777777" w:rsidR="00186188" w:rsidRPr="009E3263" w:rsidRDefault="00186188" w:rsidP="00186188">
      <w:r w:rsidRPr="009E3263">
        <w:t xml:space="preserve">However, the </w:t>
      </w:r>
      <w:r>
        <w:t>net zero</w:t>
      </w:r>
      <w:r w:rsidRPr="009E3263">
        <w:t xml:space="preserve"> economy is not evenly distributed within the North itself. Some areas already have a high concentration of net zero employment or output, while others remain at an early stage of transition. In some places, net zero activity is employment-intensive but relatively low in value per job. In others, it is smaller in scale but highly productive. These differences matter for policy. They shape the types of intervention required and the balance between supporting job creation, improving productivity and enabling private investment.</w:t>
      </w:r>
    </w:p>
    <w:p w14:paraId="4AF55010" w14:textId="77777777" w:rsidR="00186188" w:rsidRPr="009E3263" w:rsidRDefault="00186188" w:rsidP="00186188">
      <w:r w:rsidRPr="009E3263">
        <w:t xml:space="preserve">The transition to </w:t>
      </w:r>
      <w:r>
        <w:t>net zero</w:t>
      </w:r>
      <w:r w:rsidRPr="009E3263">
        <w:t xml:space="preserve"> therefore presents both an opportunity and a risk for the North. Done well, it can support reindustrialisation, raise productivity and anchor long-term investment in the region. Done poorly, it has the potential to reinforce current disparities, concentrate value creation elsewhere and leave some places behind.</w:t>
      </w:r>
    </w:p>
    <w:p w14:paraId="400D4EE7" w14:textId="77777777" w:rsidR="00186188" w:rsidRPr="009E3263" w:rsidRDefault="00186188" w:rsidP="00186188">
      <w:r w:rsidRPr="009E3263">
        <w:t xml:space="preserve">Understanding the scale, composition and geography of the </w:t>
      </w:r>
      <w:r>
        <w:t>net zero</w:t>
      </w:r>
      <w:r w:rsidRPr="009E3263">
        <w:t xml:space="preserve"> economy in the North is a necessary starting point. The following chapters examine this in detail, drawing on new analysis of net zero employment, output and productivity levels across the region, and setting out what this implies for investment and policy.</w:t>
      </w:r>
    </w:p>
    <w:p w14:paraId="5998CCA2" w14:textId="77777777" w:rsidR="00186188" w:rsidRDefault="00186188" w:rsidP="00186188"/>
    <w:p w14:paraId="55EF3F16" w14:textId="77777777" w:rsidR="00186188" w:rsidRDefault="00186188" w:rsidP="00186188">
      <w:r>
        <w:br w:type="page"/>
      </w:r>
    </w:p>
    <w:p w14:paraId="56541FD5" w14:textId="77777777" w:rsidR="00186188" w:rsidRPr="009E3263" w:rsidRDefault="00186188" w:rsidP="00186188">
      <w:pPr>
        <w:pStyle w:val="Heading1"/>
      </w:pPr>
      <w:bookmarkStart w:id="2" w:name="_Toc218945910"/>
      <w:r w:rsidRPr="009E3263">
        <w:lastRenderedPageBreak/>
        <w:t xml:space="preserve">3: The scale and composition of the </w:t>
      </w:r>
      <w:r>
        <w:t>net zero</w:t>
      </w:r>
      <w:r w:rsidRPr="009E3263">
        <w:t xml:space="preserve"> economy in the North of England</w:t>
      </w:r>
      <w:bookmarkEnd w:id="2"/>
    </w:p>
    <w:p w14:paraId="74561D58" w14:textId="77777777" w:rsidR="00186188" w:rsidRPr="009E3263" w:rsidRDefault="00186188" w:rsidP="00186188">
      <w:r w:rsidRPr="009E3263">
        <w:t xml:space="preserve">The </w:t>
      </w:r>
      <w:r>
        <w:t>net zero</w:t>
      </w:r>
      <w:r w:rsidRPr="009E3263">
        <w:t xml:space="preserve"> economy signifies a major and increasingly important component of economic activity in the North of England. In absolute terms, the region contains </w:t>
      </w:r>
      <w:r>
        <w:t>over 8,500</w:t>
      </w:r>
      <w:r w:rsidRPr="009E3263">
        <w:t xml:space="preserve"> net zero sites, supporting </w:t>
      </w:r>
      <w:r>
        <w:t>around 140,000</w:t>
      </w:r>
      <w:r w:rsidRPr="009E3263">
        <w:t xml:space="preserve"> net zero jobs, generating </w:t>
      </w:r>
      <w:r>
        <w:t xml:space="preserve">over £13 </w:t>
      </w:r>
      <w:proofErr w:type="spellStart"/>
      <w:r w:rsidRPr="009E3263">
        <w:t>billion</w:t>
      </w:r>
      <w:proofErr w:type="spellEnd"/>
      <w:r w:rsidRPr="009E3263">
        <w:t xml:space="preserve"> of gross value added (GVA)</w:t>
      </w:r>
      <w:r>
        <w:t xml:space="preserve">. </w:t>
      </w:r>
      <w:r w:rsidRPr="009E3263">
        <w:t xml:space="preserve">These figures alone demonstrate that net zero activity in the North has moved beyond an emerging or marginal </w:t>
      </w:r>
      <w:r>
        <w:t xml:space="preserve">sector </w:t>
      </w:r>
      <w:r w:rsidRPr="009E3263">
        <w:t>and now constitutes a material part of the regional economy.</w:t>
      </w:r>
    </w:p>
    <w:p w14:paraId="26B0B98C" w14:textId="77777777" w:rsidR="00186188" w:rsidRPr="00FC26E5" w:rsidRDefault="00186188" w:rsidP="00186188">
      <w:pPr>
        <w:rPr>
          <w:b/>
          <w:bCs/>
        </w:rPr>
      </w:pPr>
      <w:r w:rsidRPr="00FC26E5">
        <w:rPr>
          <w:b/>
          <w:bCs/>
        </w:rPr>
        <w:t xml:space="preserve">Table 3.1: Scale of the </w:t>
      </w:r>
      <w:r>
        <w:rPr>
          <w:b/>
          <w:bCs/>
        </w:rPr>
        <w:t>net zero</w:t>
      </w:r>
      <w:r w:rsidRPr="00FC26E5">
        <w:rPr>
          <w:b/>
          <w:bCs/>
        </w:rPr>
        <w:t xml:space="preserve"> economy in the North of England and </w:t>
      </w:r>
      <w:r>
        <w:rPr>
          <w:b/>
          <w:bCs/>
        </w:rPr>
        <w:t>Great Britain</w:t>
      </w:r>
    </w:p>
    <w:tbl>
      <w:tblPr>
        <w:tblStyle w:val="TableGrid"/>
        <w:tblW w:w="0" w:type="auto"/>
        <w:tblLook w:val="04A0" w:firstRow="1" w:lastRow="0" w:firstColumn="1" w:lastColumn="0" w:noHBand="0" w:noVBand="1"/>
      </w:tblPr>
      <w:tblGrid>
        <w:gridCol w:w="2104"/>
        <w:gridCol w:w="1909"/>
        <w:gridCol w:w="1006"/>
        <w:gridCol w:w="2005"/>
      </w:tblGrid>
      <w:tr w:rsidR="00186188" w:rsidRPr="00FC26E5" w14:paraId="68DB0145" w14:textId="77777777" w:rsidTr="00A37264">
        <w:tc>
          <w:tcPr>
            <w:tcW w:w="0" w:type="auto"/>
            <w:hideMark/>
          </w:tcPr>
          <w:p w14:paraId="64CAFE02" w14:textId="77777777" w:rsidR="00186188" w:rsidRPr="00FC26E5" w:rsidRDefault="00186188" w:rsidP="00A37264">
            <w:pPr>
              <w:spacing w:after="160" w:line="278" w:lineRule="auto"/>
            </w:pPr>
          </w:p>
        </w:tc>
        <w:tc>
          <w:tcPr>
            <w:tcW w:w="0" w:type="auto"/>
            <w:hideMark/>
          </w:tcPr>
          <w:p w14:paraId="5A7F7DDF" w14:textId="77777777" w:rsidR="00186188" w:rsidRPr="00FC26E5" w:rsidRDefault="00186188" w:rsidP="00A37264">
            <w:pPr>
              <w:spacing w:after="160" w:line="278" w:lineRule="auto"/>
              <w:rPr>
                <w:b/>
                <w:bCs/>
              </w:rPr>
            </w:pPr>
            <w:r w:rsidRPr="00FC26E5">
              <w:rPr>
                <w:b/>
                <w:bCs/>
              </w:rPr>
              <w:t>North of England</w:t>
            </w:r>
          </w:p>
        </w:tc>
        <w:tc>
          <w:tcPr>
            <w:tcW w:w="0" w:type="auto"/>
            <w:hideMark/>
          </w:tcPr>
          <w:p w14:paraId="680CCA79" w14:textId="77777777" w:rsidR="00186188" w:rsidRPr="00FC26E5" w:rsidRDefault="00186188" w:rsidP="00A37264">
            <w:pPr>
              <w:spacing w:after="160" w:line="278" w:lineRule="auto"/>
              <w:rPr>
                <w:b/>
                <w:bCs/>
              </w:rPr>
            </w:pPr>
            <w:r>
              <w:rPr>
                <w:b/>
                <w:bCs/>
              </w:rPr>
              <w:t>GB</w:t>
            </w:r>
          </w:p>
        </w:tc>
        <w:tc>
          <w:tcPr>
            <w:tcW w:w="0" w:type="auto"/>
            <w:hideMark/>
          </w:tcPr>
          <w:p w14:paraId="4DC06477" w14:textId="77777777" w:rsidR="00186188" w:rsidRPr="00FC26E5" w:rsidRDefault="00186188" w:rsidP="00A37264">
            <w:pPr>
              <w:spacing w:after="160" w:line="278" w:lineRule="auto"/>
              <w:rPr>
                <w:b/>
                <w:bCs/>
              </w:rPr>
            </w:pPr>
            <w:r w:rsidRPr="00FC26E5">
              <w:rPr>
                <w:b/>
                <w:bCs/>
              </w:rPr>
              <w:t xml:space="preserve">North share of </w:t>
            </w:r>
            <w:r>
              <w:rPr>
                <w:b/>
                <w:bCs/>
              </w:rPr>
              <w:t>GB</w:t>
            </w:r>
          </w:p>
        </w:tc>
      </w:tr>
      <w:tr w:rsidR="00186188" w:rsidRPr="00FC26E5" w14:paraId="2504BEEB" w14:textId="77777777" w:rsidTr="00A37264">
        <w:tc>
          <w:tcPr>
            <w:tcW w:w="0" w:type="auto"/>
            <w:hideMark/>
          </w:tcPr>
          <w:p w14:paraId="34CC9E51" w14:textId="77777777" w:rsidR="00186188" w:rsidRPr="00FC26E5" w:rsidRDefault="00186188" w:rsidP="00A37264">
            <w:pPr>
              <w:spacing w:after="160" w:line="278" w:lineRule="auto"/>
            </w:pPr>
            <w:r w:rsidRPr="00FC26E5">
              <w:t>Net zero sites</w:t>
            </w:r>
          </w:p>
        </w:tc>
        <w:tc>
          <w:tcPr>
            <w:tcW w:w="0" w:type="auto"/>
          </w:tcPr>
          <w:p w14:paraId="28E252A2" w14:textId="77777777" w:rsidR="00186188" w:rsidRPr="00FC26E5" w:rsidRDefault="00186188" w:rsidP="00A37264">
            <w:pPr>
              <w:spacing w:after="160" w:line="278" w:lineRule="auto"/>
            </w:pPr>
            <w:r>
              <w:t>8,729</w:t>
            </w:r>
          </w:p>
        </w:tc>
        <w:tc>
          <w:tcPr>
            <w:tcW w:w="0" w:type="auto"/>
          </w:tcPr>
          <w:p w14:paraId="0D88D617" w14:textId="77777777" w:rsidR="00186188" w:rsidRPr="00FC26E5" w:rsidRDefault="00186188" w:rsidP="00A37264">
            <w:pPr>
              <w:spacing w:after="160" w:line="278" w:lineRule="auto"/>
            </w:pPr>
            <w:r>
              <w:t>44,613</w:t>
            </w:r>
          </w:p>
        </w:tc>
        <w:tc>
          <w:tcPr>
            <w:tcW w:w="0" w:type="auto"/>
          </w:tcPr>
          <w:p w14:paraId="5589DD89" w14:textId="77777777" w:rsidR="00186188" w:rsidRPr="00FC26E5" w:rsidRDefault="00186188" w:rsidP="00A37264">
            <w:pPr>
              <w:spacing w:after="160" w:line="278" w:lineRule="auto"/>
            </w:pPr>
            <w:r>
              <w:t>19.6%</w:t>
            </w:r>
          </w:p>
        </w:tc>
      </w:tr>
      <w:tr w:rsidR="00186188" w:rsidRPr="00FC26E5" w14:paraId="46442AF1" w14:textId="77777777" w:rsidTr="00A37264">
        <w:tc>
          <w:tcPr>
            <w:tcW w:w="0" w:type="auto"/>
            <w:hideMark/>
          </w:tcPr>
          <w:p w14:paraId="421CF14C" w14:textId="77777777" w:rsidR="00186188" w:rsidRPr="00FC26E5" w:rsidRDefault="00186188" w:rsidP="00A37264">
            <w:pPr>
              <w:spacing w:after="160" w:line="278" w:lineRule="auto"/>
            </w:pPr>
            <w:r w:rsidRPr="00FC26E5">
              <w:t>Net zero jobs</w:t>
            </w:r>
          </w:p>
        </w:tc>
        <w:tc>
          <w:tcPr>
            <w:tcW w:w="0" w:type="auto"/>
          </w:tcPr>
          <w:p w14:paraId="6B61C5BA" w14:textId="77777777" w:rsidR="00186188" w:rsidRPr="00FC26E5" w:rsidRDefault="00186188" w:rsidP="00A37264">
            <w:pPr>
              <w:spacing w:after="160" w:line="278" w:lineRule="auto"/>
            </w:pPr>
            <w:r>
              <w:t>141,734</w:t>
            </w:r>
          </w:p>
        </w:tc>
        <w:tc>
          <w:tcPr>
            <w:tcW w:w="0" w:type="auto"/>
          </w:tcPr>
          <w:p w14:paraId="20EB5799" w14:textId="77777777" w:rsidR="00186188" w:rsidRPr="00FC26E5" w:rsidRDefault="00186188" w:rsidP="00A37264">
            <w:pPr>
              <w:spacing w:after="160" w:line="278" w:lineRule="auto"/>
            </w:pPr>
            <w:r>
              <w:t>637,221</w:t>
            </w:r>
          </w:p>
        </w:tc>
        <w:tc>
          <w:tcPr>
            <w:tcW w:w="0" w:type="auto"/>
          </w:tcPr>
          <w:p w14:paraId="7F8C5920" w14:textId="77777777" w:rsidR="00186188" w:rsidRPr="00FC26E5" w:rsidRDefault="00186188" w:rsidP="00A37264">
            <w:pPr>
              <w:spacing w:after="160" w:line="278" w:lineRule="auto"/>
            </w:pPr>
            <w:r>
              <w:t>22.2%</w:t>
            </w:r>
          </w:p>
        </w:tc>
      </w:tr>
      <w:tr w:rsidR="00186188" w:rsidRPr="00FC26E5" w14:paraId="448F51A4" w14:textId="77777777" w:rsidTr="00A37264">
        <w:tc>
          <w:tcPr>
            <w:tcW w:w="0" w:type="auto"/>
            <w:hideMark/>
          </w:tcPr>
          <w:p w14:paraId="4030453B" w14:textId="77777777" w:rsidR="00186188" w:rsidRPr="00FC26E5" w:rsidRDefault="00186188" w:rsidP="00A37264">
            <w:pPr>
              <w:spacing w:after="160" w:line="278" w:lineRule="auto"/>
            </w:pPr>
            <w:r w:rsidRPr="00FC26E5">
              <w:t>Net zero GVA (£bn)</w:t>
            </w:r>
          </w:p>
        </w:tc>
        <w:tc>
          <w:tcPr>
            <w:tcW w:w="0" w:type="auto"/>
          </w:tcPr>
          <w:p w14:paraId="16DCAE92" w14:textId="77777777" w:rsidR="00186188" w:rsidRPr="00FC26E5" w:rsidRDefault="00186188" w:rsidP="00A37264">
            <w:pPr>
              <w:spacing w:after="160" w:line="278" w:lineRule="auto"/>
            </w:pPr>
            <w:r>
              <w:t>13.3</w:t>
            </w:r>
          </w:p>
        </w:tc>
        <w:tc>
          <w:tcPr>
            <w:tcW w:w="0" w:type="auto"/>
          </w:tcPr>
          <w:p w14:paraId="2B21CB1E" w14:textId="77777777" w:rsidR="00186188" w:rsidRPr="00FC26E5" w:rsidRDefault="00186188" w:rsidP="00A37264">
            <w:pPr>
              <w:spacing w:after="160" w:line="278" w:lineRule="auto"/>
            </w:pPr>
            <w:r>
              <w:t>61.6</w:t>
            </w:r>
          </w:p>
        </w:tc>
        <w:tc>
          <w:tcPr>
            <w:tcW w:w="0" w:type="auto"/>
          </w:tcPr>
          <w:p w14:paraId="4A79FA97" w14:textId="77777777" w:rsidR="00186188" w:rsidRPr="00FC26E5" w:rsidRDefault="00186188" w:rsidP="00A37264">
            <w:pPr>
              <w:spacing w:after="160" w:line="278" w:lineRule="auto"/>
            </w:pPr>
            <w:r>
              <w:t>21.6%</w:t>
            </w:r>
          </w:p>
        </w:tc>
      </w:tr>
    </w:tbl>
    <w:p w14:paraId="493BD1CD" w14:textId="77777777" w:rsidR="00186188" w:rsidRDefault="00186188" w:rsidP="00186188"/>
    <w:p w14:paraId="16EC7B6B" w14:textId="77777777" w:rsidR="00186188" w:rsidRPr="00C81B23" w:rsidRDefault="00186188" w:rsidP="00186188">
      <w:r w:rsidRPr="00C81B23">
        <w:t xml:space="preserve">Table 3.1 shows that the North accounts for </w:t>
      </w:r>
      <w:r>
        <w:t>just over one fifth</w:t>
      </w:r>
      <w:r w:rsidRPr="00C81B23">
        <w:t xml:space="preserve"> of </w:t>
      </w:r>
      <w:r>
        <w:t>GB</w:t>
      </w:r>
      <w:r w:rsidRPr="00C81B23">
        <w:t xml:space="preserve"> net zero employment and output, despite hosting </w:t>
      </w:r>
      <w:r>
        <w:t>just under</w:t>
      </w:r>
      <w:r w:rsidRPr="00C81B23">
        <w:t xml:space="preserve"> one fifth of net zero sites. This indicates a relatively high concentration of employment and value in larger, asset-based net zero activities.</w:t>
      </w:r>
    </w:p>
    <w:p w14:paraId="09477877" w14:textId="77777777" w:rsidR="00186188" w:rsidRPr="00C81B23" w:rsidRDefault="00186188" w:rsidP="00186188">
      <w:r w:rsidRPr="00C81B23">
        <w:t xml:space="preserve">Net zero activity </w:t>
      </w:r>
      <w:r>
        <w:t>plays a more significant role in output than employment</w:t>
      </w:r>
      <w:r w:rsidRPr="00C81B23">
        <w:t xml:space="preserve"> in the North than nationally. Net zero jobs account </w:t>
      </w:r>
      <w:r w:rsidRPr="009E37B5">
        <w:t xml:space="preserve">for 1.97% of all employment in the region, compared with 2.02% across </w:t>
      </w:r>
      <w:r>
        <w:t>Great Britain</w:t>
      </w:r>
      <w:r w:rsidRPr="009E37B5">
        <w:t>, while net zero GVA accounts for 2.79% of total GVA in the North, compared with 2.59% nationally.</w:t>
      </w:r>
    </w:p>
    <w:p w14:paraId="1F2A9805" w14:textId="77777777" w:rsidR="0009495B" w:rsidRDefault="0009495B" w:rsidP="00186188">
      <w:pPr>
        <w:rPr>
          <w:b/>
          <w:bCs/>
        </w:rPr>
      </w:pPr>
    </w:p>
    <w:p w14:paraId="74F2A19F" w14:textId="77777777" w:rsidR="0009495B" w:rsidRDefault="0009495B" w:rsidP="00186188">
      <w:pPr>
        <w:rPr>
          <w:b/>
          <w:bCs/>
        </w:rPr>
      </w:pPr>
    </w:p>
    <w:p w14:paraId="1ED95DCA" w14:textId="77777777" w:rsidR="0009495B" w:rsidRDefault="0009495B" w:rsidP="00186188">
      <w:pPr>
        <w:rPr>
          <w:b/>
          <w:bCs/>
        </w:rPr>
      </w:pPr>
    </w:p>
    <w:p w14:paraId="5C556631" w14:textId="77777777" w:rsidR="0009495B" w:rsidRDefault="0009495B" w:rsidP="00186188">
      <w:pPr>
        <w:rPr>
          <w:b/>
          <w:bCs/>
        </w:rPr>
      </w:pPr>
    </w:p>
    <w:p w14:paraId="6AB6585E" w14:textId="77777777" w:rsidR="0009495B" w:rsidRDefault="0009495B" w:rsidP="00186188">
      <w:pPr>
        <w:rPr>
          <w:b/>
          <w:bCs/>
        </w:rPr>
      </w:pPr>
    </w:p>
    <w:p w14:paraId="59DF4BF7" w14:textId="77777777" w:rsidR="0009495B" w:rsidRDefault="0009495B" w:rsidP="00186188">
      <w:pPr>
        <w:rPr>
          <w:b/>
          <w:bCs/>
        </w:rPr>
      </w:pPr>
    </w:p>
    <w:p w14:paraId="0FB1ED9F" w14:textId="2FE4783A" w:rsidR="00186188" w:rsidRPr="00FC26E5" w:rsidRDefault="00186188" w:rsidP="00186188">
      <w:r w:rsidRPr="00FC26E5">
        <w:rPr>
          <w:b/>
          <w:bCs/>
        </w:rPr>
        <w:lastRenderedPageBreak/>
        <w:t>Figure 3.1: Net zero jobs as a share of total employment (ITL2)</w:t>
      </w:r>
    </w:p>
    <w:p w14:paraId="37F5AFD3" w14:textId="77777777" w:rsidR="00186188" w:rsidRPr="00FC26E5" w:rsidRDefault="00186188" w:rsidP="00186188">
      <w:r w:rsidRPr="009E37B5">
        <w:rPr>
          <w:noProof/>
        </w:rPr>
        <w:drawing>
          <wp:inline distT="0" distB="0" distL="0" distR="0" wp14:anchorId="4430B536" wp14:editId="00C2B057">
            <wp:extent cx="5731510" cy="3647440"/>
            <wp:effectExtent l="0" t="0" r="0" b="0"/>
            <wp:docPr id="1959152542" name="Picture 1" descr="A graph showing a number of jo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52542" name="Picture 1" descr="A graph showing a number of jobs&#10;&#10;AI-generated content may be incorrect."/>
                    <pic:cNvPicPr/>
                  </pic:nvPicPr>
                  <pic:blipFill>
                    <a:blip r:embed="rId9"/>
                    <a:stretch>
                      <a:fillRect/>
                    </a:stretch>
                  </pic:blipFill>
                  <pic:spPr>
                    <a:xfrm>
                      <a:off x="0" y="0"/>
                      <a:ext cx="5731510" cy="3647440"/>
                    </a:xfrm>
                    <a:prstGeom prst="rect">
                      <a:avLst/>
                    </a:prstGeom>
                  </pic:spPr>
                </pic:pic>
              </a:graphicData>
            </a:graphic>
          </wp:inline>
        </w:drawing>
      </w:r>
    </w:p>
    <w:p w14:paraId="6766FAEE" w14:textId="77777777" w:rsidR="00186188" w:rsidRPr="000E1FEE" w:rsidRDefault="00186188" w:rsidP="00186188">
      <w:r w:rsidRPr="000E1FEE">
        <w:t xml:space="preserve">This near parity </w:t>
      </w:r>
      <w:r>
        <w:t xml:space="preserve">in employment intensity averages </w:t>
      </w:r>
      <w:r w:rsidRPr="000E1FEE">
        <w:t>masks substantial variation across ITL2 areas, with a small number of highly specialised places exhibiting much higher net zero employment shares.</w:t>
      </w:r>
    </w:p>
    <w:p w14:paraId="74B56F06" w14:textId="77777777" w:rsidR="00186188" w:rsidRPr="000E1FEE" w:rsidRDefault="00186188" w:rsidP="00186188">
      <w:r w:rsidRPr="000E1FEE">
        <w:t xml:space="preserve">The contrast between employment and output shares is significant. While the North does not have a higher concentration of net zero jobs than the </w:t>
      </w:r>
      <w:r>
        <w:t>national average</w:t>
      </w:r>
      <w:r w:rsidRPr="000E1FEE">
        <w:t>, it does generate a larger share of net zero output relative to its economic size. This indicates that net zero activity in the North is, on average, more capital-intensive and more strongly associated with high-value production rather than labour-intensive activity.</w:t>
      </w:r>
    </w:p>
    <w:p w14:paraId="6F712EF7" w14:textId="77777777" w:rsidR="00186188" w:rsidRPr="000E1FEE" w:rsidRDefault="00186188" w:rsidP="00186188">
      <w:r w:rsidRPr="000E1FEE">
        <w:t>However, this aggregate picture conceals very considerable internal variation, both geographically and structurally. Differences in industrial composition, energy infrastructure and asset location result in sharply divergent net zero profiles across ITL2 areas, with important implications for policy and investment.</w:t>
      </w:r>
    </w:p>
    <w:p w14:paraId="6423A83F" w14:textId="77777777" w:rsidR="00186188" w:rsidRPr="00C81B23" w:rsidRDefault="00186188" w:rsidP="00186188">
      <w:pPr>
        <w:pStyle w:val="Heading2"/>
      </w:pPr>
      <w:bookmarkStart w:id="3" w:name="_Toc218945911"/>
      <w:r w:rsidRPr="00C81B23">
        <w:t>3.1 ITL2 distribution: scale and specialisation</w:t>
      </w:r>
      <w:bookmarkEnd w:id="3"/>
    </w:p>
    <w:p w14:paraId="46FA7617" w14:textId="77777777" w:rsidR="00186188" w:rsidRPr="00EB3954" w:rsidRDefault="00186188" w:rsidP="00186188">
      <w:r w:rsidRPr="00EB3954">
        <w:t xml:space="preserve">At ITL2 level, the net zero economy in the North of England exhibits a wide </w:t>
      </w:r>
      <w:r>
        <w:t>range</w:t>
      </w:r>
      <w:r w:rsidRPr="00EB3954">
        <w:t xml:space="preserve"> in employment intensity, reflecting the uneven distribution of energy assets, industrial activity and supporting supply chains across the region.</w:t>
      </w:r>
    </w:p>
    <w:p w14:paraId="11913E34" w14:textId="77777777" w:rsidR="00186188" w:rsidRDefault="00186188" w:rsidP="00186188">
      <w:r w:rsidRPr="000E018A">
        <w:t xml:space="preserve">While most ITL2 areas cluster relatively tightly around the regional average, a small number of places display materially higher levels of net zero specialisation. </w:t>
      </w:r>
      <w:r w:rsidRPr="004222B8">
        <w:t>Cheshire records the highest net zero employment share in the North at approximately 3.55%,</w:t>
      </w:r>
      <w:r w:rsidRPr="000E018A">
        <w:t xml:space="preserve"> meaning that </w:t>
      </w:r>
      <w:r w:rsidRPr="000E018A">
        <w:lastRenderedPageBreak/>
        <w:t>more than one in thirty jobs in the area is linked to net zero activity. This places Cheshire well above the regional distribution and highlights the influence of large, asset-based sites within the local economy.</w:t>
      </w:r>
    </w:p>
    <w:p w14:paraId="0C0C0F4F" w14:textId="77777777" w:rsidR="00186188" w:rsidRPr="000E018A" w:rsidRDefault="00186188" w:rsidP="00186188">
      <w:r w:rsidRPr="000E018A">
        <w:t>Other ITL2 areas with clearly above-average net zero employment shares include:</w:t>
      </w:r>
    </w:p>
    <w:p w14:paraId="45B408F0" w14:textId="77777777" w:rsidR="00186188" w:rsidRPr="000E018A" w:rsidRDefault="00186188" w:rsidP="00186188">
      <w:pPr>
        <w:numPr>
          <w:ilvl w:val="0"/>
          <w:numId w:val="49"/>
        </w:numPr>
        <w:spacing w:after="160" w:line="278" w:lineRule="auto"/>
      </w:pPr>
      <w:r w:rsidRPr="000E018A">
        <w:rPr>
          <w:b/>
          <w:bCs/>
        </w:rPr>
        <w:t>Cumbria</w:t>
      </w:r>
      <w:r w:rsidRPr="000E018A">
        <w:t>, reflecting the role of energy generation and environmental activity</w:t>
      </w:r>
    </w:p>
    <w:p w14:paraId="26C7C4B8" w14:textId="77777777" w:rsidR="00186188" w:rsidRPr="000E018A" w:rsidRDefault="00186188" w:rsidP="00186188">
      <w:pPr>
        <w:numPr>
          <w:ilvl w:val="0"/>
          <w:numId w:val="49"/>
        </w:numPr>
        <w:spacing w:after="160" w:line="278" w:lineRule="auto"/>
      </w:pPr>
      <w:r w:rsidRPr="000E018A">
        <w:rPr>
          <w:b/>
          <w:bCs/>
        </w:rPr>
        <w:t>East Yorkshire and Northern Lincolnshire</w:t>
      </w:r>
      <w:r w:rsidRPr="000E018A">
        <w:t>, linked to energy, ports and industrial logistics</w:t>
      </w:r>
    </w:p>
    <w:p w14:paraId="58D27F0A" w14:textId="77777777" w:rsidR="00186188" w:rsidRPr="000E018A" w:rsidRDefault="00186188" w:rsidP="00186188">
      <w:pPr>
        <w:numPr>
          <w:ilvl w:val="0"/>
          <w:numId w:val="49"/>
        </w:numPr>
        <w:spacing w:after="160" w:line="278" w:lineRule="auto"/>
      </w:pPr>
      <w:proofErr w:type="gramStart"/>
      <w:r>
        <w:rPr>
          <w:b/>
          <w:bCs/>
        </w:rPr>
        <w:t>North East</w:t>
      </w:r>
      <w:proofErr w:type="gramEnd"/>
      <w:r>
        <w:rPr>
          <w:b/>
          <w:bCs/>
        </w:rPr>
        <w:t xml:space="preserve"> Combined Authority area</w:t>
      </w:r>
      <w:r w:rsidRPr="000E018A">
        <w:t>, associated with energy infrastructure and industrial supply chains</w:t>
      </w:r>
    </w:p>
    <w:p w14:paraId="1E608551" w14:textId="77777777" w:rsidR="00186188" w:rsidRPr="000E018A" w:rsidRDefault="00186188" w:rsidP="00186188">
      <w:pPr>
        <w:numPr>
          <w:ilvl w:val="0"/>
          <w:numId w:val="49"/>
        </w:numPr>
        <w:spacing w:after="160" w:line="278" w:lineRule="auto"/>
      </w:pPr>
      <w:r w:rsidRPr="000E018A">
        <w:rPr>
          <w:b/>
          <w:bCs/>
        </w:rPr>
        <w:t>Tees Valley</w:t>
      </w:r>
      <w:r w:rsidRPr="000E018A">
        <w:t>, where industrial decarbonisation and energy activity play a central role</w:t>
      </w:r>
    </w:p>
    <w:p w14:paraId="77E7305E" w14:textId="77777777" w:rsidR="00186188" w:rsidRDefault="00186188" w:rsidP="00186188">
      <w:r w:rsidRPr="000E018A">
        <w:t>Together, these areas form a group of relatively specialised net zero economies within the North, despite differing industrial structures and labour market sizes.</w:t>
      </w:r>
    </w:p>
    <w:p w14:paraId="7B376BF9" w14:textId="77777777" w:rsidR="00186188" w:rsidRPr="000E018A" w:rsidRDefault="00186188" w:rsidP="00186188">
      <w:r w:rsidRPr="000E018A">
        <w:t>At the lower end of the distribution, large and diverse economies such as Merseyside</w:t>
      </w:r>
      <w:r w:rsidRPr="002D2342">
        <w:t xml:space="preserve"> (1.6%)</w:t>
      </w:r>
      <w:r w:rsidRPr="000E018A">
        <w:t>, West Yorkshire</w:t>
      </w:r>
      <w:r w:rsidRPr="002D2342">
        <w:t xml:space="preserve"> (1.5%)</w:t>
      </w:r>
      <w:r w:rsidRPr="000E018A">
        <w:t xml:space="preserve"> and Greater Manchester</w:t>
      </w:r>
      <w:r w:rsidRPr="002D2342">
        <w:t xml:space="preserve"> (1.4%)</w:t>
      </w:r>
      <w:r w:rsidRPr="000E018A">
        <w:t xml:space="preserve"> record net zero employment shares below</w:t>
      </w:r>
      <w:r>
        <w:t xml:space="preserve"> </w:t>
      </w:r>
      <w:r w:rsidRPr="000E018A">
        <w:t xml:space="preserve">the regional average. In these areas, net zero activity is present at scale in absolute </w:t>
      </w:r>
      <w:proofErr w:type="gramStart"/>
      <w:r w:rsidRPr="000E018A">
        <w:t>terms, but</w:t>
      </w:r>
      <w:proofErr w:type="gramEnd"/>
      <w:r w:rsidRPr="000E018A">
        <w:t xml:space="preserve"> represents a smaller share of total employment due to the breadth of their wider economic base.</w:t>
      </w:r>
    </w:p>
    <w:p w14:paraId="183629F8" w14:textId="77777777" w:rsidR="00186188" w:rsidRDefault="00186188" w:rsidP="00186188">
      <w:r w:rsidRPr="00274B11">
        <w:t xml:space="preserve">The pattern for net zero output differs in important ways from employment. Net zero GVA shares across Northern ITL2 areas range from under 2% to </w:t>
      </w:r>
      <w:r>
        <w:t>over</w:t>
      </w:r>
      <w:r w:rsidRPr="00274B11">
        <w:t xml:space="preserve"> 5% of total GVA, with a weighted North-wide average of 2.79%, compared with a </w:t>
      </w:r>
      <w:r>
        <w:t>GB</w:t>
      </w:r>
      <w:r w:rsidRPr="00274B11">
        <w:t xml:space="preserve"> average of 2.</w:t>
      </w:r>
      <w:r>
        <w:t>59</w:t>
      </w:r>
      <w:r w:rsidRPr="00274B11">
        <w:t>%.</w:t>
      </w:r>
    </w:p>
    <w:p w14:paraId="70F4C1F8" w14:textId="77777777" w:rsidR="00186188" w:rsidRPr="00274B11" w:rsidRDefault="00186188" w:rsidP="00186188">
      <w:r w:rsidRPr="00274B11">
        <w:t xml:space="preserve">This indicates that, while net zero employment intensity in the North is broadly in line with the national position, net zero activity contributes a larger share of economic output in the region than nationally. In other words, net zero activity in the North is, on average, more capital-intensive and value-generating than in </w:t>
      </w:r>
      <w:r>
        <w:t>Great Britain as a whole</w:t>
      </w:r>
      <w:r w:rsidRPr="00274B11">
        <w:t>.</w:t>
      </w:r>
    </w:p>
    <w:p w14:paraId="78C22DBE" w14:textId="77777777" w:rsidR="00186188" w:rsidRPr="00F97646" w:rsidRDefault="00186188" w:rsidP="00186188">
      <w:r w:rsidRPr="00F97646">
        <w:t>The highest net zero GVA shares at ITL2 level are observed in</w:t>
      </w:r>
      <w:r w:rsidRPr="000557EE">
        <w:t xml:space="preserve">, </w:t>
      </w:r>
      <w:r w:rsidRPr="00F97646">
        <w:t>Tees Valley</w:t>
      </w:r>
      <w:r w:rsidRPr="000557EE">
        <w:t xml:space="preserve"> (5.3%)</w:t>
      </w:r>
      <w:r w:rsidRPr="00F97646">
        <w:t>,</w:t>
      </w:r>
      <w:r w:rsidRPr="000557EE">
        <w:t xml:space="preserve"> </w:t>
      </w:r>
      <w:proofErr w:type="gramStart"/>
      <w:r>
        <w:t>North East</w:t>
      </w:r>
      <w:proofErr w:type="gramEnd"/>
      <w:r w:rsidRPr="000557EE">
        <w:t xml:space="preserve"> (4.9%), </w:t>
      </w:r>
      <w:r w:rsidRPr="00F97646">
        <w:t>Cumbria</w:t>
      </w:r>
      <w:r w:rsidRPr="000557EE">
        <w:t xml:space="preserve"> (3.6%), </w:t>
      </w:r>
      <w:r w:rsidRPr="00F97646">
        <w:t>East Yorkshire and Northern Lincolnshire</w:t>
      </w:r>
      <w:r w:rsidRPr="000557EE">
        <w:t xml:space="preserve">, (3.6%) and </w:t>
      </w:r>
      <w:r w:rsidRPr="00F97646">
        <w:t>Cheshire</w:t>
      </w:r>
      <w:r w:rsidRPr="000557EE">
        <w:t xml:space="preserve"> (3.4%).</w:t>
      </w:r>
    </w:p>
    <w:p w14:paraId="4C61CC62" w14:textId="77777777" w:rsidR="00186188" w:rsidRPr="00F97646" w:rsidRDefault="00186188" w:rsidP="00186188">
      <w:r w:rsidRPr="00F97646">
        <w:t>These areas are characterised by energy generation, heavy industry and industrial decarbonisation activity, all of which generate high levels of output relative to employment.</w:t>
      </w:r>
    </w:p>
    <w:p w14:paraId="5EEA96E7" w14:textId="77777777" w:rsidR="00186188" w:rsidRDefault="00186188" w:rsidP="00186188">
      <w:r w:rsidRPr="00F97646">
        <w:t>By contrast, West Yorkshire</w:t>
      </w:r>
      <w:r w:rsidRPr="0061304A">
        <w:t xml:space="preserve"> (1.9%)</w:t>
      </w:r>
      <w:r w:rsidRPr="00F97646">
        <w:t>, Lancashire</w:t>
      </w:r>
      <w:r w:rsidRPr="0061304A">
        <w:t xml:space="preserve"> (2.0%)</w:t>
      </w:r>
      <w:r w:rsidRPr="00F97646">
        <w:t xml:space="preserve"> and Greater Manchester</w:t>
      </w:r>
      <w:r w:rsidRPr="0061304A">
        <w:t xml:space="preserve"> (1.8%)</w:t>
      </w:r>
      <w:r w:rsidRPr="00F97646">
        <w:t xml:space="preserve"> record net zero GVA shares below the North-wide average, despite their large absolute economic scale. This reflects a </w:t>
      </w:r>
      <w:r>
        <w:t>broader based</w:t>
      </w:r>
      <w:r w:rsidRPr="00F97646">
        <w:t xml:space="preserve"> economy and less dominated by large, capital-intensive assets.</w:t>
      </w:r>
    </w:p>
    <w:p w14:paraId="68AC0ACF" w14:textId="77777777" w:rsidR="00186188" w:rsidRPr="00C26189" w:rsidRDefault="00186188" w:rsidP="00186188">
      <w:r w:rsidRPr="00C26189">
        <w:lastRenderedPageBreak/>
        <w:t>Taken together, the ITL2 evidence points to a structural distinction within the North’s net zero economy:</w:t>
      </w:r>
    </w:p>
    <w:p w14:paraId="2B27A0CF" w14:textId="77777777" w:rsidR="00186188" w:rsidRPr="00C26189" w:rsidRDefault="00186188" w:rsidP="00186188">
      <w:pPr>
        <w:numPr>
          <w:ilvl w:val="0"/>
          <w:numId w:val="51"/>
        </w:numPr>
        <w:spacing w:after="160" w:line="278" w:lineRule="auto"/>
      </w:pPr>
      <w:r w:rsidRPr="00C26189">
        <w:t>Employment intensity is moderate and unevenly distributed, with a small number of specialised areas</w:t>
      </w:r>
    </w:p>
    <w:p w14:paraId="2A50F779" w14:textId="77777777" w:rsidR="00186188" w:rsidRPr="00C26189" w:rsidRDefault="00186188" w:rsidP="00186188">
      <w:pPr>
        <w:numPr>
          <w:ilvl w:val="0"/>
          <w:numId w:val="51"/>
        </w:numPr>
        <w:spacing w:after="160" w:line="278" w:lineRule="auto"/>
      </w:pPr>
      <w:r w:rsidRPr="00C26189">
        <w:t>Output intensity is consistently stronger, driven by energy and industrial assets</w:t>
      </w:r>
    </w:p>
    <w:p w14:paraId="7F32A15D" w14:textId="77777777" w:rsidR="00186188" w:rsidRPr="00C26189" w:rsidRDefault="00186188" w:rsidP="00186188">
      <w:pPr>
        <w:numPr>
          <w:ilvl w:val="0"/>
          <w:numId w:val="51"/>
        </w:numPr>
        <w:spacing w:after="160" w:line="278" w:lineRule="auto"/>
      </w:pPr>
      <w:r w:rsidRPr="00C26189">
        <w:t>The gap between employment and output shares suggests that net zero activity in the North plays a disproportionately important role in value creation, even where it is not the dominant source of jobs</w:t>
      </w:r>
    </w:p>
    <w:p w14:paraId="546566C4" w14:textId="77777777" w:rsidR="00186188" w:rsidRPr="00F97646" w:rsidRDefault="00186188" w:rsidP="00186188">
      <w:r w:rsidRPr="00C26189">
        <w:t>This distinction is critical for policy. Areas with high net zero output but moderate employment intensity may benefit most from interventions focused on supply chain expansion, skills deepening and local value capture, while areas with lower output intensity may require different approaches to stimulate private investment and scale activity.</w:t>
      </w:r>
    </w:p>
    <w:p w14:paraId="51246251" w14:textId="77777777" w:rsidR="00186188" w:rsidRPr="00DC7F08" w:rsidRDefault="00186188" w:rsidP="00186188">
      <w:pPr>
        <w:pStyle w:val="Heading2"/>
      </w:pPr>
      <w:bookmarkStart w:id="4" w:name="_Toc218945912"/>
      <w:r w:rsidRPr="00DC7F08">
        <w:t xml:space="preserve">3.2 ITL3 distribution: </w:t>
      </w:r>
      <w:r>
        <w:t>geographic</w:t>
      </w:r>
      <w:r w:rsidRPr="00DC7F08">
        <w:t xml:space="preserve"> concentration</w:t>
      </w:r>
      <w:bookmarkEnd w:id="4"/>
    </w:p>
    <w:p w14:paraId="7BDC9397" w14:textId="77777777" w:rsidR="00186188" w:rsidRPr="008A6B4E" w:rsidRDefault="00186188" w:rsidP="00186188">
      <w:r w:rsidRPr="008A6B4E">
        <w:t xml:space="preserve">The uneven distribution of net zero activity observed at ITL2 level becomes significantly more pronounced at ITL3 level. This reflects the highly localised nature of many </w:t>
      </w:r>
      <w:proofErr w:type="gramStart"/>
      <w:r w:rsidRPr="008A6B4E">
        <w:t>net</w:t>
      </w:r>
      <w:proofErr w:type="gramEnd"/>
      <w:r w:rsidRPr="008A6B4E">
        <w:t xml:space="preserve"> zero assets and activities, including energy generation, industrial decarbonisation, ports, logistics and specialised manufacturing.</w:t>
      </w:r>
    </w:p>
    <w:p w14:paraId="581703B6" w14:textId="77777777" w:rsidR="00186188" w:rsidRPr="003411A6" w:rsidRDefault="00186188" w:rsidP="00186188">
      <w:r w:rsidRPr="003411A6">
        <w:t xml:space="preserve">Across the 40 ITL3 areas in the North of England, net zero employment shares range from below 1% to over 6% of total employment. The weighted North-wide average is 1.97%, broadly in line with the </w:t>
      </w:r>
      <w:r>
        <w:t>GB</w:t>
      </w:r>
      <w:r w:rsidRPr="003411A6">
        <w:t xml:space="preserve"> average of 2.02%, but the dispersion around this average is substantial.</w:t>
      </w:r>
    </w:p>
    <w:p w14:paraId="05F640B3" w14:textId="77777777" w:rsidR="00186188" w:rsidRPr="00DB2A1A" w:rsidRDefault="00186188" w:rsidP="00186188">
      <w:r w:rsidRPr="00DB2A1A">
        <w:t>Most ITL3 areas cluster between 1% and 3%, but a relatively small number of places exhibit markedly higher levels of net zero employment intensity. These high-intensity areas tend to be closely associated with major energy, industrial or logistics assets rather than reflecting broad-based labour market specialisation.</w:t>
      </w:r>
    </w:p>
    <w:p w14:paraId="531CD5DD" w14:textId="77777777" w:rsidR="00186188" w:rsidRDefault="00186188" w:rsidP="00186188">
      <w:r>
        <w:t xml:space="preserve">At the upper end of the distribution, Warrington records the highest net zero employment share in the North, with net zero activity accounting for almost 7% of all jobs. Other ITL3 areas with above-average net zero employment shares include: </w:t>
      </w:r>
      <w:r w:rsidRPr="003E38F1">
        <w:t xml:space="preserve">Cumberland (4.3%), Barnsley (3.8%), Darlington (3.6%), North and </w:t>
      </w:r>
      <w:proofErr w:type="gramStart"/>
      <w:r w:rsidRPr="003E38F1">
        <w:t>North East</w:t>
      </w:r>
      <w:proofErr w:type="gramEnd"/>
      <w:r w:rsidRPr="003E38F1">
        <w:t xml:space="preserve"> Lincolnshire (3.5%), Sunderland (3.4%), </w:t>
      </w:r>
      <w:proofErr w:type="gramStart"/>
      <w:r w:rsidRPr="003E38F1">
        <w:t>and,</w:t>
      </w:r>
      <w:proofErr w:type="gramEnd"/>
      <w:r w:rsidRPr="003E38F1">
        <w:t xml:space="preserve"> Cheshire West and Chester (3.4%).</w:t>
      </w:r>
    </w:p>
    <w:p w14:paraId="1DAAAC9D" w14:textId="77777777" w:rsidR="000B69D3" w:rsidRDefault="000B69D3" w:rsidP="00186188">
      <w:pPr>
        <w:rPr>
          <w:b/>
          <w:bCs/>
        </w:rPr>
      </w:pPr>
    </w:p>
    <w:p w14:paraId="610F77C1" w14:textId="77777777" w:rsidR="000B69D3" w:rsidRDefault="000B69D3" w:rsidP="00186188">
      <w:pPr>
        <w:rPr>
          <w:b/>
          <w:bCs/>
        </w:rPr>
      </w:pPr>
    </w:p>
    <w:p w14:paraId="18AEFEE1" w14:textId="77777777" w:rsidR="000B69D3" w:rsidRDefault="000B69D3" w:rsidP="00186188">
      <w:pPr>
        <w:rPr>
          <w:b/>
          <w:bCs/>
        </w:rPr>
      </w:pPr>
    </w:p>
    <w:p w14:paraId="5FF7CAA5" w14:textId="77777777" w:rsidR="000B69D3" w:rsidRDefault="000B69D3" w:rsidP="00186188">
      <w:pPr>
        <w:rPr>
          <w:b/>
          <w:bCs/>
        </w:rPr>
      </w:pPr>
    </w:p>
    <w:p w14:paraId="14455A07" w14:textId="180A58A7" w:rsidR="00186188" w:rsidRPr="00B81337" w:rsidRDefault="00186188" w:rsidP="00186188">
      <w:r w:rsidRPr="008C5AB6">
        <w:rPr>
          <w:b/>
          <w:bCs/>
        </w:rPr>
        <w:lastRenderedPageBreak/>
        <w:t>Figure 3.3: Concentration of net zero employment across ITL3 areas</w:t>
      </w:r>
    </w:p>
    <w:p w14:paraId="439B70BF" w14:textId="77777777" w:rsidR="00186188" w:rsidRDefault="00186188" w:rsidP="00186188">
      <w:r w:rsidRPr="00AB4E66">
        <w:rPr>
          <w:noProof/>
        </w:rPr>
        <w:drawing>
          <wp:inline distT="0" distB="0" distL="0" distR="0" wp14:anchorId="18FFFCF0" wp14:editId="2F97359E">
            <wp:extent cx="5731510" cy="4585335"/>
            <wp:effectExtent l="0" t="0" r="0" b="0"/>
            <wp:docPr id="357073199" name="Picture 1"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73199" name="Picture 1" descr="A map of different colors&#10;&#10;AI-generated content may be incorrect."/>
                    <pic:cNvPicPr/>
                  </pic:nvPicPr>
                  <pic:blipFill>
                    <a:blip r:embed="rId10"/>
                    <a:stretch>
                      <a:fillRect/>
                    </a:stretch>
                  </pic:blipFill>
                  <pic:spPr>
                    <a:xfrm>
                      <a:off x="0" y="0"/>
                      <a:ext cx="5731510" cy="4585335"/>
                    </a:xfrm>
                    <a:prstGeom prst="rect">
                      <a:avLst/>
                    </a:prstGeom>
                  </pic:spPr>
                </pic:pic>
              </a:graphicData>
            </a:graphic>
          </wp:inline>
        </w:drawing>
      </w:r>
    </w:p>
    <w:p w14:paraId="3D411DB0" w14:textId="77777777" w:rsidR="00186188" w:rsidRDefault="00186188" w:rsidP="00186188">
      <w:r w:rsidRPr="00E8105C">
        <w:t xml:space="preserve">A similarly uneven, but not identical, pattern is observed for net zero output. Net zero GVA shares across Northern ITL3 areas range from around 1% to over 6% of total GVA, with a weighted North-wide average of 2.79%, exceeding the </w:t>
      </w:r>
      <w:r>
        <w:t>GB</w:t>
      </w:r>
      <w:r w:rsidRPr="00E8105C">
        <w:t xml:space="preserve"> average of 2.</w:t>
      </w:r>
      <w:r>
        <w:t>59</w:t>
      </w:r>
      <w:r w:rsidRPr="00E8105C">
        <w:t>%</w:t>
      </w:r>
      <w:r>
        <w:t>.</w:t>
      </w:r>
    </w:p>
    <w:p w14:paraId="061CBBAA" w14:textId="77777777" w:rsidR="00186188" w:rsidRDefault="00186188" w:rsidP="00186188">
      <w:r w:rsidRPr="00E8105C">
        <w:t>The highest net zero GVA shares are recorded in:</w:t>
      </w:r>
      <w:r>
        <w:t xml:space="preserve"> </w:t>
      </w:r>
      <w:r w:rsidRPr="00E8105C">
        <w:t>Sunderland</w:t>
      </w:r>
      <w:r w:rsidRPr="000F50EE">
        <w:t xml:space="preserve"> (6.9%), </w:t>
      </w:r>
      <w:r w:rsidRPr="00E8105C">
        <w:t>Tyneside</w:t>
      </w:r>
      <w:r w:rsidRPr="000F50EE">
        <w:t xml:space="preserve"> (6.8%), </w:t>
      </w:r>
      <w:r w:rsidRPr="00E8105C">
        <w:t>Warringto</w:t>
      </w:r>
      <w:r w:rsidRPr="000F50EE">
        <w:t xml:space="preserve">n (6.3%), </w:t>
      </w:r>
      <w:r w:rsidRPr="00E8105C">
        <w:t>Darlington</w:t>
      </w:r>
      <w:r w:rsidRPr="000F50EE">
        <w:t xml:space="preserve"> (6.0%), </w:t>
      </w:r>
      <w:r w:rsidRPr="00E8105C">
        <w:t>Cumberland</w:t>
      </w:r>
      <w:r w:rsidRPr="000F50EE">
        <w:t xml:space="preserve"> (5.9%), </w:t>
      </w:r>
      <w:r w:rsidRPr="00E8105C">
        <w:t>East Merseyside</w:t>
      </w:r>
      <w:r w:rsidRPr="000F50EE">
        <w:t xml:space="preserve"> (5.9%), </w:t>
      </w:r>
      <w:r w:rsidRPr="00E8105C">
        <w:t>South Teesside</w:t>
      </w:r>
      <w:r w:rsidRPr="000F50EE">
        <w:t xml:space="preserve"> (5.2%).</w:t>
      </w:r>
      <w:r>
        <w:t xml:space="preserve"> </w:t>
      </w:r>
    </w:p>
    <w:p w14:paraId="17580A41" w14:textId="77777777" w:rsidR="00186188" w:rsidRPr="008948F8" w:rsidRDefault="00186188" w:rsidP="00186188">
      <w:r w:rsidRPr="008948F8">
        <w:t>These areas are strongly associated with capital-intensive net zero activity, including power generation, industrial decarbonisation, chemicals and energy infrastructure. In several cases, net zero output intensity substantially exceeds net zero employment intensity, indicating high levels of productivity and value generation per job.</w:t>
      </w:r>
    </w:p>
    <w:p w14:paraId="278E1A82" w14:textId="77777777" w:rsidR="00186188" w:rsidRPr="00E8105C" w:rsidRDefault="00186188" w:rsidP="00186188">
      <w:r w:rsidRPr="00141705">
        <w:t xml:space="preserve">By contrast, </w:t>
      </w:r>
      <w:proofErr w:type="gramStart"/>
      <w:r w:rsidRPr="00141705">
        <w:t>a number of</w:t>
      </w:r>
      <w:proofErr w:type="gramEnd"/>
      <w:r w:rsidRPr="00141705">
        <w:t xml:space="preserve"> ITL3 areas with moderate or above-average net zero employment shares generate a smaller share of net zero GVA. This divergence highlights differences in industrial composition, capital intensity and value capture, rather than simple differences in scale.</w:t>
      </w:r>
    </w:p>
    <w:p w14:paraId="467F852B" w14:textId="77777777" w:rsidR="000B69D3" w:rsidRDefault="000B69D3" w:rsidP="00186188">
      <w:pPr>
        <w:rPr>
          <w:b/>
          <w:bCs/>
        </w:rPr>
      </w:pPr>
    </w:p>
    <w:p w14:paraId="119BBE3A" w14:textId="4E524DCD" w:rsidR="00186188" w:rsidRPr="008C5AB6" w:rsidRDefault="00186188" w:rsidP="00186188">
      <w:pPr>
        <w:rPr>
          <w:b/>
          <w:bCs/>
        </w:rPr>
      </w:pPr>
      <w:r w:rsidRPr="008C5AB6">
        <w:rPr>
          <w:b/>
          <w:bCs/>
        </w:rPr>
        <w:lastRenderedPageBreak/>
        <w:t>Figure 3.4: Concentration of net zero output across ITL3 areas</w:t>
      </w:r>
    </w:p>
    <w:p w14:paraId="1EDD781C" w14:textId="77777777" w:rsidR="00186188" w:rsidRDefault="00186188" w:rsidP="00186188">
      <w:r w:rsidRPr="009012CF">
        <w:rPr>
          <w:noProof/>
        </w:rPr>
        <w:drawing>
          <wp:inline distT="0" distB="0" distL="0" distR="0" wp14:anchorId="56F0AB3D" wp14:editId="69E62FE1">
            <wp:extent cx="5731510" cy="4585335"/>
            <wp:effectExtent l="0" t="0" r="0" b="0"/>
            <wp:docPr id="628591741" name="Picture 1"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91741" name="Picture 1" descr="A map of different colors&#10;&#10;AI-generated content may be incorrect."/>
                    <pic:cNvPicPr/>
                  </pic:nvPicPr>
                  <pic:blipFill>
                    <a:blip r:embed="rId11"/>
                    <a:stretch>
                      <a:fillRect/>
                    </a:stretch>
                  </pic:blipFill>
                  <pic:spPr>
                    <a:xfrm>
                      <a:off x="0" y="0"/>
                      <a:ext cx="5731510" cy="4585335"/>
                    </a:xfrm>
                    <a:prstGeom prst="rect">
                      <a:avLst/>
                    </a:prstGeom>
                  </pic:spPr>
                </pic:pic>
              </a:graphicData>
            </a:graphic>
          </wp:inline>
        </w:drawing>
      </w:r>
    </w:p>
    <w:p w14:paraId="31559720" w14:textId="77777777" w:rsidR="00186188" w:rsidRPr="00141705" w:rsidRDefault="00186188" w:rsidP="00186188">
      <w:r w:rsidRPr="00141705">
        <w:t>The ITL3 analysis reinforces three key conclusions.</w:t>
      </w:r>
    </w:p>
    <w:p w14:paraId="3B936F02" w14:textId="77777777" w:rsidR="00186188" w:rsidRPr="00141705" w:rsidRDefault="00186188" w:rsidP="00186188">
      <w:r w:rsidRPr="00141705">
        <w:t>First, the net zero economy in the North is highly concentrated geographically, with a limited number of ITL3 areas accounting for a disproportionate share of employment and output.</w:t>
      </w:r>
    </w:p>
    <w:p w14:paraId="2216650A" w14:textId="77777777" w:rsidR="00186188" w:rsidRPr="000F50EE" w:rsidRDefault="00186188" w:rsidP="00186188">
      <w:r w:rsidRPr="00141705">
        <w:t>Second, employment and output concentrations do not fully align. Some areas specialise in employment-intensive net zero activity, while others specialise in high-value, capital-intensive production. This distinction is critical for understanding local economic impacts and policy needs.</w:t>
      </w:r>
    </w:p>
    <w:p w14:paraId="502EE4C8" w14:textId="77777777" w:rsidR="00186188" w:rsidRPr="00141705" w:rsidRDefault="00186188" w:rsidP="00186188">
      <w:r w:rsidRPr="00141705">
        <w:t>Third, large urban economies tend to exhibit lower net zero intensity, not because net zero activity is absent, but because it represents a smaller share of a more diversified economic base.</w:t>
      </w:r>
    </w:p>
    <w:p w14:paraId="066C0BE1" w14:textId="6AE51006" w:rsidR="00186188" w:rsidRDefault="00186188" w:rsidP="00186188">
      <w:r w:rsidRPr="00141705">
        <w:t>Taken together, the ITL3 evidence points to a net zero economy that is deeply place-specific, shaped by the location of major assets, infrastructure and industrial clusters. This reinforces the case for place-based policy approaches, tailored to the specific role each area plays within the wider Northern net zero economy.</w:t>
      </w:r>
      <w:r>
        <w:br w:type="page"/>
      </w:r>
    </w:p>
    <w:p w14:paraId="7A1061F8" w14:textId="77777777" w:rsidR="00186188" w:rsidRPr="00CD4843" w:rsidRDefault="00186188" w:rsidP="00186188">
      <w:pPr>
        <w:pStyle w:val="Heading1"/>
      </w:pPr>
      <w:bookmarkStart w:id="5" w:name="_Toc218945913"/>
      <w:r w:rsidRPr="00CD4843">
        <w:lastRenderedPageBreak/>
        <w:t xml:space="preserve">4: Productivity and value in the </w:t>
      </w:r>
      <w:r>
        <w:t>net zero</w:t>
      </w:r>
      <w:r w:rsidRPr="00CD4843">
        <w:t xml:space="preserve"> economy</w:t>
      </w:r>
      <w:bookmarkEnd w:id="5"/>
    </w:p>
    <w:p w14:paraId="618B5FE0" w14:textId="77777777" w:rsidR="00186188" w:rsidRPr="007162D3" w:rsidRDefault="00186188" w:rsidP="00186188">
      <w:r w:rsidRPr="007162D3">
        <w:t xml:space="preserve">Productivity analysis provides the clearest insight into the economic role played by net zero activity across the North of England. On a weighted basis, net zero GVA per job in the North stands at </w:t>
      </w:r>
      <w:r w:rsidRPr="004222B8">
        <w:t>£93,614, compared with a Great Britain average of £97,099,</w:t>
      </w:r>
      <w:r w:rsidRPr="007162D3">
        <w:t xml:space="preserve"> indicating a modest productivity gap at the regional level.</w:t>
      </w:r>
    </w:p>
    <w:p w14:paraId="3AEA0D16" w14:textId="77777777" w:rsidR="00186188" w:rsidRPr="007162D3" w:rsidRDefault="00186188" w:rsidP="00186188">
      <w:r w:rsidRPr="007162D3">
        <w:t xml:space="preserve">However, this regional average conceals very substantial variation between places. Differences in industrial structure, asset intensity and position within net zero supply chains result in sharply divergent productivity outcomes across the North. </w:t>
      </w:r>
    </w:p>
    <w:p w14:paraId="4004D05F" w14:textId="77777777" w:rsidR="00186188" w:rsidRPr="00820504" w:rsidRDefault="00186188" w:rsidP="00186188">
      <w:pPr>
        <w:rPr>
          <w:b/>
          <w:bCs/>
        </w:rPr>
      </w:pPr>
      <w:r w:rsidRPr="00820504">
        <w:rPr>
          <w:b/>
          <w:bCs/>
        </w:rPr>
        <w:t xml:space="preserve">Figure 4.1: Net zero GVA per job by ITL2, compared with </w:t>
      </w:r>
      <w:r>
        <w:rPr>
          <w:b/>
          <w:bCs/>
        </w:rPr>
        <w:t xml:space="preserve">GB </w:t>
      </w:r>
      <w:r w:rsidRPr="00820504">
        <w:rPr>
          <w:b/>
          <w:bCs/>
        </w:rPr>
        <w:t>average</w:t>
      </w:r>
    </w:p>
    <w:p w14:paraId="13BA9C03" w14:textId="77777777" w:rsidR="00186188" w:rsidRDefault="00186188" w:rsidP="00186188">
      <w:r w:rsidRPr="00D0581F">
        <w:rPr>
          <w:noProof/>
        </w:rPr>
        <w:drawing>
          <wp:inline distT="0" distB="0" distL="0" distR="0" wp14:anchorId="3EC7BA15" wp14:editId="0F3A8E53">
            <wp:extent cx="5731510" cy="3647440"/>
            <wp:effectExtent l="0" t="0" r="0" b="0"/>
            <wp:docPr id="1670427335"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7335" name="Picture 1" descr="A graph of a number of people&#10;&#10;AI-generated content may be incorrect."/>
                    <pic:cNvPicPr/>
                  </pic:nvPicPr>
                  <pic:blipFill>
                    <a:blip r:embed="rId12"/>
                    <a:stretch>
                      <a:fillRect/>
                    </a:stretch>
                  </pic:blipFill>
                  <pic:spPr>
                    <a:xfrm>
                      <a:off x="0" y="0"/>
                      <a:ext cx="5731510" cy="3647440"/>
                    </a:xfrm>
                    <a:prstGeom prst="rect">
                      <a:avLst/>
                    </a:prstGeom>
                  </pic:spPr>
                </pic:pic>
              </a:graphicData>
            </a:graphic>
          </wp:inline>
        </w:drawing>
      </w:r>
    </w:p>
    <w:p w14:paraId="78FFEE36" w14:textId="77777777" w:rsidR="00186188" w:rsidRPr="00CD4843" w:rsidRDefault="00186188" w:rsidP="00186188">
      <w:pPr>
        <w:pStyle w:val="Heading2"/>
      </w:pPr>
      <w:bookmarkStart w:id="6" w:name="_Toc218945914"/>
      <w:r w:rsidRPr="00CD4843">
        <w:t>4.1 ITL2 productivity distribution</w:t>
      </w:r>
      <w:bookmarkEnd w:id="6"/>
    </w:p>
    <w:p w14:paraId="0D6286A1" w14:textId="77777777" w:rsidR="00186188" w:rsidRPr="005340A6" w:rsidRDefault="00186188" w:rsidP="00186188">
      <w:r w:rsidRPr="005340A6">
        <w:t>At ITL2 level, net zero productivity varies widely across the North of England, ranging from £74,644 per job to £128,590 per job. This dispersion highlights the fundamentally different economic roles played by net zero activity across sub-regional economies.</w:t>
      </w:r>
    </w:p>
    <w:p w14:paraId="17D38F74" w14:textId="77777777" w:rsidR="00186188" w:rsidRPr="005340A6" w:rsidRDefault="00186188" w:rsidP="00186188">
      <w:r w:rsidRPr="005340A6">
        <w:t>The most productive ITL2 areas include:</w:t>
      </w:r>
    </w:p>
    <w:p w14:paraId="2A331B20" w14:textId="77777777" w:rsidR="00186188" w:rsidRPr="005340A6" w:rsidRDefault="00186188" w:rsidP="00186188">
      <w:r w:rsidRPr="005340A6">
        <w:tab/>
        <w:t>•</w:t>
      </w:r>
      <w:r w:rsidRPr="005340A6">
        <w:tab/>
        <w:t>Tees Valley (£128,590 per job)</w:t>
      </w:r>
    </w:p>
    <w:p w14:paraId="05A46721" w14:textId="77777777" w:rsidR="00186188" w:rsidRPr="005340A6" w:rsidRDefault="00186188" w:rsidP="00186188">
      <w:r w:rsidRPr="005340A6">
        <w:tab/>
        <w:t>•</w:t>
      </w:r>
      <w:r w:rsidRPr="005340A6">
        <w:tab/>
      </w:r>
      <w:proofErr w:type="gramStart"/>
      <w:r>
        <w:t>North East</w:t>
      </w:r>
      <w:proofErr w:type="gramEnd"/>
      <w:r w:rsidRPr="005340A6">
        <w:t xml:space="preserve"> (£117,663)</w:t>
      </w:r>
    </w:p>
    <w:p w14:paraId="0F1521ED" w14:textId="77777777" w:rsidR="00186188" w:rsidRPr="005340A6" w:rsidRDefault="00186188" w:rsidP="00186188">
      <w:r w:rsidRPr="005340A6">
        <w:lastRenderedPageBreak/>
        <w:tab/>
        <w:t>•</w:t>
      </w:r>
      <w:r w:rsidRPr="005340A6">
        <w:tab/>
        <w:t>Merseyside (£116,463)</w:t>
      </w:r>
    </w:p>
    <w:p w14:paraId="38C338C5" w14:textId="77777777" w:rsidR="00186188" w:rsidRPr="005340A6" w:rsidRDefault="00186188" w:rsidP="00186188">
      <w:r w:rsidRPr="005340A6">
        <w:t>These areas are characterised by capital-intensive net zero activity, including energy generation, industrial decarbonisation and large-scale infrastructure, where output is high relative to employment.</w:t>
      </w:r>
    </w:p>
    <w:p w14:paraId="3465B5D5" w14:textId="77777777" w:rsidR="00186188" w:rsidRDefault="00186188" w:rsidP="00186188">
      <w:r w:rsidRPr="005340A6">
        <w:t>At the lower end of the distribution, Cheshire (£74,644) and South Yorkshire (£75,610) record net zero productivity well below the North-wide average. In these areas, net zero activity is more employment-intensive and less strongly associated with high-value capital assets.</w:t>
      </w:r>
      <w:r>
        <w:t xml:space="preserve"> </w:t>
      </w:r>
    </w:p>
    <w:p w14:paraId="3CFD852B" w14:textId="77777777" w:rsidR="00186188" w:rsidRDefault="00186188" w:rsidP="00186188">
      <w:r w:rsidRPr="005340A6">
        <w:t>Importantly, this pattern does not imply weaker economic relevance. Instead, it reflects different functional roles within the net zero economy, with some ITL2 areas specialising in labour-intensive operational activity and others in high-value generation</w:t>
      </w:r>
      <w:r>
        <w:t>.</w:t>
      </w:r>
    </w:p>
    <w:p w14:paraId="64EAA5D3" w14:textId="77777777" w:rsidR="00186188" w:rsidRPr="00CD4843" w:rsidRDefault="00186188" w:rsidP="00186188">
      <w:pPr>
        <w:pStyle w:val="Heading2"/>
        <w:keepNext w:val="0"/>
        <w:keepLines w:val="0"/>
      </w:pPr>
      <w:bookmarkStart w:id="7" w:name="_Toc218945915"/>
      <w:r w:rsidRPr="00CD4843">
        <w:t>4.2 ITL3 productivity distribution</w:t>
      </w:r>
      <w:bookmarkEnd w:id="7"/>
    </w:p>
    <w:p w14:paraId="18E87C60" w14:textId="77777777" w:rsidR="00186188" w:rsidRPr="0002122D" w:rsidRDefault="00186188" w:rsidP="00186188">
      <w:r w:rsidRPr="0002122D">
        <w:t>Variation in net zero productivity becomes even more pronounced at ITL3 level. Net zero GVA per job ranges from very low values in employment-intensive areas to exceptionally high values in locations dominated by capital-intensive assets, reinforcing the highly localised nature of net zero value creation.</w:t>
      </w:r>
    </w:p>
    <w:p w14:paraId="29F837DB" w14:textId="77777777" w:rsidR="00186188" w:rsidRPr="0002122D" w:rsidRDefault="00186188" w:rsidP="00186188">
      <w:r w:rsidRPr="0002122D">
        <w:t>The most productive ITL3 areas include:</w:t>
      </w:r>
    </w:p>
    <w:p w14:paraId="3283A340" w14:textId="77777777" w:rsidR="00186188" w:rsidRPr="0002122D" w:rsidRDefault="00186188" w:rsidP="00186188">
      <w:r w:rsidRPr="0002122D">
        <w:tab/>
        <w:t>•</w:t>
      </w:r>
      <w:r w:rsidRPr="0002122D">
        <w:tab/>
        <w:t>Westmorland and Furness</w:t>
      </w:r>
    </w:p>
    <w:p w14:paraId="7F1AAE28" w14:textId="77777777" w:rsidR="00186188" w:rsidRPr="0002122D" w:rsidRDefault="00186188" w:rsidP="00186188">
      <w:r w:rsidRPr="0002122D">
        <w:tab/>
        <w:t>•</w:t>
      </w:r>
      <w:r w:rsidRPr="0002122D">
        <w:tab/>
        <w:t>Rotherham</w:t>
      </w:r>
    </w:p>
    <w:p w14:paraId="3D98218D" w14:textId="77777777" w:rsidR="00186188" w:rsidRPr="0002122D" w:rsidRDefault="00186188" w:rsidP="00186188">
      <w:r w:rsidRPr="0002122D">
        <w:tab/>
        <w:t>•</w:t>
      </w:r>
      <w:r w:rsidRPr="0002122D">
        <w:tab/>
        <w:t>South Teesside</w:t>
      </w:r>
    </w:p>
    <w:p w14:paraId="104C0328" w14:textId="77777777" w:rsidR="00186188" w:rsidRPr="0002122D" w:rsidRDefault="00186188" w:rsidP="00186188">
      <w:r w:rsidRPr="0002122D">
        <w:t>These areas generate very high levels of net zero output with relatively small workforces, indicating strong value capture and high capital intensity.</w:t>
      </w:r>
    </w:p>
    <w:p w14:paraId="4F21BC58" w14:textId="77777777" w:rsidR="00186188" w:rsidRPr="0002122D" w:rsidRDefault="00186188" w:rsidP="00186188">
      <w:r w:rsidRPr="0002122D">
        <w:t>By contrast, Cheshire West and Chester sits at the opposite end of the productivity spectrum. Despite having one of the highest net zero employment shares in the North, it generates relatively low GVA per job. This reflects the concentration of employment-heavy net zero activity, rather than a lack of economic significance.</w:t>
      </w:r>
    </w:p>
    <w:p w14:paraId="5C435941" w14:textId="77777777" w:rsidR="00186188" w:rsidRPr="00CD4843" w:rsidRDefault="00186188" w:rsidP="00186188">
      <w:pPr>
        <w:pStyle w:val="Heading2"/>
        <w:keepNext w:val="0"/>
        <w:keepLines w:val="0"/>
      </w:pPr>
      <w:bookmarkStart w:id="8" w:name="_Toc218945916"/>
      <w:r w:rsidRPr="00CD4843">
        <w:t>4.3 Relationships between employment, output and productivity</w:t>
      </w:r>
      <w:bookmarkEnd w:id="8"/>
    </w:p>
    <w:p w14:paraId="1EC3F1ED" w14:textId="77777777" w:rsidR="00186188" w:rsidRPr="00BB52BB" w:rsidRDefault="00186188" w:rsidP="00186188">
      <w:r w:rsidRPr="00BB52BB">
        <w:t>The relationship between net zero employment, output and productivity further underlines these structural differences.</w:t>
      </w:r>
    </w:p>
    <w:p w14:paraId="5E24C65F" w14:textId="77777777" w:rsidR="00186188" w:rsidRPr="00BB52BB" w:rsidRDefault="00186188" w:rsidP="00186188">
      <w:r w:rsidRPr="00BB52BB">
        <w:t xml:space="preserve">Across ITL3 areas, net zero employment share and net zero GVA share are positively correlated, indicating that places with more net zero activity tend also to generate more net </w:t>
      </w:r>
      <w:r w:rsidRPr="00BB52BB">
        <w:lastRenderedPageBreak/>
        <w:t>zero output. However, the relationship between employment intensity and productivity is weak and, in places, negative.</w:t>
      </w:r>
    </w:p>
    <w:p w14:paraId="43DB09F8" w14:textId="77777777" w:rsidR="00186188" w:rsidRDefault="00186188" w:rsidP="00186188">
      <w:r w:rsidRPr="00BB52BB">
        <w:t xml:space="preserve">This confirms that hosting large numbers of net zero jobs does not automatically translate into higher productivity or greater value capture. Instead, different places occupy different economic positions within the net zero system </w:t>
      </w:r>
      <w:r>
        <w:t>-</w:t>
      </w:r>
      <w:r w:rsidRPr="00BB52BB">
        <w:t xml:space="preserve"> from operational delivery to asset ownership and value generation.</w:t>
      </w:r>
    </w:p>
    <w:p w14:paraId="451A58AB" w14:textId="77777777" w:rsidR="00186188" w:rsidRPr="00CD4843" w:rsidRDefault="00186188" w:rsidP="00186188">
      <w:pPr>
        <w:pStyle w:val="Heading2"/>
        <w:keepNext w:val="0"/>
        <w:keepLines w:val="0"/>
      </w:pPr>
      <w:bookmarkStart w:id="9" w:name="_Toc218945917"/>
      <w:r w:rsidRPr="00CD4843">
        <w:t>4.4 Implications for economic structure</w:t>
      </w:r>
      <w:bookmarkEnd w:id="9"/>
    </w:p>
    <w:p w14:paraId="1EC86F57" w14:textId="77777777" w:rsidR="00186188" w:rsidRPr="00BB52BB" w:rsidRDefault="00186188" w:rsidP="00186188">
      <w:r w:rsidRPr="00BB52BB">
        <w:t>Taken together, the evidence supports the identification of four distinct economic roles within the net zero economy in the North of England:</w:t>
      </w:r>
    </w:p>
    <w:p w14:paraId="0A642092" w14:textId="77777777" w:rsidR="00186188" w:rsidRPr="00BB52BB" w:rsidRDefault="00186188" w:rsidP="00186188">
      <w:pPr>
        <w:numPr>
          <w:ilvl w:val="0"/>
          <w:numId w:val="53"/>
        </w:numPr>
        <w:spacing w:after="160" w:line="278" w:lineRule="auto"/>
      </w:pPr>
      <w:r w:rsidRPr="00BB52BB">
        <w:rPr>
          <w:b/>
          <w:bCs/>
        </w:rPr>
        <w:t>Employment-intensive areas</w:t>
      </w:r>
      <w:r w:rsidRPr="00BB52BB">
        <w:t>, hosting large net zero workforces</w:t>
      </w:r>
      <w:r>
        <w:t xml:space="preserve"> relative to their total workforce </w:t>
      </w:r>
      <w:r w:rsidRPr="00BB52BB">
        <w:t>with relatively low value per job</w:t>
      </w:r>
    </w:p>
    <w:p w14:paraId="3E422AD9" w14:textId="77777777" w:rsidR="00186188" w:rsidRPr="00BB52BB" w:rsidRDefault="00186188" w:rsidP="00186188">
      <w:pPr>
        <w:numPr>
          <w:ilvl w:val="0"/>
          <w:numId w:val="53"/>
        </w:numPr>
        <w:spacing w:after="160" w:line="278" w:lineRule="auto"/>
      </w:pPr>
      <w:r w:rsidRPr="00BB52BB">
        <w:rPr>
          <w:b/>
          <w:bCs/>
        </w:rPr>
        <w:t>Value-intensive areas</w:t>
      </w:r>
      <w:r w:rsidRPr="00BB52BB">
        <w:t>, generating high output with smaller workforces</w:t>
      </w:r>
    </w:p>
    <w:p w14:paraId="0B72AE50" w14:textId="77777777" w:rsidR="00186188" w:rsidRPr="00BB52BB" w:rsidRDefault="00186188" w:rsidP="00186188">
      <w:pPr>
        <w:numPr>
          <w:ilvl w:val="0"/>
          <w:numId w:val="53"/>
        </w:numPr>
        <w:spacing w:after="160" w:line="278" w:lineRule="auto"/>
      </w:pPr>
      <w:r w:rsidRPr="00BB52BB">
        <w:rPr>
          <w:b/>
          <w:bCs/>
        </w:rPr>
        <w:t>Balanced areas</w:t>
      </w:r>
      <w:r w:rsidRPr="00BB52BB">
        <w:t>, combining above-</w:t>
      </w:r>
      <w:r>
        <w:t>average</w:t>
      </w:r>
      <w:r w:rsidRPr="00BB52BB">
        <w:t xml:space="preserve"> employment intensity and productivity</w:t>
      </w:r>
    </w:p>
    <w:p w14:paraId="4995E09E" w14:textId="77777777" w:rsidR="00186188" w:rsidRPr="00BB52BB" w:rsidRDefault="00186188" w:rsidP="00186188">
      <w:pPr>
        <w:numPr>
          <w:ilvl w:val="0"/>
          <w:numId w:val="53"/>
        </w:numPr>
        <w:spacing w:after="160" w:line="278" w:lineRule="auto"/>
      </w:pPr>
      <w:r w:rsidRPr="00BB52BB">
        <w:rPr>
          <w:b/>
          <w:bCs/>
        </w:rPr>
        <w:t>Marginal areas</w:t>
      </w:r>
      <w:r w:rsidRPr="00BB52BB">
        <w:t>, where net zero activity remains limited on both dimensions</w:t>
      </w:r>
    </w:p>
    <w:p w14:paraId="15D6F806" w14:textId="77777777" w:rsidR="00186188" w:rsidRPr="00BB52BB" w:rsidRDefault="00186188" w:rsidP="00186188">
      <w:r w:rsidRPr="00BB52BB">
        <w:t>These roles are structurally embedded, reflecting differences in asset ownership, industrial mix and supply-chain position. They have direct implications for investment strategy, skills policy and how the economic benefits of the net zero transition are distributed spatially.</w:t>
      </w:r>
    </w:p>
    <w:p w14:paraId="16D91228" w14:textId="77777777" w:rsidR="000B69D3" w:rsidRDefault="000B69D3" w:rsidP="00186188">
      <w:pPr>
        <w:rPr>
          <w:b/>
          <w:bCs/>
        </w:rPr>
      </w:pPr>
    </w:p>
    <w:p w14:paraId="226EB182" w14:textId="77777777" w:rsidR="000B69D3" w:rsidRDefault="000B69D3" w:rsidP="00186188">
      <w:pPr>
        <w:rPr>
          <w:b/>
          <w:bCs/>
        </w:rPr>
      </w:pPr>
    </w:p>
    <w:p w14:paraId="0D0BDC86" w14:textId="77777777" w:rsidR="000B69D3" w:rsidRDefault="000B69D3" w:rsidP="00186188">
      <w:pPr>
        <w:rPr>
          <w:b/>
          <w:bCs/>
        </w:rPr>
      </w:pPr>
    </w:p>
    <w:p w14:paraId="5269776F" w14:textId="77777777" w:rsidR="000B69D3" w:rsidRDefault="000B69D3" w:rsidP="00186188">
      <w:pPr>
        <w:rPr>
          <w:b/>
          <w:bCs/>
        </w:rPr>
      </w:pPr>
    </w:p>
    <w:p w14:paraId="3087102C" w14:textId="77777777" w:rsidR="000B69D3" w:rsidRDefault="000B69D3" w:rsidP="00186188">
      <w:pPr>
        <w:rPr>
          <w:b/>
          <w:bCs/>
        </w:rPr>
      </w:pPr>
    </w:p>
    <w:p w14:paraId="3140415B" w14:textId="77777777" w:rsidR="000B69D3" w:rsidRDefault="000B69D3" w:rsidP="00186188">
      <w:pPr>
        <w:rPr>
          <w:b/>
          <w:bCs/>
        </w:rPr>
      </w:pPr>
    </w:p>
    <w:p w14:paraId="7881ADF2" w14:textId="77777777" w:rsidR="000B69D3" w:rsidRDefault="000B69D3" w:rsidP="00186188">
      <w:pPr>
        <w:rPr>
          <w:b/>
          <w:bCs/>
        </w:rPr>
      </w:pPr>
    </w:p>
    <w:p w14:paraId="7A8208AB" w14:textId="77777777" w:rsidR="000B69D3" w:rsidRDefault="000B69D3" w:rsidP="00186188">
      <w:pPr>
        <w:rPr>
          <w:b/>
          <w:bCs/>
        </w:rPr>
      </w:pPr>
    </w:p>
    <w:p w14:paraId="67033F4D" w14:textId="77777777" w:rsidR="000B69D3" w:rsidRDefault="000B69D3" w:rsidP="00186188">
      <w:pPr>
        <w:rPr>
          <w:b/>
          <w:bCs/>
        </w:rPr>
      </w:pPr>
    </w:p>
    <w:p w14:paraId="6B018218" w14:textId="77777777" w:rsidR="000B69D3" w:rsidRDefault="000B69D3" w:rsidP="00186188">
      <w:pPr>
        <w:rPr>
          <w:b/>
          <w:bCs/>
        </w:rPr>
      </w:pPr>
    </w:p>
    <w:p w14:paraId="217F556F" w14:textId="77777777" w:rsidR="000B69D3" w:rsidRDefault="000B69D3" w:rsidP="00186188">
      <w:pPr>
        <w:rPr>
          <w:b/>
          <w:bCs/>
        </w:rPr>
      </w:pPr>
    </w:p>
    <w:p w14:paraId="09EA4ECC" w14:textId="77777777" w:rsidR="000B69D3" w:rsidRDefault="000B69D3" w:rsidP="00186188">
      <w:pPr>
        <w:rPr>
          <w:b/>
          <w:bCs/>
        </w:rPr>
      </w:pPr>
    </w:p>
    <w:p w14:paraId="72F5C3DC" w14:textId="314046D6" w:rsidR="00186188" w:rsidRPr="00075788" w:rsidRDefault="00186188" w:rsidP="00186188">
      <w:r w:rsidRPr="00075788">
        <w:rPr>
          <w:b/>
          <w:bCs/>
        </w:rPr>
        <w:lastRenderedPageBreak/>
        <w:t xml:space="preserve">Figure 4.3: </w:t>
      </w:r>
      <w:r>
        <w:rPr>
          <w:b/>
          <w:bCs/>
        </w:rPr>
        <w:t>net zero</w:t>
      </w:r>
      <w:r w:rsidRPr="00075788">
        <w:rPr>
          <w:b/>
          <w:bCs/>
        </w:rPr>
        <w:t xml:space="preserve"> economic typology of ITL</w:t>
      </w:r>
      <w:r>
        <w:rPr>
          <w:b/>
          <w:bCs/>
        </w:rPr>
        <w:t>2</w:t>
      </w:r>
      <w:r w:rsidRPr="00075788">
        <w:rPr>
          <w:b/>
          <w:bCs/>
        </w:rPr>
        <w:t xml:space="preserve"> areas in the North of England</w:t>
      </w:r>
    </w:p>
    <w:p w14:paraId="5967CC47" w14:textId="77777777" w:rsidR="00186188" w:rsidRDefault="00186188" w:rsidP="00186188">
      <w:r w:rsidRPr="00DF5C0B">
        <w:rPr>
          <w:noProof/>
        </w:rPr>
        <w:drawing>
          <wp:inline distT="0" distB="0" distL="0" distR="0" wp14:anchorId="5472BFB2" wp14:editId="5130FCAF">
            <wp:extent cx="5731510" cy="4006850"/>
            <wp:effectExtent l="0" t="0" r="0" b="6350"/>
            <wp:docPr id="1903288626" name="Picture 1" descr="A graph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88626" name="Picture 1" descr="A graph of a company&#10;&#10;AI-generated content may be incorrect."/>
                    <pic:cNvPicPr/>
                  </pic:nvPicPr>
                  <pic:blipFill>
                    <a:blip r:embed="rId13"/>
                    <a:stretch>
                      <a:fillRect/>
                    </a:stretch>
                  </pic:blipFill>
                  <pic:spPr>
                    <a:xfrm>
                      <a:off x="0" y="0"/>
                      <a:ext cx="5731510" cy="4006850"/>
                    </a:xfrm>
                    <a:prstGeom prst="rect">
                      <a:avLst/>
                    </a:prstGeom>
                  </pic:spPr>
                </pic:pic>
              </a:graphicData>
            </a:graphic>
          </wp:inline>
        </w:drawing>
      </w:r>
    </w:p>
    <w:p w14:paraId="7E149548" w14:textId="77777777" w:rsidR="00186188" w:rsidRDefault="00186188" w:rsidP="00186188">
      <w:pPr>
        <w:ind w:left="720"/>
        <w:rPr>
          <w:i/>
          <w:iCs/>
          <w:sz w:val="16"/>
          <w:szCs w:val="16"/>
        </w:rPr>
      </w:pPr>
      <w:r w:rsidRPr="008628D7">
        <w:rPr>
          <w:i/>
          <w:iCs/>
          <w:sz w:val="16"/>
          <w:szCs w:val="16"/>
        </w:rPr>
        <w:t>Each point represents an ITL2 area in the North of England, plotted by net zero jobs as a share of total employment (x-axis) and net zero GVA per job (y-axis). The dashed lines denote the North of England ITL2 mean values for net zero employment intensity (2.432%) and net zero productivity (£93,614 per job). The figure identifies four broad economic roles within the net zero economy: areas that are employment-intensive, value-intensive, balanced in terms of employment and productivity, and areas where net zero activity remains relatively marginal on both dimensions</w:t>
      </w:r>
    </w:p>
    <w:p w14:paraId="0E4A18A9" w14:textId="77777777" w:rsidR="00463A94" w:rsidRDefault="00463A94" w:rsidP="00186188"/>
    <w:p w14:paraId="76AFF505" w14:textId="0697F2CB" w:rsidR="00186188" w:rsidRDefault="00186188" w:rsidP="00186188">
      <w:r w:rsidRPr="00BB52BB">
        <w:t xml:space="preserve">At ITL2 level, the typology highlights clear strategic differentiation. Some areas combine strong employment and productivity performance, while others specialise either in employment-intensive or value-intensive net zero activity. West Yorkshire and </w:t>
      </w:r>
      <w:r>
        <w:t>Greater Manchester</w:t>
      </w:r>
      <w:r w:rsidRPr="00BB52BB">
        <w:t xml:space="preserve"> fall below the</w:t>
      </w:r>
      <w:r>
        <w:t xml:space="preserve"> average</w:t>
      </w:r>
      <w:r w:rsidRPr="00BB52BB">
        <w:t xml:space="preserve"> on both dimensions, indicating a more marginal net zero role at present</w:t>
      </w:r>
      <w:r>
        <w:t>, given the breadth of their much larger economies.</w:t>
      </w:r>
    </w:p>
    <w:p w14:paraId="24B67F47" w14:textId="77777777" w:rsidR="000B69D3" w:rsidRDefault="000B69D3" w:rsidP="00186188">
      <w:pPr>
        <w:rPr>
          <w:b/>
          <w:bCs/>
        </w:rPr>
      </w:pPr>
    </w:p>
    <w:p w14:paraId="2DA50C2F" w14:textId="77777777" w:rsidR="000B69D3" w:rsidRDefault="000B69D3" w:rsidP="00186188">
      <w:pPr>
        <w:rPr>
          <w:b/>
          <w:bCs/>
        </w:rPr>
      </w:pPr>
    </w:p>
    <w:p w14:paraId="05AAE9BC" w14:textId="77777777" w:rsidR="000B69D3" w:rsidRDefault="000B69D3" w:rsidP="00186188">
      <w:pPr>
        <w:rPr>
          <w:b/>
          <w:bCs/>
        </w:rPr>
      </w:pPr>
    </w:p>
    <w:p w14:paraId="61584E06" w14:textId="77777777" w:rsidR="000B69D3" w:rsidRDefault="000B69D3" w:rsidP="00186188">
      <w:pPr>
        <w:rPr>
          <w:b/>
          <w:bCs/>
        </w:rPr>
      </w:pPr>
    </w:p>
    <w:p w14:paraId="340B5DE3" w14:textId="77777777" w:rsidR="000B69D3" w:rsidRDefault="000B69D3" w:rsidP="00186188">
      <w:pPr>
        <w:rPr>
          <w:b/>
          <w:bCs/>
        </w:rPr>
      </w:pPr>
    </w:p>
    <w:p w14:paraId="1E82A15F" w14:textId="77777777" w:rsidR="000B69D3" w:rsidRDefault="000B69D3" w:rsidP="00186188">
      <w:pPr>
        <w:rPr>
          <w:b/>
          <w:bCs/>
        </w:rPr>
      </w:pPr>
    </w:p>
    <w:p w14:paraId="5757C969" w14:textId="036A426A" w:rsidR="00186188" w:rsidRPr="00075788" w:rsidRDefault="00186188" w:rsidP="00186188">
      <w:r w:rsidRPr="00075788">
        <w:rPr>
          <w:b/>
          <w:bCs/>
        </w:rPr>
        <w:lastRenderedPageBreak/>
        <w:t>Figure 4.</w:t>
      </w:r>
      <w:r>
        <w:rPr>
          <w:b/>
          <w:bCs/>
        </w:rPr>
        <w:t>4</w:t>
      </w:r>
      <w:r w:rsidRPr="00075788">
        <w:rPr>
          <w:b/>
          <w:bCs/>
        </w:rPr>
        <w:t xml:space="preserve">: </w:t>
      </w:r>
      <w:r>
        <w:rPr>
          <w:b/>
          <w:bCs/>
        </w:rPr>
        <w:t>net zero</w:t>
      </w:r>
      <w:r w:rsidRPr="00075788">
        <w:rPr>
          <w:b/>
          <w:bCs/>
        </w:rPr>
        <w:t xml:space="preserve"> economic typology of ITL</w:t>
      </w:r>
      <w:r>
        <w:rPr>
          <w:b/>
          <w:bCs/>
        </w:rPr>
        <w:t>3</w:t>
      </w:r>
      <w:r w:rsidRPr="00075788">
        <w:rPr>
          <w:b/>
          <w:bCs/>
        </w:rPr>
        <w:t xml:space="preserve"> areas in the North of England</w:t>
      </w:r>
    </w:p>
    <w:p w14:paraId="5DD6A014" w14:textId="77777777" w:rsidR="00186188" w:rsidRDefault="00186188" w:rsidP="00186188">
      <w:r w:rsidRPr="00723B74">
        <w:rPr>
          <w:noProof/>
        </w:rPr>
        <w:drawing>
          <wp:inline distT="0" distB="0" distL="0" distR="0" wp14:anchorId="5F5AAA6D" wp14:editId="3449042B">
            <wp:extent cx="5731510" cy="4457700"/>
            <wp:effectExtent l="0" t="0" r="0" b="0"/>
            <wp:docPr id="695268033" name="Picture 1" descr="A graph with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68033" name="Picture 1" descr="A graph with different colored dots&#10;&#10;AI-generated content may be incorrect."/>
                    <pic:cNvPicPr/>
                  </pic:nvPicPr>
                  <pic:blipFill>
                    <a:blip r:embed="rId14"/>
                    <a:stretch>
                      <a:fillRect/>
                    </a:stretch>
                  </pic:blipFill>
                  <pic:spPr>
                    <a:xfrm>
                      <a:off x="0" y="0"/>
                      <a:ext cx="5731510" cy="4457700"/>
                    </a:xfrm>
                    <a:prstGeom prst="rect">
                      <a:avLst/>
                    </a:prstGeom>
                  </pic:spPr>
                </pic:pic>
              </a:graphicData>
            </a:graphic>
          </wp:inline>
        </w:drawing>
      </w:r>
    </w:p>
    <w:p w14:paraId="0DC7FE6E" w14:textId="77777777" w:rsidR="00186188" w:rsidRDefault="00186188" w:rsidP="00186188">
      <w:pPr>
        <w:ind w:left="720"/>
        <w:rPr>
          <w:i/>
          <w:iCs/>
          <w:sz w:val="16"/>
          <w:szCs w:val="16"/>
        </w:rPr>
      </w:pPr>
      <w:r w:rsidRPr="00C10A1B">
        <w:rPr>
          <w:i/>
          <w:iCs/>
          <w:sz w:val="16"/>
          <w:szCs w:val="16"/>
        </w:rPr>
        <w:t>Each point represents an ITL3 area in the North of England, plotted by net zero jobs share (x-axis) and net zero GVA per job (y-axis). The dashed lines denote the North of England ITL3 mean values for net zero employment intensity and net zero productivity, dividing areas into four quadrants. The figure highlights four distinct economic roles within the net zero economy at a more granular spatial scale: employment-intensive, value-intensive, balanced, and marginal.</w:t>
      </w:r>
    </w:p>
    <w:p w14:paraId="4C78694C" w14:textId="77777777" w:rsidR="00186188" w:rsidRDefault="00186188" w:rsidP="00186188">
      <w:r>
        <w:t xml:space="preserve">At ITL3 level, the pattern becomes significantly more fragmented. Employment-intensive net zero activity is highly concentrated in a small number of places, most notably Cheshire West and Chester, reflecting the influence of specific large-scale assets. In contrast, high-productivity net zero activity is more widely distributed across the North. Several areas - including </w:t>
      </w:r>
      <w:r w:rsidRPr="00CF2CEA">
        <w:t>South Teesside</w:t>
      </w:r>
      <w:r>
        <w:t>, Rotherham and Westmorland and Furness - combine relatively high productivity with meaningful employment intensity, indicating strong local value capture.</w:t>
      </w:r>
    </w:p>
    <w:p w14:paraId="426C704F" w14:textId="77777777" w:rsidR="00186188" w:rsidRDefault="00186188" w:rsidP="00186188">
      <w:r>
        <w:t>Major urban economies such as Manchester and Liverpool fall within the marginal quadrant, reflecting the fact that while net zero activity is present in absolute terms, it accounts for a relatively small share of both employment and output within highly diversified city economies.</w:t>
      </w:r>
    </w:p>
    <w:p w14:paraId="551D6F86" w14:textId="77777777" w:rsidR="00186188" w:rsidRDefault="00186188" w:rsidP="00186188">
      <w:r>
        <w:br w:type="page"/>
      </w:r>
    </w:p>
    <w:p w14:paraId="654C45F0" w14:textId="77777777" w:rsidR="00186188" w:rsidRPr="00313406" w:rsidRDefault="00186188" w:rsidP="00186188">
      <w:pPr>
        <w:pStyle w:val="Heading1"/>
      </w:pPr>
      <w:bookmarkStart w:id="10" w:name="_Toc218945918"/>
      <w:r w:rsidRPr="00313406">
        <w:lastRenderedPageBreak/>
        <w:t xml:space="preserve">5: Investment in the </w:t>
      </w:r>
      <w:r>
        <w:t>net zero</w:t>
      </w:r>
      <w:r w:rsidRPr="00313406">
        <w:t xml:space="preserve"> economy</w:t>
      </w:r>
      <w:bookmarkEnd w:id="10"/>
    </w:p>
    <w:p w14:paraId="3A23F55C" w14:textId="77777777" w:rsidR="00186188" w:rsidRPr="00313406" w:rsidRDefault="00186188" w:rsidP="00186188">
      <w:r w:rsidRPr="00313406">
        <w:t xml:space="preserve">The analysis in Sections 3 and 4 demonstrates that the </w:t>
      </w:r>
      <w:r>
        <w:t>net zero</w:t>
      </w:r>
      <w:r w:rsidRPr="00313406">
        <w:t xml:space="preserve"> economy in the North of England is not uniform in either scale or economic character. Instead, it is structured around a set of distinct economic roles that vary systematically across places. These roles are visible at both ITL2 and ITL3 levels and reflect differences in industrial structure, asset bases, skills, and position within national and international supply chains.</w:t>
      </w:r>
    </w:p>
    <w:p w14:paraId="108896DA" w14:textId="77777777" w:rsidR="00186188" w:rsidRPr="00313406" w:rsidRDefault="00186188" w:rsidP="00186188">
      <w:r w:rsidRPr="00313406">
        <w:t>This has important implications for how policy and investment should be designed and targeted. A single, uniform approach to supporting net zero growth risks being inefficient at best and counterproductive at worst. Instead, policy should recognise that different places face different challenges and opportunities, and that the economic returns to intervention will vary accordingly.</w:t>
      </w:r>
    </w:p>
    <w:p w14:paraId="630FE729" w14:textId="77777777" w:rsidR="00186188" w:rsidRPr="00313406" w:rsidRDefault="00186188" w:rsidP="00186188">
      <w:pPr>
        <w:pStyle w:val="Heading2"/>
      </w:pPr>
      <w:bookmarkStart w:id="11" w:name="_Toc218945919"/>
      <w:r w:rsidRPr="00313406">
        <w:t>5.1 Strategic roles at ITL2 level</w:t>
      </w:r>
      <w:bookmarkEnd w:id="11"/>
    </w:p>
    <w:p w14:paraId="7423F20C" w14:textId="77777777" w:rsidR="00186188" w:rsidRPr="00313406" w:rsidRDefault="00186188" w:rsidP="00186188">
      <w:r w:rsidRPr="00313406">
        <w:t>The ITL2 quadrant analysis (Figure 4.3) provides a strategic overview of how net zero activity is embedded across the North. Four broad patterns are apparent.</w:t>
      </w:r>
    </w:p>
    <w:p w14:paraId="2209B49E" w14:textId="7FD2FEB2" w:rsidR="00186188" w:rsidRPr="00771362" w:rsidRDefault="00186188" w:rsidP="00186188">
      <w:r w:rsidRPr="00771362">
        <w:t>First, a small number of ITL2 areas combine above-</w:t>
      </w:r>
      <w:r>
        <w:t>average</w:t>
      </w:r>
      <w:r w:rsidRPr="00771362">
        <w:t xml:space="preserve"> net zero employment shares and above-</w:t>
      </w:r>
      <w:r>
        <w:t xml:space="preserve">average </w:t>
      </w:r>
      <w:r w:rsidRPr="00771362">
        <w:t xml:space="preserve">productivity, placing them in the balanced quadrant. These areas, including </w:t>
      </w:r>
      <w:r w:rsidR="00CF2CEA">
        <w:t xml:space="preserve">the </w:t>
      </w:r>
      <w:proofErr w:type="gramStart"/>
      <w:r>
        <w:t>North East</w:t>
      </w:r>
      <w:proofErr w:type="gramEnd"/>
      <w:r w:rsidRPr="00771362">
        <w:t>, are well positioned to capture both employment and value from net zero activity. They typically host a mix of industrial assets, services, innovation capacity and supply chain depth.</w:t>
      </w:r>
    </w:p>
    <w:p w14:paraId="6962C76B" w14:textId="77777777" w:rsidR="00186188" w:rsidRPr="00771362" w:rsidRDefault="00186188" w:rsidP="00186188">
      <w:r w:rsidRPr="00771362">
        <w:t>In these areas, policy priorities should focus on scaling and acceleration. This includes support for inward investment, expansion of existing firms, and the strengthening of innovation ecosystems that allow firms to move up the value chain. Public investment in enabling infrastructure, including transport, digital connectivity and energy networks, is likely to crowd in private capital by reducing delivery risk and improving commercial viability.</w:t>
      </w:r>
    </w:p>
    <w:p w14:paraId="0D8952A7" w14:textId="77777777" w:rsidR="00186188" w:rsidRPr="00771362" w:rsidRDefault="00186188" w:rsidP="00186188">
      <w:r w:rsidRPr="00771362">
        <w:t xml:space="preserve">Second, some ITL2 areas are characterised by employment-intensive but lower-productivity net zero activity, most notably Cheshire. These areas host a </w:t>
      </w:r>
      <w:r>
        <w:t>relatively</w:t>
      </w:r>
      <w:r w:rsidRPr="00771362">
        <w:t xml:space="preserve"> large share of the North’s net zero </w:t>
      </w:r>
      <w:proofErr w:type="gramStart"/>
      <w:r w:rsidRPr="00771362">
        <w:t>workforce, but</w:t>
      </w:r>
      <w:proofErr w:type="gramEnd"/>
      <w:r w:rsidRPr="00771362">
        <w:t xml:space="preserve"> generate relatively low value per job. This pattern reflects the presence of labour-intensive activity and, in some cases, a reliance on established industrial processes.</w:t>
      </w:r>
    </w:p>
    <w:p w14:paraId="62377B7B" w14:textId="77777777" w:rsidR="00463A94" w:rsidRDefault="00186188" w:rsidP="00186188">
      <w:r w:rsidRPr="00771362">
        <w:t>In these places, the challenge is not job creation but value capture and progression.</w:t>
      </w:r>
      <w:r w:rsidRPr="00313406">
        <w:t xml:space="preserve"> Policy interventions should therefore focus on skills upgrading, workforce progression and innovation adoption, rather than simply expanding employment. Investment in training, reskilling and management capability can help raise productivity and wages, while targeted support for process innovation and digitalisation can improve value added without reducing employment.</w:t>
      </w:r>
    </w:p>
    <w:p w14:paraId="43ACBADF" w14:textId="71F5151A" w:rsidR="00186188" w:rsidRPr="009138E0" w:rsidRDefault="00186188" w:rsidP="00186188">
      <w:r w:rsidRPr="00313406">
        <w:lastRenderedPageBreak/>
        <w:t xml:space="preserve">Third, several ITL2 areas fall into </w:t>
      </w:r>
      <w:r w:rsidRPr="009138E0">
        <w:t>the value-intensive quadrant, including Cumbria, Merseyside and North Yorkshire. These areas generate high levels of net zero GVA per job but support relatively smaller net zero workforces. This pattern is often associated with capital-intensive activity such as energy generation or specialised engineering.</w:t>
      </w:r>
    </w:p>
    <w:p w14:paraId="5489C41E" w14:textId="77777777" w:rsidR="00186188" w:rsidRPr="009138E0" w:rsidRDefault="00186188" w:rsidP="00186188">
      <w:r w:rsidRPr="009138E0">
        <w:t>For these areas, the key risk is that high-value activity remains weakly embedded in the local economy. Policy should therefore focus on anchoring value locally, for example by strengthening local supply chains, supporting local SMEs to participate in procurement, and ensuring skills provision aligns with the needs of high-value employers. Without this, the economic benefits of net zero activity may leak out of the region.</w:t>
      </w:r>
    </w:p>
    <w:p w14:paraId="44359B33" w14:textId="7A09BE5D" w:rsidR="00186188" w:rsidRPr="00313406" w:rsidRDefault="00186188" w:rsidP="00186188">
      <w:r w:rsidRPr="009138E0">
        <w:t xml:space="preserve">Finally, some ITL2 areas, including West Yorkshire and Lancashire, fall below the </w:t>
      </w:r>
      <w:r>
        <w:t>average</w:t>
      </w:r>
      <w:r w:rsidRPr="009138E0">
        <w:t xml:space="preserve"> on both employment share and productivity. </w:t>
      </w:r>
      <w:r w:rsidRPr="002C3BD3">
        <w:t>In these areas, net zero activity currently plays a relatively marginal role in the economy due to its size and diversity.</w:t>
      </w:r>
    </w:p>
    <w:p w14:paraId="578FC75F" w14:textId="77777777" w:rsidR="00186188" w:rsidRPr="00313406" w:rsidRDefault="00186188" w:rsidP="00186188">
      <w:pPr>
        <w:pStyle w:val="Heading2"/>
      </w:pPr>
      <w:bookmarkStart w:id="12" w:name="_Toc218945920"/>
      <w:r w:rsidRPr="00313406">
        <w:t>5.2 Local differentiation at ITL3 level</w:t>
      </w:r>
      <w:bookmarkEnd w:id="12"/>
    </w:p>
    <w:p w14:paraId="41E06B2B" w14:textId="77777777" w:rsidR="00186188" w:rsidRPr="00313406" w:rsidRDefault="00186188" w:rsidP="00186188">
      <w:r w:rsidRPr="00313406">
        <w:t>While the ITL2 analysis provides strategic clarity, it also masks substantial variation within regions. The ITL3 quadrant analysis (Figure 4.4) reveals a much more fragmented landscape, with sharp contrasts between neighbouring areas.</w:t>
      </w:r>
    </w:p>
    <w:p w14:paraId="597C1A6D" w14:textId="77777777" w:rsidR="00186188" w:rsidRPr="00313406" w:rsidRDefault="00186188" w:rsidP="00186188">
      <w:r w:rsidRPr="00313406">
        <w:t>At ITL3 level, employment-intensive net zero activity is highly concentrated in a very small number of places, most notably Cheshire West and Chester. This concentration means that a significant share of the North’s net zero workforce is exposed to a narrow set of local economic conditions. From a policy perspective, this raises questions regarding resilience, progression and long-term sustainability.</w:t>
      </w:r>
    </w:p>
    <w:p w14:paraId="090E9E38" w14:textId="77777777" w:rsidR="00186188" w:rsidRPr="00313406" w:rsidRDefault="00186188" w:rsidP="00186188">
      <w:r w:rsidRPr="00313406">
        <w:t>Balanced ITL3 areas, such as South Teesside, Rotherham and Westmorland and Furness, stand out as places where net zero activity delivers both employment and high productivity. These areas often combine industrial assets with strong value capture and are likely to offer the highest short-term economic returns to investment. However, they may also face acute constraints, including grid capacity, planning bottlenecks or skills shortages, that could limit further growth.</w:t>
      </w:r>
    </w:p>
    <w:p w14:paraId="10D87CEC" w14:textId="77777777" w:rsidR="00186188" w:rsidRDefault="00186188" w:rsidP="00186188">
      <w:r w:rsidRPr="006B2E97">
        <w:t>Major urban economies such as Manchester and Liverpool fall within the marginal quadrant at ITL3 level. This reflects the fact that, while net zero activity is present in absolute terms, it accounts for a relatively small share of both employment and output within highly diversified city economies. Net zero functions in these areas are often embedded within wider professional, technical and service-based sectors, rather than forming a distinct or specialised economic focus.</w:t>
      </w:r>
    </w:p>
    <w:p w14:paraId="79DBDEA0" w14:textId="77777777" w:rsidR="00463A94" w:rsidRDefault="00186188" w:rsidP="00186188">
      <w:r w:rsidRPr="00313406">
        <w:t xml:space="preserve">In contrast, </w:t>
      </w:r>
      <w:proofErr w:type="gramStart"/>
      <w:r w:rsidRPr="00313406">
        <w:t>a large number of</w:t>
      </w:r>
      <w:proofErr w:type="gramEnd"/>
      <w:r w:rsidRPr="00313406">
        <w:t xml:space="preserve"> ITL3 areas fall into the marginal quadrant, with both low employment shares and low productivity. These areas often include parts of larger urban economies where net zero activity is currently underdeveloped. For these places, the net</w:t>
      </w:r>
    </w:p>
    <w:p w14:paraId="5C3D3483" w14:textId="76B4317F" w:rsidR="00186188" w:rsidRPr="00313406" w:rsidRDefault="00186188" w:rsidP="00186188">
      <w:r w:rsidRPr="00313406">
        <w:lastRenderedPageBreak/>
        <w:t>zero transition represents a longer-term opportunity rather than an immediate driver of growth.</w:t>
      </w:r>
    </w:p>
    <w:p w14:paraId="33146A12" w14:textId="77777777" w:rsidR="00186188" w:rsidRPr="00313406" w:rsidRDefault="00186188" w:rsidP="00186188">
      <w:pPr>
        <w:pStyle w:val="Heading2"/>
      </w:pPr>
      <w:bookmarkStart w:id="13" w:name="_Toc218945921"/>
      <w:r w:rsidRPr="00313406">
        <w:t>5.3 Aligning investment approaches to place-based roles</w:t>
      </w:r>
      <w:bookmarkEnd w:id="13"/>
    </w:p>
    <w:p w14:paraId="3135FE45" w14:textId="77777777" w:rsidR="00186188" w:rsidRPr="00313406" w:rsidRDefault="00186188" w:rsidP="00186188">
      <w:r w:rsidRPr="00313406">
        <w:t>The diversity of economic roles identified in the quadrant analysis has clear implications for how investment should be structured.</w:t>
      </w:r>
    </w:p>
    <w:p w14:paraId="7F686CB6" w14:textId="77777777" w:rsidR="00186188" w:rsidRPr="00313406" w:rsidRDefault="00186188" w:rsidP="00186188">
      <w:r w:rsidRPr="00313406">
        <w:t xml:space="preserve">In </w:t>
      </w:r>
      <w:r w:rsidRPr="00313406">
        <w:rPr>
          <w:b/>
          <w:bCs/>
        </w:rPr>
        <w:t>balanced areas</w:t>
      </w:r>
      <w:r w:rsidRPr="00313406">
        <w:t xml:space="preserve">, blended investment models that combine public capital, private finance and institutional investment are likely to be most effective. These areas can absorb investment at </w:t>
      </w:r>
      <w:proofErr w:type="gramStart"/>
      <w:r w:rsidRPr="00313406">
        <w:t>scale, but</w:t>
      </w:r>
      <w:proofErr w:type="gramEnd"/>
      <w:r w:rsidRPr="00313406">
        <w:t xml:space="preserve"> require coordinated action to address infrastructure and skills constraints.</w:t>
      </w:r>
    </w:p>
    <w:p w14:paraId="641F858A" w14:textId="77777777" w:rsidR="00186188" w:rsidRPr="00313406" w:rsidRDefault="00186188" w:rsidP="00186188">
      <w:r w:rsidRPr="00313406">
        <w:t xml:space="preserve">In </w:t>
      </w:r>
      <w:r w:rsidRPr="00313406">
        <w:rPr>
          <w:b/>
          <w:bCs/>
        </w:rPr>
        <w:t>employment-intensive areas</w:t>
      </w:r>
      <w:r w:rsidRPr="00313406">
        <w:t>, the priority should be improving productivity and value capture rather than expanding headcount. This suggests a focus on skills, innovation support and management capability, rather than traditional job-creation incentives.</w:t>
      </w:r>
    </w:p>
    <w:p w14:paraId="2852EFE7" w14:textId="77777777" w:rsidR="00186188" w:rsidRPr="00313406" w:rsidRDefault="00186188" w:rsidP="00186188">
      <w:r w:rsidRPr="00313406">
        <w:t xml:space="preserve">In </w:t>
      </w:r>
      <w:r w:rsidRPr="00313406">
        <w:rPr>
          <w:b/>
          <w:bCs/>
        </w:rPr>
        <w:t>value-intensive areas</w:t>
      </w:r>
      <w:r w:rsidRPr="00313406">
        <w:t>, policy should work to expand local linkages and ensure that high-value activity generates wider economic benefits. This includes support for supply chain development, local procurement and knowledge spillovers.</w:t>
      </w:r>
    </w:p>
    <w:p w14:paraId="10CA328F" w14:textId="77777777" w:rsidR="00186188" w:rsidRPr="00313406" w:rsidRDefault="00186188" w:rsidP="00186188">
      <w:r w:rsidRPr="00313406">
        <w:t xml:space="preserve">In </w:t>
      </w:r>
      <w:r w:rsidRPr="00313406">
        <w:rPr>
          <w:b/>
          <w:bCs/>
        </w:rPr>
        <w:t>marginal areas</w:t>
      </w:r>
      <w:r w:rsidRPr="00313406">
        <w:t>, early-stage public investment and risk-sharing mechanisms will often be necessary to unlock private capital. Without this, market forces alone are unlikely to deliver meaningful net zero growth.</w:t>
      </w:r>
    </w:p>
    <w:p w14:paraId="38024FEC" w14:textId="77777777" w:rsidR="00186188" w:rsidRPr="00313406" w:rsidRDefault="00186188" w:rsidP="00186188">
      <w:pPr>
        <w:pStyle w:val="Heading2"/>
      </w:pPr>
      <w:bookmarkStart w:id="14" w:name="_Toc218945922"/>
      <w:r w:rsidRPr="00313406">
        <w:t>5.4 Implications for public and private investment</w:t>
      </w:r>
      <w:bookmarkEnd w:id="14"/>
    </w:p>
    <w:p w14:paraId="4BC0DE82" w14:textId="77777777" w:rsidR="00186188" w:rsidRPr="00313406" w:rsidRDefault="00186188" w:rsidP="00186188">
      <w:r w:rsidRPr="00313406">
        <w:t>The evidence additionally supports the importance of the relationship between public and private investment. As highlighted in the Cambridge Econometrics analysis of public–private investment splits, public investment plays a key role in de-risking projects, particularly in capital-intensive and early-stage net zero activities.</w:t>
      </w:r>
    </w:p>
    <w:p w14:paraId="41250FE5" w14:textId="77777777" w:rsidR="00186188" w:rsidRPr="00313406" w:rsidRDefault="00186188" w:rsidP="00186188">
      <w:r w:rsidRPr="00313406">
        <w:t>In the North, this de-risking role is especially important in areas where net zero activity is either highly concentrated or underdeveloped. Strategic public investment in infrastructure, skills and project development can unlock private capital, but only if it is aligned with the core economic role of each place.</w:t>
      </w:r>
    </w:p>
    <w:p w14:paraId="45DFA8E5" w14:textId="77777777" w:rsidR="00186188" w:rsidRPr="00313406" w:rsidRDefault="00186188" w:rsidP="00186188">
      <w:r w:rsidRPr="00313406">
        <w:t>A failure to differentiate risks either over-subsidising activity that would have happened anyway, or under-supporting areas where market failures are most acute.</w:t>
      </w:r>
    </w:p>
    <w:p w14:paraId="2A5CBCAA" w14:textId="77777777" w:rsidR="00CE1084" w:rsidRDefault="00CE1084" w:rsidP="00186188">
      <w:pPr>
        <w:pStyle w:val="Heading2"/>
      </w:pPr>
      <w:bookmarkStart w:id="15" w:name="_Toc218945923"/>
    </w:p>
    <w:p w14:paraId="305F37D4" w14:textId="16F75AA2" w:rsidR="00186188" w:rsidRPr="00313406" w:rsidRDefault="00186188" w:rsidP="00186188">
      <w:pPr>
        <w:pStyle w:val="Heading2"/>
      </w:pPr>
      <w:r w:rsidRPr="00313406">
        <w:t>5.5 From analysis to delivery</w:t>
      </w:r>
      <w:bookmarkEnd w:id="15"/>
    </w:p>
    <w:p w14:paraId="4FED834D" w14:textId="77777777" w:rsidR="00186188" w:rsidRPr="00313406" w:rsidRDefault="00186188" w:rsidP="00186188">
      <w:r w:rsidRPr="00313406">
        <w:t>Taken together, the quadrant analysis delivers a framework for moving from descriptive analysis to actionable policy. It allows decision-makers to distinguish between places where the priority is scaling, upgrading, or capacity-building.</w:t>
      </w:r>
    </w:p>
    <w:p w14:paraId="65D2FF28" w14:textId="77777777" w:rsidR="00186188" w:rsidRPr="00313406" w:rsidRDefault="00186188" w:rsidP="00186188">
      <w:r w:rsidRPr="00313406">
        <w:t xml:space="preserve">Crucially, it also highlights that success in the </w:t>
      </w:r>
      <w:r>
        <w:t>net zero</w:t>
      </w:r>
      <w:r w:rsidRPr="00313406">
        <w:t xml:space="preserve"> transition should not be judged solely by the number of jobs created. In many parts of the North, the greater prize lies in improving productivity, capturing value locally and embedding net zero activity within resilient regional economies.</w:t>
      </w:r>
    </w:p>
    <w:p w14:paraId="6A9387BB" w14:textId="77777777" w:rsidR="00186188" w:rsidRPr="00313406" w:rsidRDefault="00186188" w:rsidP="00186188">
      <w:r w:rsidRPr="00313406">
        <w:t>The next section builds on this framework by examining how these findings can inform delivery mechanisms, governance arrangements and the sequencing of investment over time.</w:t>
      </w:r>
    </w:p>
    <w:p w14:paraId="38CB07D8" w14:textId="77777777" w:rsidR="00186188" w:rsidRPr="00313406" w:rsidRDefault="00186188" w:rsidP="00186188"/>
    <w:p w14:paraId="5FF8CD6C" w14:textId="77777777" w:rsidR="00186188" w:rsidRDefault="00186188" w:rsidP="00186188"/>
    <w:p w14:paraId="66ED8DE9" w14:textId="77777777" w:rsidR="00186188" w:rsidRDefault="00186188" w:rsidP="00186188">
      <w:r>
        <w:br w:type="page"/>
      </w:r>
    </w:p>
    <w:p w14:paraId="426A1024" w14:textId="77777777" w:rsidR="00186188" w:rsidRPr="00AD4FB6" w:rsidRDefault="00186188" w:rsidP="00186188">
      <w:pPr>
        <w:pStyle w:val="Heading1"/>
      </w:pPr>
      <w:bookmarkStart w:id="16" w:name="_Toc218945924"/>
      <w:r w:rsidRPr="00AD4FB6">
        <w:lastRenderedPageBreak/>
        <w:t xml:space="preserve">6: Case studies: </w:t>
      </w:r>
      <w:r>
        <w:t>net zero</w:t>
      </w:r>
      <w:r w:rsidRPr="00AD4FB6">
        <w:t xml:space="preserve"> delivery in the North of England</w:t>
      </w:r>
      <w:bookmarkEnd w:id="16"/>
    </w:p>
    <w:p w14:paraId="79FA0F83" w14:textId="62D8FF20" w:rsidR="00186188" w:rsidRPr="00AD4FB6" w:rsidRDefault="00186188" w:rsidP="00186188">
      <w:r w:rsidRPr="00AD4FB6">
        <w:t xml:space="preserve">The scale and composition of the </w:t>
      </w:r>
      <w:r>
        <w:t>net zero</w:t>
      </w:r>
      <w:r w:rsidRPr="00AD4FB6">
        <w:t xml:space="preserve"> economy in the North of England </w:t>
      </w:r>
      <w:r w:rsidR="002C3BD3">
        <w:t>is</w:t>
      </w:r>
      <w:r w:rsidRPr="00AD4FB6">
        <w:t xml:space="preserve"> defined by a small number of key strategic assets and industrial clusters. As shown in Sections 3 and 4, net zero activity in the North is spatially concentrated, capital-intensive and uneven in its employment and productivity characteristics. The case studies set out below illustrate how these patterns translate into delivery on the ground, and how public and private investment interact in practice.</w:t>
      </w:r>
    </w:p>
    <w:p w14:paraId="49C75ED2" w14:textId="2C9D8CF5" w:rsidR="00BF66F1" w:rsidRPr="00AD4FB6" w:rsidRDefault="00186188" w:rsidP="00186188">
      <w:r w:rsidRPr="00AD4FB6">
        <w:t xml:space="preserve">Together, they demonstrate why a place-based approach to </w:t>
      </w:r>
      <w:r>
        <w:t>net zero</w:t>
      </w:r>
      <w:r w:rsidRPr="00AD4FB6">
        <w:t xml:space="preserve"> delivery is essential, especially in regions where large anchor assets underpin both decarbonisation and economic value creation.</w:t>
      </w:r>
      <w:r w:rsidR="00BF66F1">
        <w:t xml:space="preserve"> There are </w:t>
      </w:r>
      <w:proofErr w:type="gramStart"/>
      <w:r w:rsidR="00BF66F1">
        <w:t>a number of</w:t>
      </w:r>
      <w:proofErr w:type="gramEnd"/>
      <w:r w:rsidR="00BF66F1">
        <w:t xml:space="preserve"> opportunities which are pan Northern in scale, or which cross combined authority boundaries including on the Humber Estuary. </w:t>
      </w:r>
    </w:p>
    <w:p w14:paraId="6161C481" w14:textId="77777777" w:rsidR="00186188" w:rsidRPr="00AD4FB6" w:rsidRDefault="00186188" w:rsidP="00186188">
      <w:pPr>
        <w:pStyle w:val="Heading2"/>
      </w:pPr>
      <w:bookmarkStart w:id="17" w:name="_Toc218945927"/>
      <w:r w:rsidRPr="00AD4FB6">
        <w:t>Bioenergy with carbon capture at Drax Power Station</w:t>
      </w:r>
      <w:bookmarkEnd w:id="17"/>
    </w:p>
    <w:p w14:paraId="1E1D4E4E" w14:textId="12692916" w:rsidR="00186188" w:rsidRPr="00AD4FB6" w:rsidRDefault="00CA537D" w:rsidP="00186188">
      <w:r w:rsidRPr="00CA537D">
        <w:rPr>
          <w:i/>
          <w:iCs/>
        </w:rPr>
        <w:t>Drax Power Station in North Yorkshire is one of the most significant energy assets in the country providing power for millions of homes and conversion to operate with carbon capture could see the power station plays a central role in national net zero pathways. The site has already undergone a major structural transition, moving from coal-fired generation to large-scale sustainable biomass. The proposed deployment of bioenergy with carbon capture and storage represents the next phase of this transition and illustrates the economic and delivery challenges associated with capital-intensive net zero technologies.</w:t>
      </w:r>
    </w:p>
    <w:p w14:paraId="6551BCF5" w14:textId="77777777" w:rsidR="00186188" w:rsidRPr="00AD4FB6" w:rsidRDefault="00186188" w:rsidP="00186188">
      <w:r w:rsidRPr="00AD4FB6">
        <w:t>The deployment of carbon capture at Drax requires substantial private investment in plant, equipment and operational capability. However, private capital alone is insufficient to deliver the project. Carbon capture depends on the availability of shared transport and storage infrastructure, as well as on policy mechanisms that provide revenue certainty and manage long-term risk. These factors create a clear role for public investment in early-stage development, coordination and risk reduction.</w:t>
      </w:r>
    </w:p>
    <w:p w14:paraId="0BCAECCE" w14:textId="77777777" w:rsidR="00186188" w:rsidRPr="00AD4FB6" w:rsidRDefault="00186188" w:rsidP="00186188">
      <w:r w:rsidRPr="00AD4FB6">
        <w:t>The wider economic effects for the North are nonetheless significant. Drax supports a substantial number of direct and indirect jobs, many of them highly skilled, and its supply chains extend across the region. The development of carbon capture capability strengthens the North’s position in a strategically important technology, creating expertise that is transferable across power generation and industrial decarbonisation.</w:t>
      </w:r>
    </w:p>
    <w:p w14:paraId="4985A255" w14:textId="18F77393" w:rsidR="00C76F13" w:rsidRDefault="00186188" w:rsidP="00186188">
      <w:r w:rsidRPr="00AD4FB6">
        <w:t xml:space="preserve">Crucially, the economic benefits extend beyond the site itself. As highlighted in the typology analysis in Section 4, high-productivity net zero assets can act as anchors within regional economies, generating demand for specialist services, attracting inward investment and supporting complementary activity. The Drax example illustrates how targeted public </w:t>
      </w:r>
      <w:r w:rsidRPr="00AD4FB6">
        <w:lastRenderedPageBreak/>
        <w:t>intervention can unlock wider private investment and long-term economic value in places where market failures would otherwise constrain delivery.</w:t>
      </w:r>
    </w:p>
    <w:p w14:paraId="357E9E94" w14:textId="77777777" w:rsidR="00463A94" w:rsidRPr="00AD4FB6" w:rsidRDefault="00463A94" w:rsidP="00186188"/>
    <w:p w14:paraId="42438A4A" w14:textId="02F8AC52" w:rsidR="00C76F13" w:rsidRDefault="00186188" w:rsidP="00463A94">
      <w:pPr>
        <w:pStyle w:val="Heading2"/>
      </w:pPr>
      <w:bookmarkStart w:id="18" w:name="_Toc218945928"/>
      <w:r w:rsidRPr="00AD4FB6">
        <w:t>Industrial decarbonisation and carbon capture in the Humber</w:t>
      </w:r>
      <w:bookmarkEnd w:id="18"/>
    </w:p>
    <w:p w14:paraId="632E3171" w14:textId="5CC99A9D" w:rsidR="00C76F13" w:rsidRPr="00AD4FB6" w:rsidRDefault="00C76F13" w:rsidP="00C76F13">
      <w:r w:rsidRPr="00AD4FB6">
        <w:t xml:space="preserve">The Humber is one of the most important industrial clusters and one of </w:t>
      </w:r>
      <w:r w:rsidR="002C3BD3">
        <w:t>the</w:t>
      </w:r>
      <w:r w:rsidRPr="00AD4FB6">
        <w:t xml:space="preserve"> most emissions-intensive regions. It hosts a concentration of energy generation, chemicals, refining and manufacturing activity that is critical to national supply chains. Decarbonising this cluster is therefore central to achieving </w:t>
      </w:r>
      <w:r>
        <w:t>net zero</w:t>
      </w:r>
      <w:r w:rsidRPr="00AD4FB6">
        <w:t>, but it also represents a major opportunity to secure the long-term competitiveness of industry in the North.</w:t>
      </w:r>
    </w:p>
    <w:p w14:paraId="7E2BA6F8" w14:textId="3D3D5486" w:rsidR="00C76F13" w:rsidRPr="00AD4FB6" w:rsidRDefault="00C76F13" w:rsidP="00C76F13">
      <w:r w:rsidRPr="00AD4FB6">
        <w:t>As shown in the ITL2 and ITL3 analysis, parts of the Humber combine relatively high net zero employment shares with strong productivity performance. This reflects the scale of industrial activity in the area and the presence of energy</w:t>
      </w:r>
      <w:r w:rsidR="008D3FEC">
        <w:t xml:space="preserve"> </w:t>
      </w:r>
      <w:r w:rsidRPr="00AD4FB6">
        <w:t>and emissions-intensive sectors where decarbonisation investment has a material economic impact.</w:t>
      </w:r>
    </w:p>
    <w:p w14:paraId="6BB18003" w14:textId="77777777" w:rsidR="00C76F13" w:rsidRPr="00AD4FB6" w:rsidRDefault="00C76F13" w:rsidP="00C76F13">
      <w:r w:rsidRPr="00AD4FB6">
        <w:t>Industrial decarbonisation in the Humber depends on a portfolio of technologies, including carbon capture and storage, hydrogen production and electrification. Delivering these at scale needs integrated investment across firms, sectors and locations. Individual businesses are unlikely to invest in decarbonisation technologies if shared infrastructure does not exist, or if policy uncertainty undermines commercial viability. This creates a clear coordination problem that private markets alone cannot resolve.</w:t>
      </w:r>
    </w:p>
    <w:p w14:paraId="7569D76D" w14:textId="34DDF66D" w:rsidR="00C76F13" w:rsidRDefault="00C76F13" w:rsidP="00C76F13">
      <w:r>
        <w:t>Associated British Ports has achieved planning consent to build a new terminal, the Immingham Green Energy Terminal (IGET), that will play a pivotal role in the Viking CCS Cluster, one of the UK’s most significant industrial decarbonisation initiatives. By developing large</w:t>
      </w:r>
      <w:r>
        <w:rPr>
          <w:rFonts w:ascii="Cambria Math" w:hAnsi="Cambria Math" w:cs="Cambria Math"/>
        </w:rPr>
        <w:t>‑</w:t>
      </w:r>
      <w:r>
        <w:t>scale seaborne CO₂ transport infrastructure, this terminal will provide a flexible, high</w:t>
      </w:r>
      <w:r>
        <w:rPr>
          <w:rFonts w:ascii="Cambria Math" w:hAnsi="Cambria Math" w:cs="Cambria Math"/>
        </w:rPr>
        <w:t>‑</w:t>
      </w:r>
      <w:r>
        <w:t xml:space="preserve">volume route to move captured emissions from hard to abate industrial processes across the UK and </w:t>
      </w:r>
      <w:proofErr w:type="gramStart"/>
      <w:r>
        <w:t>North West</w:t>
      </w:r>
      <w:proofErr w:type="gramEnd"/>
      <w:r>
        <w:t xml:space="preserve"> Europe to long</w:t>
      </w:r>
      <w:r>
        <w:rPr>
          <w:rFonts w:ascii="Cambria Math" w:hAnsi="Cambria Math" w:cs="Cambria Math"/>
        </w:rPr>
        <w:t>‑</w:t>
      </w:r>
      <w:r>
        <w:t>term offshore storage, supporting high quality jobs, national decarbonisation and realising economic growth through exports.</w:t>
      </w:r>
    </w:p>
    <w:p w14:paraId="0B4665A8" w14:textId="47C8E1CE" w:rsidR="00C76F13" w:rsidRDefault="00C76F13" w:rsidP="00C76F13">
      <w:r>
        <w:t>Viking CCS brings together major industrial partners to deliver an end</w:t>
      </w:r>
      <w:r>
        <w:rPr>
          <w:rFonts w:ascii="Cambria Math" w:hAnsi="Cambria Math" w:cs="Cambria Math"/>
        </w:rPr>
        <w:t>‑</w:t>
      </w:r>
      <w:r>
        <w:t>to</w:t>
      </w:r>
      <w:r>
        <w:rPr>
          <w:rFonts w:ascii="Cambria Math" w:hAnsi="Cambria Math" w:cs="Cambria Math"/>
        </w:rPr>
        <w:t>‑</w:t>
      </w:r>
      <w:r>
        <w:t>end CO₂ capture, transport, and storage system. Its aim is to reduce emissions from the Humber - one of the UK’s most carbon</w:t>
      </w:r>
      <w:r>
        <w:rPr>
          <w:rFonts w:ascii="Cambria Math" w:hAnsi="Cambria Math" w:cs="Cambria Math"/>
        </w:rPr>
        <w:t>‑</w:t>
      </w:r>
      <w:r>
        <w:t>intensive regions - as well as from dispersed industrial sites that lack access to local storage. At peak construction, the project could create up to 8,000 skilled jobs and will generate £7billion GVA for the UK economy, making it a key driver of industrial transition and regional economic growth.</w:t>
      </w:r>
    </w:p>
    <w:p w14:paraId="4823956E" w14:textId="2C70B5E9" w:rsidR="00C76F13" w:rsidRDefault="00C76F13" w:rsidP="00C76F13">
      <w:r>
        <w:t xml:space="preserve">ABP’s terminal will serve as a national hub for receiving shipped CO₂ and transporting it to Viking’s Southern North Sea storage sites. With Europe facing sequestration shortfalls, it also enables the UK to offer CCS as an export service. Shipping captured CO2 is a vital step towards decarbonising energy generation and heavy industry and creates a market for a </w:t>
      </w:r>
      <w:r>
        <w:lastRenderedPageBreak/>
        <w:t>new energy commodity. The UK has world leading geological capacity for storing captured carbon.</w:t>
      </w:r>
    </w:p>
    <w:p w14:paraId="18286B1D" w14:textId="77777777" w:rsidR="00C76F13" w:rsidRDefault="00C76F13" w:rsidP="00C76F13">
      <w:r>
        <w:t>Ensuring this project can play its full part in the UK’s energy transition will require clear policy on carbon shipping, cooperative international arrangements, and dependable long</w:t>
      </w:r>
      <w:r>
        <w:rPr>
          <w:rFonts w:ascii="Cambria Math" w:hAnsi="Cambria Math" w:cs="Cambria Math"/>
        </w:rPr>
        <w:t>‑</w:t>
      </w:r>
      <w:r>
        <w:t>term investment frameworks.</w:t>
      </w:r>
    </w:p>
    <w:p w14:paraId="46906BE3" w14:textId="24158CA2" w:rsidR="00186188" w:rsidRPr="00AD4FB6" w:rsidRDefault="00186188" w:rsidP="00186188">
      <w:r w:rsidRPr="00AD4FB6">
        <w:t xml:space="preserve">The economic importance of this approach is considerable. Investment in industrial decarbonisation </w:t>
      </w:r>
      <w:proofErr w:type="gramStart"/>
      <w:r w:rsidR="00C76F13">
        <w:t xml:space="preserve">in particular </w:t>
      </w:r>
      <w:r w:rsidRPr="00AD4FB6">
        <w:t>can</w:t>
      </w:r>
      <w:proofErr w:type="gramEnd"/>
      <w:r w:rsidRPr="00AD4FB6">
        <w:t xml:space="preserve"> help safeguard existing employment, create new high-value roles and prevent the erosion of industrial capacity in the North. It additionally reinforces the region’s position as a location for future low-carbon manufacturing and energy-intensive industries</w:t>
      </w:r>
      <w:r>
        <w:t>.</w:t>
      </w:r>
    </w:p>
    <w:p w14:paraId="2D87B1B1" w14:textId="77777777" w:rsidR="00186188" w:rsidRPr="00AD4FB6" w:rsidRDefault="00186188" w:rsidP="00186188">
      <w:r w:rsidRPr="00AD4FB6">
        <w:t xml:space="preserve">The Humber case highlights a wider lesson for </w:t>
      </w:r>
      <w:r>
        <w:t>net zero</w:t>
      </w:r>
      <w:r w:rsidRPr="00AD4FB6">
        <w:t xml:space="preserve"> delivery. Large-scale decarbonisation is inherently spatial and systemic. Public investment is not simply a funding mechanism, but a tool for alignment, enabling private capital to support outcomes that are economically efficient and socially desirable but would not otherwise be delivered.</w:t>
      </w:r>
    </w:p>
    <w:p w14:paraId="49B89F0E" w14:textId="77777777" w:rsidR="00186188" w:rsidRPr="00AD4FB6" w:rsidRDefault="00186188" w:rsidP="00186188">
      <w:pPr>
        <w:pStyle w:val="Heading2"/>
      </w:pPr>
      <w:bookmarkStart w:id="19" w:name="_Toc218945929"/>
      <w:r w:rsidRPr="00AD4FB6">
        <w:t xml:space="preserve">Lessons for </w:t>
      </w:r>
      <w:r>
        <w:t>net zero</w:t>
      </w:r>
      <w:r w:rsidRPr="00AD4FB6">
        <w:t xml:space="preserve"> delivery in the North</w:t>
      </w:r>
      <w:bookmarkEnd w:id="19"/>
    </w:p>
    <w:p w14:paraId="4ABAA810" w14:textId="7FCAE5C1" w:rsidR="00186188" w:rsidRPr="00AD4FB6" w:rsidRDefault="00186188" w:rsidP="00186188">
      <w:r w:rsidRPr="00AD4FB6">
        <w:t xml:space="preserve">Taken together, these case studies reinforce </w:t>
      </w:r>
      <w:proofErr w:type="gramStart"/>
      <w:r w:rsidRPr="00AD4FB6">
        <w:t>a number of</w:t>
      </w:r>
      <w:proofErr w:type="gramEnd"/>
      <w:r w:rsidRPr="00AD4FB6">
        <w:t xml:space="preserve"> important points emerging from the analysis earlier in the report. First</w:t>
      </w:r>
      <w:r w:rsidR="008D3FEC">
        <w:t>ly</w:t>
      </w:r>
      <w:r w:rsidRPr="00AD4FB6">
        <w:t>, the most economically significant net zero opportunities in the North are closely tied to large, place-specific assets and clusters. Second</w:t>
      </w:r>
      <w:r w:rsidR="008D3FEC">
        <w:t>ly</w:t>
      </w:r>
      <w:r w:rsidRPr="00AD4FB6">
        <w:t xml:space="preserve">, while private investment is essential, it is rarely sufficient on its </w:t>
      </w:r>
      <w:r w:rsidR="008D3FEC" w:rsidRPr="00AD4FB6">
        <w:t>own</w:t>
      </w:r>
      <w:r w:rsidR="008D3FEC">
        <w:t xml:space="preserve">, given </w:t>
      </w:r>
      <w:r w:rsidRPr="00AD4FB6">
        <w:t>the presence of coordination failures, infrastructure constraints and early-stage risk. Third, the economic benefits of net zero investment extend well beyond just individual projects, shaping regional supply chains, skills demand and long-term competitiveness.</w:t>
      </w:r>
    </w:p>
    <w:p w14:paraId="75CE4EB1" w14:textId="5311DEEB" w:rsidR="00186188" w:rsidRPr="00AD4FB6" w:rsidRDefault="00186188" w:rsidP="00186188">
      <w:r w:rsidRPr="00AD4FB6">
        <w:t xml:space="preserve">These examples underline the importance of a strategic, place-based approach to </w:t>
      </w:r>
      <w:r>
        <w:t>net zero</w:t>
      </w:r>
      <w:r w:rsidRPr="00AD4FB6">
        <w:t xml:space="preserve"> delivery in the North of England</w:t>
      </w:r>
      <w:r>
        <w:t xml:space="preserve"> led by Mayoral Combined Authorities and with co-ordination </w:t>
      </w:r>
      <w:r w:rsidR="008D3FEC">
        <w:t xml:space="preserve">and support from </w:t>
      </w:r>
      <w:r>
        <w:t>the Northern Growth Corridor and nationally</w:t>
      </w:r>
      <w:r w:rsidRPr="00AD4FB6">
        <w:t>. Aligning national policy, regional leadership</w:t>
      </w:r>
      <w:r w:rsidR="006D0F8E">
        <w:t>, the Public Financial Institutions</w:t>
      </w:r>
      <w:r w:rsidRPr="00AD4FB6">
        <w:t xml:space="preserve"> and private capital is critical if decarbonisation objectives are to be achieved in a way that also supports productivity, resilience and sustainable economic growth.</w:t>
      </w:r>
    </w:p>
    <w:p w14:paraId="1945DBDD" w14:textId="77777777" w:rsidR="00BF66F1" w:rsidRPr="00BF66F1" w:rsidRDefault="00BF66F1" w:rsidP="00BF66F1">
      <w:r w:rsidRPr="00BF66F1">
        <w:rPr>
          <w:i/>
          <w:iCs/>
        </w:rPr>
        <w:t> </w:t>
      </w:r>
    </w:p>
    <w:p w14:paraId="06ADD730" w14:textId="77777777" w:rsidR="00186188" w:rsidRDefault="00186188" w:rsidP="00186188"/>
    <w:p w14:paraId="5624FBB7" w14:textId="77777777" w:rsidR="00186188" w:rsidRDefault="00186188" w:rsidP="00186188">
      <w:r>
        <w:br w:type="page"/>
      </w:r>
    </w:p>
    <w:p w14:paraId="63D98CEC" w14:textId="77777777" w:rsidR="00186188" w:rsidRDefault="00186188" w:rsidP="00186188">
      <w:pPr>
        <w:pStyle w:val="Heading1"/>
      </w:pPr>
      <w:bookmarkStart w:id="20" w:name="_Toc218945930"/>
      <w:r>
        <w:lastRenderedPageBreak/>
        <w:t xml:space="preserve">7: </w:t>
      </w:r>
      <w:r w:rsidRPr="00552A3B">
        <w:t xml:space="preserve">Barriers to growth in the </w:t>
      </w:r>
      <w:r>
        <w:t>net zero</w:t>
      </w:r>
      <w:r w:rsidRPr="00552A3B">
        <w:t xml:space="preserve"> economy</w:t>
      </w:r>
      <w:bookmarkEnd w:id="20"/>
    </w:p>
    <w:p w14:paraId="2C0013BA" w14:textId="77777777" w:rsidR="00186188" w:rsidRPr="00696819" w:rsidRDefault="00186188" w:rsidP="00186188">
      <w:r w:rsidRPr="00696819">
        <w:t xml:space="preserve">Despite the scale of opportunity, growth in the </w:t>
      </w:r>
      <w:r>
        <w:t>net zero</w:t>
      </w:r>
      <w:r w:rsidRPr="00696819">
        <w:t xml:space="preserve"> economy is not automatic. The analysis in previous chapters highlights </w:t>
      </w:r>
      <w:proofErr w:type="gramStart"/>
      <w:r w:rsidRPr="00696819">
        <w:t>a number of</w:t>
      </w:r>
      <w:proofErr w:type="gramEnd"/>
      <w:r w:rsidRPr="00696819">
        <w:t xml:space="preserve"> structural barriers that, if left unaddressed, will limit the pace of transition and constrain the economic benefits for the North of England.</w:t>
      </w:r>
    </w:p>
    <w:p w14:paraId="1A017FD1" w14:textId="77777777" w:rsidR="00186188" w:rsidRPr="00696819" w:rsidRDefault="00186188" w:rsidP="00186188">
      <w:r w:rsidRPr="00696819">
        <w:t>One of the most significant barriers is investment risk and uncertainty. Many net zero projects involve high upfront capital costs, long payback periods and exposure to regulatory and policy change. While private capital is available in principle, it is often reluctant to invest at scale without greater certainty over future market conditions, pricing and policy support. This is particularly acute for first-of-a-kind projects and shared infrastructure, where risks cannot be easily diversified.</w:t>
      </w:r>
    </w:p>
    <w:p w14:paraId="46914613" w14:textId="6674330D" w:rsidR="00186188" w:rsidRPr="00696819" w:rsidRDefault="00186188" w:rsidP="00186188">
      <w:r w:rsidRPr="00696819">
        <w:t xml:space="preserve">Grid capacity and infrastructure constraints present a further challenge. In several parts of the North, electricity network capacity is already limiting the deployment of new generation, storage and industrial electrification. Delays to grid connections increase costs and create uncertainty, undermining investor confidence. </w:t>
      </w:r>
      <w:r w:rsidR="00BF66F1">
        <w:t>It is hugely welcome that there are sig</w:t>
      </w:r>
      <w:r w:rsidR="006D0F8E">
        <w:t>n</w:t>
      </w:r>
      <w:r w:rsidR="00BF66F1">
        <w:t xml:space="preserve">ificant projects being led by National Grid across the country, </w:t>
      </w:r>
      <w:r w:rsidR="006D0F8E">
        <w:t>including</w:t>
      </w:r>
      <w:r w:rsidR="00BF66F1">
        <w:t xml:space="preserve"> </w:t>
      </w:r>
      <w:r w:rsidR="006D0F8E">
        <w:t>in</w:t>
      </w:r>
      <w:r w:rsidR="00BF66F1">
        <w:t xml:space="preserve"> the North of England. The Great Grid Upgrade is building capacity from Scotland to rest of the country </w:t>
      </w:r>
      <w:r w:rsidR="006D0F8E">
        <w:t>through</w:t>
      </w:r>
      <w:r w:rsidR="00BF66F1">
        <w:t xml:space="preserve"> the North a</w:t>
      </w:r>
      <w:r w:rsidR="006D0F8E">
        <w:t>s well as</w:t>
      </w:r>
      <w:r w:rsidR="00BF66F1">
        <w:t xml:space="preserve"> across the North. </w:t>
      </w:r>
      <w:r w:rsidR="006D0F8E">
        <w:t xml:space="preserve">There </w:t>
      </w:r>
      <w:proofErr w:type="gramStart"/>
      <w:r w:rsidR="006D0F8E">
        <w:t>is</w:t>
      </w:r>
      <w:proofErr w:type="gramEnd"/>
      <w:r w:rsidR="006D0F8E">
        <w:t xml:space="preserve"> also significant requirements for the development of distribution networks alongside these investments in transmission which the National Energy System Operator must set out requirements for. </w:t>
      </w:r>
    </w:p>
    <w:p w14:paraId="4E3A15E0" w14:textId="77777777" w:rsidR="00186188" w:rsidRPr="00696819" w:rsidRDefault="00186188" w:rsidP="00186188">
      <w:r w:rsidRPr="00696819">
        <w:t>Skills and workforce availability are also emerging as binding constraints. Many net zero activities require specialist technical skills, including in engineering, construction, digital systems and process optimisation. While the North has a strong industrial workforce, the scale and speed of transition risk outpacing current skills pipelines. Without coordinated action on training, reskilling and workforce planning, skills shortages could slow deployment and increase costs.</w:t>
      </w:r>
    </w:p>
    <w:p w14:paraId="25661D73" w14:textId="77777777" w:rsidR="00186188" w:rsidRPr="00696819" w:rsidRDefault="00186188" w:rsidP="00186188">
      <w:r w:rsidRPr="00696819">
        <w:t>Planning and regulatory processes can also act as barriers, notably for large or complex projects. Lengthy planning timelines, inconsistent decision-making and limited local capacity can delay investment and increase uncertainty. For projects that require coordination across multiple sites or jurisdictions, these problems are amplified. Improving operational procedures while upholding adequate safeguards will be important for accelerating delivery.</w:t>
      </w:r>
    </w:p>
    <w:p w14:paraId="59848DE8" w14:textId="77777777" w:rsidR="00186188" w:rsidRPr="00696819" w:rsidRDefault="00186188" w:rsidP="00186188">
      <w:r w:rsidRPr="00696819">
        <w:t xml:space="preserve">There are also place-based barriers linked to the uneven geography of the </w:t>
      </w:r>
      <w:r>
        <w:t>net zero</w:t>
      </w:r>
      <w:r w:rsidRPr="00696819">
        <w:t xml:space="preserve"> economy. Areas with high net zero employment but lower productivity may struggle to attract higher-value activity without focused action. Conversely, areas with high-value </w:t>
      </w:r>
      <w:r>
        <w:t xml:space="preserve">net </w:t>
      </w:r>
      <w:r>
        <w:lastRenderedPageBreak/>
        <w:t>zero</w:t>
      </w:r>
      <w:r w:rsidRPr="00696819">
        <w:t xml:space="preserve"> activity may generate limited local employment benefits unless supply chains and skills development are actively supported. Without a place-sensitive approach, the transition risks reinforcing existing disparities within the North.</w:t>
      </w:r>
    </w:p>
    <w:p w14:paraId="4D44E1E9" w14:textId="6C17912D" w:rsidR="00186188" w:rsidRPr="00696819" w:rsidRDefault="00186188" w:rsidP="00186188">
      <w:r w:rsidRPr="00696819">
        <w:t xml:space="preserve">Finally, institutional complexity can undermine effective delivery. Responsibility for </w:t>
      </w:r>
      <w:r>
        <w:t>net zero</w:t>
      </w:r>
      <w:r w:rsidRPr="00696819">
        <w:t xml:space="preserve"> policy, funding, and regulation is spread across multiple levels of government and </w:t>
      </w:r>
      <w:r w:rsidR="006D0F8E">
        <w:t>Public Financial Institutions, such as the National Wealth Fund</w:t>
      </w:r>
      <w:r w:rsidRPr="00696819">
        <w:t xml:space="preserve">. While this reflects the cross-cutting nature of the challenge, it can make coordination difficult and slow decision-making. </w:t>
      </w:r>
    </w:p>
    <w:p w14:paraId="669B7F4F" w14:textId="77777777" w:rsidR="00186188" w:rsidRPr="00696819" w:rsidRDefault="00186188" w:rsidP="00186188">
      <w:r w:rsidRPr="00696819">
        <w:t xml:space="preserve">These barriers can be overcome. They reflect the scale and complexity of the </w:t>
      </w:r>
      <w:r>
        <w:t>net zero</w:t>
      </w:r>
      <w:r w:rsidRPr="00696819">
        <w:t xml:space="preserve"> transition rather than a lack of opportunity. Addressing them will demand ongoing public leadership, strategic investment and close collaboration with the private sector. The following section sets out the policy implications of this analysis, and the priorities for supporting growth in the </w:t>
      </w:r>
      <w:r>
        <w:t>net zero</w:t>
      </w:r>
      <w:r w:rsidRPr="00696819">
        <w:t xml:space="preserve"> economy in the North of England.</w:t>
      </w:r>
    </w:p>
    <w:p w14:paraId="766FE777" w14:textId="77777777" w:rsidR="00186188" w:rsidRDefault="00186188" w:rsidP="00186188"/>
    <w:p w14:paraId="3E0FC468" w14:textId="77777777" w:rsidR="00186188" w:rsidRDefault="00186188" w:rsidP="00186188">
      <w:r>
        <w:br w:type="page"/>
      </w:r>
    </w:p>
    <w:p w14:paraId="7DEE8D23" w14:textId="77777777" w:rsidR="00186188" w:rsidRDefault="00186188" w:rsidP="00186188">
      <w:pPr>
        <w:pStyle w:val="Heading1"/>
      </w:pPr>
      <w:bookmarkStart w:id="21" w:name="_Toc218945931"/>
      <w:r>
        <w:lastRenderedPageBreak/>
        <w:t xml:space="preserve">8: </w:t>
      </w:r>
      <w:r w:rsidRPr="00552A3B">
        <w:t xml:space="preserve">Policy implications for the </w:t>
      </w:r>
      <w:r>
        <w:t>net zero</w:t>
      </w:r>
      <w:r w:rsidRPr="00552A3B">
        <w:t xml:space="preserve"> economy in the North of England</w:t>
      </w:r>
      <w:bookmarkEnd w:id="21"/>
    </w:p>
    <w:p w14:paraId="43A9833B" w14:textId="77777777" w:rsidR="00186188" w:rsidRPr="00696819" w:rsidRDefault="00186188" w:rsidP="00186188">
      <w:r w:rsidRPr="00696819">
        <w:t xml:space="preserve">The analysis in this report shows that the </w:t>
      </w:r>
      <w:r>
        <w:t>net zero</w:t>
      </w:r>
      <w:r w:rsidRPr="00696819">
        <w:t xml:space="preserve"> economy is already a significant and distinctive part of the North of England’s economic landscape. </w:t>
      </w:r>
      <w:r w:rsidRPr="00DC0781">
        <w:t>It plays a disproportionately important role in the North relative to the region’s overall economic size</w:t>
      </w:r>
      <w:r>
        <w:t xml:space="preserve"> </w:t>
      </w:r>
      <w:r w:rsidRPr="00696819">
        <w:t xml:space="preserve">than in </w:t>
      </w:r>
      <w:r>
        <w:t>Great Britain</w:t>
      </w:r>
      <w:r w:rsidRPr="00696819">
        <w:t xml:space="preserve"> as a whole, but it is also highly uneven within the region. This has important implications for policy design and delivery.</w:t>
      </w:r>
    </w:p>
    <w:p w14:paraId="591C5083" w14:textId="5F29676D" w:rsidR="00186188" w:rsidRPr="00696819" w:rsidRDefault="00186188" w:rsidP="00186188">
      <w:r w:rsidRPr="00696819">
        <w:t xml:space="preserve">First, policy needs to recognise the central role of the North in achieving national </w:t>
      </w:r>
      <w:r>
        <w:t>net zero</w:t>
      </w:r>
      <w:r w:rsidRPr="00696819">
        <w:t xml:space="preserve"> objectives. Many of the sectors and assets that must decarbonise at pace are concentrated in the region. National delivery</w:t>
      </w:r>
      <w:r>
        <w:t>,</w:t>
      </w:r>
      <w:r w:rsidRPr="00696819">
        <w:t xml:space="preserve"> therefore</w:t>
      </w:r>
      <w:r>
        <w:t>,</w:t>
      </w:r>
      <w:r w:rsidRPr="00696819">
        <w:t xml:space="preserve"> depends on effective action in the North</w:t>
      </w:r>
      <w:r>
        <w:t xml:space="preserve"> in places like Sunderland and Tyneside which lead the North in the relative importance of </w:t>
      </w:r>
      <w:r w:rsidR="006D0F8E">
        <w:t>N</w:t>
      </w:r>
      <w:r>
        <w:t>et Zero to their economies</w:t>
      </w:r>
      <w:r w:rsidRPr="00696819">
        <w:t>. This strengthens the case for a place-based approach that aligns national ambition with regional strengths, rather than relying on uniform, one-size-fits-all interventions.</w:t>
      </w:r>
    </w:p>
    <w:p w14:paraId="2E49A8E1" w14:textId="5271B902" w:rsidR="00186188" w:rsidRPr="00696819" w:rsidRDefault="00186188" w:rsidP="00186188">
      <w:r w:rsidRPr="00696819">
        <w:t xml:space="preserve">Second, public investment must be used strategically to unlock private capital. The evidence shows that private investment will provide </w:t>
      </w:r>
      <w:proofErr w:type="gramStart"/>
      <w:r w:rsidRPr="00696819">
        <w:t>the majority of</w:t>
      </w:r>
      <w:proofErr w:type="gramEnd"/>
      <w:r w:rsidRPr="00696819">
        <w:t xml:space="preserve"> funding for the </w:t>
      </w:r>
      <w:r>
        <w:t>net zero</w:t>
      </w:r>
      <w:r w:rsidRPr="00696819">
        <w:t xml:space="preserve"> transition, but it will not do so without clear signals, reduced risk and enabling infrastructure. </w:t>
      </w:r>
      <w:r w:rsidR="006D0F8E">
        <w:t xml:space="preserve">Institutions need to deliver their respective roles; National Wealth </w:t>
      </w:r>
      <w:proofErr w:type="gramStart"/>
      <w:r w:rsidR="006D0F8E">
        <w:t>Fund</w:t>
      </w:r>
      <w:proofErr w:type="gramEnd"/>
      <w:r w:rsidR="006D0F8E">
        <w:t xml:space="preserve"> which is returns focused, government departments themselves providing grant, the place leadership of combined authorities and GB Energy a strategic equity investor and market shaper. </w:t>
      </w:r>
      <w:r w:rsidRPr="00696819">
        <w:t xml:space="preserve">Public funding should therefore focus on areas where it has the greatest </w:t>
      </w:r>
      <w:proofErr w:type="gramStart"/>
      <w:r w:rsidRPr="00696819">
        <w:t>leverage</w:t>
      </w:r>
      <w:r w:rsidR="006D0F8E">
        <w:t>;</w:t>
      </w:r>
      <w:proofErr w:type="gramEnd"/>
      <w:r w:rsidRPr="00696819">
        <w:t xml:space="preserve"> including shared infrastructure, early-stage deployment and first-of-a-kind projects. This is particularly important for capital-intensive activities such as energy, industrial decarbonisation and carbon capture</w:t>
      </w:r>
      <w:r>
        <w:t xml:space="preserve"> where the Humber has missed out so far on the levels of commitment which will in the end be needed</w:t>
      </w:r>
      <w:r w:rsidRPr="00696819">
        <w:t>.</w:t>
      </w:r>
      <w:r w:rsidR="006D0F8E">
        <w:t xml:space="preserve"> </w:t>
      </w:r>
    </w:p>
    <w:p w14:paraId="5AE079CE" w14:textId="3A43A400" w:rsidR="00186188" w:rsidRPr="00696819" w:rsidRDefault="00186188" w:rsidP="00186188">
      <w:r w:rsidRPr="00696819">
        <w:t xml:space="preserve">Third, policy should differentiate between the roles that different places play within the </w:t>
      </w:r>
      <w:r>
        <w:t>net zero</w:t>
      </w:r>
      <w:r w:rsidRPr="00696819">
        <w:t xml:space="preserve"> economy. Some areas are centres of large-scale employment, others are centres of high value activity, and a smaller number combine both. Effective policy needs to reflect these differences. In employment-intensive areas, priorities may include skills, workforce progression and supply chain development</w:t>
      </w:r>
      <w:r w:rsidR="006D0F8E">
        <w:t xml:space="preserve"> where GB Energy currently has £300m of a total £1bn fund available and we need to encourage take up in the North, both in key areas such as the Humber and the </w:t>
      </w:r>
      <w:proofErr w:type="gramStart"/>
      <w:r w:rsidR="006D0F8E">
        <w:t>North East</w:t>
      </w:r>
      <w:proofErr w:type="gramEnd"/>
      <w:r w:rsidR="006D0F8E">
        <w:t xml:space="preserve"> as well as in the corridor across the Pennines</w:t>
      </w:r>
      <w:r w:rsidRPr="00696819">
        <w:t>. In high value areas, the focus may be on innovation, capital investment and anchoring activity locally. Treating all places in the same way risks underperforming on both growth and inclusion.</w:t>
      </w:r>
    </w:p>
    <w:p w14:paraId="70ADCB45" w14:textId="2EEE3BD9" w:rsidR="00186188" w:rsidRPr="00696819" w:rsidRDefault="00186188" w:rsidP="00186188">
      <w:r w:rsidRPr="00696819">
        <w:lastRenderedPageBreak/>
        <w:t xml:space="preserve">Fourth, productivity must be treated as a core objective of the </w:t>
      </w:r>
      <w:r>
        <w:t>net zero</w:t>
      </w:r>
      <w:r w:rsidRPr="00696819">
        <w:t xml:space="preserve"> transition, not a secondary consideration. Job creation is important, but the long-term economic benefits of </w:t>
      </w:r>
      <w:r>
        <w:t>net zero</w:t>
      </w:r>
      <w:r w:rsidRPr="00696819">
        <w:t xml:space="preserve"> will depend on the value generated by those jobs. Policy should therefore support the diffusion of high value activity, encourage innovation and help regions move up the value chain. </w:t>
      </w:r>
      <w:r>
        <w:t>The success of Rolls</w:t>
      </w:r>
      <w:r w:rsidR="003B105B">
        <w:t>-</w:t>
      </w:r>
      <w:r>
        <w:t xml:space="preserve">Royce SMR, built in part upon applied research at the AMRC in South Yorkshire, is a strong case in point. </w:t>
      </w:r>
      <w:r w:rsidRPr="00696819">
        <w:t xml:space="preserve">This includes making sure that cities and urban centres </w:t>
      </w:r>
      <w:proofErr w:type="gramStart"/>
      <w:r w:rsidRPr="00696819">
        <w:t>are able to</w:t>
      </w:r>
      <w:proofErr w:type="gramEnd"/>
      <w:r w:rsidRPr="00696819">
        <w:t xml:space="preserve"> capture value from net zero activity even where large-scale deployment occurs elsewhere.</w:t>
      </w:r>
    </w:p>
    <w:p w14:paraId="565C046F" w14:textId="77777777" w:rsidR="00186188" w:rsidRDefault="00186188" w:rsidP="00186188">
      <w:r w:rsidRPr="00696819">
        <w:t xml:space="preserve">Fifth, addressing enabling constraints is essential to accelerating delivery. Investment in grid capacity, planning capability and skills infrastructure is not ancillary to </w:t>
      </w:r>
      <w:r>
        <w:t>net zero</w:t>
      </w:r>
      <w:r w:rsidRPr="00696819">
        <w:t xml:space="preserve"> delivery. It is foundational. Without action in these areas, even well-funded projects will face delays and cost overruns. Coordinated approaches to skills planning, workforce development and infrastructure investment will be critical.</w:t>
      </w:r>
    </w:p>
    <w:p w14:paraId="609569D2" w14:textId="4BA55250" w:rsidR="00552CD7" w:rsidRPr="00696819" w:rsidRDefault="00552CD7" w:rsidP="00186188">
      <w:r w:rsidRPr="00552CD7">
        <w:t>Skills shortages are compounded by a lack of long-term policy certainty. Where major projects face delay or uncertainty, employers and training providers are unable to plan with confidence, making it harder to build and sustain the skills pipelines needed to deliver net zero at scale.</w:t>
      </w:r>
    </w:p>
    <w:p w14:paraId="23230598" w14:textId="77777777" w:rsidR="00186188" w:rsidRPr="00696819" w:rsidRDefault="00186188" w:rsidP="00186188">
      <w:r w:rsidRPr="00696819">
        <w:t xml:space="preserve">Finally, governance and coordination matter. The </w:t>
      </w:r>
      <w:r>
        <w:t>net zero</w:t>
      </w:r>
      <w:r w:rsidRPr="00696819">
        <w:t xml:space="preserve"> transition cuts across sectors, places and institutions. Effective delivery demands explicit roles, aligned incentives and mechanisms for collaboration between national government, </w:t>
      </w:r>
      <w:r>
        <w:t xml:space="preserve">pan Northern, combined authority </w:t>
      </w:r>
      <w:r w:rsidRPr="00696819">
        <w:t>leadership and the private sector. Strengthening these relationships will improve delivery and reduce the risk of fragmented or inconsistent action.</w:t>
      </w:r>
    </w:p>
    <w:p w14:paraId="119A67F2" w14:textId="5B47AE80" w:rsidR="00186188" w:rsidRDefault="00186188" w:rsidP="00186188">
      <w:r w:rsidRPr="00696819">
        <w:t xml:space="preserve">Taken together, these implications point to a clear conclusion. The </w:t>
      </w:r>
      <w:r>
        <w:t>net zero</w:t>
      </w:r>
      <w:r w:rsidRPr="00696819">
        <w:t xml:space="preserve"> transition represents a major economic opportunity for the North of England but realising that opportunity will require deliberate choices. Strategic public investment, place-based policy and effective coordination can ensure that the transition supports productivity, competitiveness and inclusive growth. </w:t>
      </w:r>
      <w:r w:rsidR="006D0F8E">
        <w:t xml:space="preserve">The growth plan to be published in the Spring by government must put these issues front and centre, with </w:t>
      </w:r>
      <w:r w:rsidR="00787D80">
        <w:t xml:space="preserve">encouragement to key players </w:t>
      </w:r>
      <w:r w:rsidR="006D0F8E">
        <w:t>like the National Wealth Fund</w:t>
      </w:r>
      <w:r w:rsidR="00787D80">
        <w:t xml:space="preserve"> to make northern investment including on a </w:t>
      </w:r>
      <w:r w:rsidR="0087219A">
        <w:t>place-based</w:t>
      </w:r>
      <w:r w:rsidR="00787D80">
        <w:t xml:space="preserve"> basis.</w:t>
      </w:r>
    </w:p>
    <w:p w14:paraId="6B926C94" w14:textId="77777777" w:rsidR="00186188" w:rsidRDefault="00186188" w:rsidP="00186188"/>
    <w:p w14:paraId="6B5C5669" w14:textId="77777777" w:rsidR="00186188" w:rsidRDefault="00186188" w:rsidP="00186188">
      <w:r>
        <w:br w:type="page"/>
      </w:r>
    </w:p>
    <w:p w14:paraId="506BE285" w14:textId="77777777" w:rsidR="00186188" w:rsidRDefault="00186188" w:rsidP="00186188">
      <w:pPr>
        <w:pStyle w:val="Heading1"/>
      </w:pPr>
      <w:bookmarkStart w:id="22" w:name="_Toc218945932"/>
      <w:r>
        <w:lastRenderedPageBreak/>
        <w:t>Appendix A: Methodology</w:t>
      </w:r>
      <w:bookmarkEnd w:id="22"/>
    </w:p>
    <w:p w14:paraId="55DDE334" w14:textId="77777777" w:rsidR="00186188" w:rsidRDefault="00186188" w:rsidP="00186188"/>
    <w:p w14:paraId="3C622865" w14:textId="77777777" w:rsidR="00186188" w:rsidRPr="004222B8" w:rsidRDefault="00186188" w:rsidP="00186188">
      <w:r w:rsidRPr="004222B8">
        <w:t xml:space="preserve">Our list of net zero companies has been compiled using the same methodology as our 2024 report </w:t>
      </w:r>
      <w:r w:rsidRPr="004222B8">
        <w:rPr>
          <w:i/>
          <w:iCs/>
        </w:rPr>
        <w:t>Net Zero by 2050</w:t>
      </w:r>
      <w:r w:rsidRPr="004222B8">
        <w:t xml:space="preserve">. The starting point is The Data City’s Machine Learning list function, which identifies companies operating within a defined industry vertical based on a representative training set. As described by The Data City: </w:t>
      </w:r>
      <w:r w:rsidRPr="004222B8">
        <w:rPr>
          <w:i/>
          <w:iCs/>
        </w:rPr>
        <w:t>“Companies are ranked by how representative they are of the companies selected in the training set.”</w:t>
      </w:r>
    </w:p>
    <w:p w14:paraId="1CB470C0" w14:textId="77777777" w:rsidR="00186188" w:rsidRPr="004222B8" w:rsidRDefault="00186188" w:rsidP="00186188">
      <w:r w:rsidRPr="004222B8">
        <w:t>This initial list was then refined using expert judgement. Several companies were removed where their primary activities did not align with what would typically be understood as net zero economic activity, including major fossil fuel producers and their subsidiaries. This approach ensures the final list reflects companies whose core business activities are directly linked to net zero technologies, services, and supply chains.</w:t>
      </w:r>
    </w:p>
    <w:p w14:paraId="51564938" w14:textId="77777777" w:rsidR="00186188" w:rsidRPr="004222B8" w:rsidRDefault="00186188" w:rsidP="00186188">
      <w:r w:rsidRPr="004222B8">
        <w:t>Changes in the number of companies and associated me</w:t>
      </w:r>
      <w:r>
        <w:t>asures</w:t>
      </w:r>
      <w:r w:rsidRPr="004222B8">
        <w:t xml:space="preserve"> (such as employment, turnover, and GVA) relative to the 2024 report may</w:t>
      </w:r>
      <w:r>
        <w:t xml:space="preserve"> therefore r</w:t>
      </w:r>
      <w:r w:rsidRPr="004222B8">
        <w:t xml:space="preserve">eflect refinements to methodology, classification, or data updates rather than underlying changes in the size of the net zero economy itself. As a result, this report does not present direct comparisons with the </w:t>
      </w:r>
      <w:r w:rsidRPr="004222B8">
        <w:rPr>
          <w:i/>
          <w:iCs/>
        </w:rPr>
        <w:t>Net Zero by 2050</w:t>
      </w:r>
      <w:r w:rsidRPr="004222B8">
        <w:t xml:space="preserve"> analysis.</w:t>
      </w:r>
    </w:p>
    <w:p w14:paraId="7643D084" w14:textId="77777777" w:rsidR="00186188" w:rsidRPr="004222B8" w:rsidRDefault="00186188" w:rsidP="00186188">
      <w:r w:rsidRPr="004222B8">
        <w:t xml:space="preserve">To assess the </w:t>
      </w:r>
      <w:r>
        <w:t>geographic distribution</w:t>
      </w:r>
      <w:r w:rsidRPr="004222B8">
        <w:t xml:space="preserve"> of economic activity, company-level employment, turnover, and GVA are </w:t>
      </w:r>
      <w:r>
        <w:t>split</w:t>
      </w:r>
      <w:r w:rsidRPr="004222B8">
        <w:t xml:space="preserve"> equally across all</w:t>
      </w:r>
      <w:r>
        <w:t xml:space="preserve"> a company’s</w:t>
      </w:r>
      <w:r w:rsidRPr="004222B8">
        <w:t xml:space="preserve"> known operating sites. While this represents a simplifying assumption, it provides a consistent and transparent method for estimating local economic impact and avoids attributing all activity to registered head office locations.</w:t>
      </w:r>
    </w:p>
    <w:p w14:paraId="22A35CBA" w14:textId="77777777" w:rsidR="00186188" w:rsidRPr="004222B8" w:rsidRDefault="00186188" w:rsidP="00186188">
      <w:r w:rsidRPr="004222B8">
        <w:t xml:space="preserve">Where indicators such as net zero employment as a share of total employment, or net zero GVA as a share of total GVA, are presented, total employment figures are drawn from the Office for National Statistics’ Business Register and Employment Survey (BRES), while total GVA figures are taken from ONS Regional GVA statistics. </w:t>
      </w:r>
    </w:p>
    <w:p w14:paraId="70292050" w14:textId="77777777" w:rsidR="00186188" w:rsidRPr="004222B8" w:rsidRDefault="00186188" w:rsidP="00186188">
      <w:r w:rsidRPr="004222B8">
        <w:t>Finally, where changes to official statistical geographies (such as updates to ITL boundaries) mean that published datasets are not directly comparable, geographies have been reconstructed using official lookup tables. This ensures consistency across datasets and avoids distortions arising from boundary revisions.</w:t>
      </w:r>
    </w:p>
    <w:p w14:paraId="74C9879C" w14:textId="77777777" w:rsidR="00186188" w:rsidRDefault="00186188" w:rsidP="00186188">
      <w:r w:rsidRPr="004222B8">
        <w:t>All results should therefore be interpreted as indicative estimates rather than precise measures of local activity.</w:t>
      </w:r>
    </w:p>
    <w:p w14:paraId="726450BF" w14:textId="77777777" w:rsidR="00186188" w:rsidRDefault="00186188" w:rsidP="00186188">
      <w:r>
        <w:t xml:space="preserve">The ITL2 region of Northumberland, Durham and Tyne and Wear has been referred to as </w:t>
      </w:r>
      <w:proofErr w:type="gramStart"/>
      <w:r>
        <w:t>North East</w:t>
      </w:r>
      <w:proofErr w:type="gramEnd"/>
      <w:r>
        <w:t xml:space="preserve"> CA for presentational reasons.</w:t>
      </w:r>
      <w:r>
        <w:br w:type="page"/>
      </w:r>
    </w:p>
    <w:p w14:paraId="0D7AB0F1" w14:textId="77777777" w:rsidR="00186188" w:rsidRDefault="00186188" w:rsidP="00186188">
      <w:pPr>
        <w:pStyle w:val="Heading1"/>
        <w:sectPr w:rsidR="00186188" w:rsidSect="00463A94">
          <w:footerReference w:type="even" r:id="rId15"/>
          <w:footerReference w:type="default" r:id="rId16"/>
          <w:pgSz w:w="11906" w:h="16838"/>
          <w:pgMar w:top="1440" w:right="1440" w:bottom="1440" w:left="1440" w:header="708" w:footer="708" w:gutter="0"/>
          <w:cols w:space="708"/>
          <w:titlePg/>
          <w:docGrid w:linePitch="360"/>
        </w:sectPr>
      </w:pPr>
    </w:p>
    <w:p w14:paraId="36E2C346" w14:textId="77777777" w:rsidR="00186188" w:rsidRDefault="00186188" w:rsidP="00186188">
      <w:pPr>
        <w:pStyle w:val="Heading1"/>
      </w:pPr>
      <w:bookmarkStart w:id="23" w:name="_Toc218945933"/>
      <w:r>
        <w:lastRenderedPageBreak/>
        <w:t>Appendix B: Northern ITL2 Areas Full Table</w:t>
      </w:r>
      <w:bookmarkEnd w:id="23"/>
    </w:p>
    <w:tbl>
      <w:tblPr>
        <w:tblStyle w:val="GridTable1Light"/>
        <w:tblW w:w="13407" w:type="dxa"/>
        <w:tblLook w:val="04A0" w:firstRow="1" w:lastRow="0" w:firstColumn="1" w:lastColumn="0" w:noHBand="0" w:noVBand="1"/>
      </w:tblPr>
      <w:tblGrid>
        <w:gridCol w:w="4127"/>
        <w:gridCol w:w="1300"/>
        <w:gridCol w:w="1300"/>
        <w:gridCol w:w="1300"/>
        <w:gridCol w:w="1400"/>
        <w:gridCol w:w="1380"/>
        <w:gridCol w:w="1300"/>
        <w:gridCol w:w="1300"/>
      </w:tblGrid>
      <w:tr w:rsidR="00186188" w:rsidRPr="00D91583" w14:paraId="70C1B35A" w14:textId="77777777" w:rsidTr="00A3726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346A3756" w14:textId="77777777" w:rsidR="00186188" w:rsidRPr="00D91583" w:rsidRDefault="00186188" w:rsidP="00A37264">
            <w:pPr>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ITL2 Area</w:t>
            </w:r>
          </w:p>
        </w:tc>
        <w:tc>
          <w:tcPr>
            <w:tcW w:w="1300" w:type="dxa"/>
            <w:noWrap/>
            <w:hideMark/>
          </w:tcPr>
          <w:p w14:paraId="69D9AF16" w14:textId="77777777" w:rsidR="00186188" w:rsidRPr="00D91583"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No of Net Zero Sites</w:t>
            </w:r>
          </w:p>
        </w:tc>
        <w:tc>
          <w:tcPr>
            <w:tcW w:w="1300" w:type="dxa"/>
            <w:noWrap/>
            <w:hideMark/>
          </w:tcPr>
          <w:p w14:paraId="5F1EDED1" w14:textId="77777777" w:rsidR="00186188" w:rsidRPr="00D91583"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GVA (£bn)</w:t>
            </w:r>
          </w:p>
        </w:tc>
        <w:tc>
          <w:tcPr>
            <w:tcW w:w="1300" w:type="dxa"/>
            <w:noWrap/>
            <w:hideMark/>
          </w:tcPr>
          <w:p w14:paraId="3E56F37C" w14:textId="77777777" w:rsidR="00186188" w:rsidRPr="00D91583"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Turnover (£bn)</w:t>
            </w:r>
          </w:p>
        </w:tc>
        <w:tc>
          <w:tcPr>
            <w:tcW w:w="1400" w:type="dxa"/>
            <w:noWrap/>
            <w:hideMark/>
          </w:tcPr>
          <w:p w14:paraId="28C7A3AE" w14:textId="77777777" w:rsidR="00186188" w:rsidRPr="00D91583"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Employees</w:t>
            </w:r>
          </w:p>
        </w:tc>
        <w:tc>
          <w:tcPr>
            <w:tcW w:w="1380" w:type="dxa"/>
            <w:noWrap/>
            <w:hideMark/>
          </w:tcPr>
          <w:p w14:paraId="0DDF1691" w14:textId="77777777" w:rsidR="00186188" w:rsidRPr="00D91583"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GVA per job (£)</w:t>
            </w:r>
          </w:p>
        </w:tc>
        <w:tc>
          <w:tcPr>
            <w:tcW w:w="1300" w:type="dxa"/>
            <w:noWrap/>
            <w:hideMark/>
          </w:tcPr>
          <w:p w14:paraId="42716FAC" w14:textId="77777777" w:rsidR="00186188" w:rsidRPr="00D91583"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 xml:space="preserve">Proportion of </w:t>
            </w:r>
            <w:r>
              <w:rPr>
                <w:rFonts w:ascii="Aptos Narrow" w:eastAsia="Times New Roman" w:hAnsi="Aptos Narrow" w:cs="Times New Roman"/>
                <w:color w:val="000000"/>
                <w:kern w:val="0"/>
                <w:lang w:eastAsia="en-GB"/>
                <w14:ligatures w14:val="none"/>
              </w:rPr>
              <w:t>total</w:t>
            </w:r>
            <w:r w:rsidRPr="00D91583">
              <w:rPr>
                <w:rFonts w:ascii="Aptos Narrow" w:eastAsia="Times New Roman" w:hAnsi="Aptos Narrow" w:cs="Times New Roman"/>
                <w:color w:val="000000"/>
                <w:kern w:val="0"/>
                <w:lang w:eastAsia="en-GB"/>
                <w14:ligatures w14:val="none"/>
              </w:rPr>
              <w:t xml:space="preserve"> jobs within the ITL2 area </w:t>
            </w:r>
            <w:r>
              <w:rPr>
                <w:rFonts w:ascii="Aptos Narrow" w:eastAsia="Times New Roman" w:hAnsi="Aptos Narrow" w:cs="Times New Roman"/>
                <w:color w:val="000000"/>
                <w:kern w:val="0"/>
                <w:lang w:eastAsia="en-GB"/>
                <w14:ligatures w14:val="none"/>
              </w:rPr>
              <w:t xml:space="preserve">from net zero </w:t>
            </w:r>
            <w:r w:rsidRPr="00D91583">
              <w:rPr>
                <w:rFonts w:ascii="Aptos Narrow" w:eastAsia="Times New Roman" w:hAnsi="Aptos Narrow" w:cs="Times New Roman"/>
                <w:color w:val="000000"/>
                <w:kern w:val="0"/>
                <w:lang w:eastAsia="en-GB"/>
                <w14:ligatures w14:val="none"/>
              </w:rPr>
              <w:t>(%)</w:t>
            </w:r>
          </w:p>
        </w:tc>
        <w:tc>
          <w:tcPr>
            <w:tcW w:w="1300" w:type="dxa"/>
            <w:noWrap/>
            <w:hideMark/>
          </w:tcPr>
          <w:p w14:paraId="14D5FFC4" w14:textId="77777777" w:rsidR="00186188" w:rsidRPr="00D91583"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Proportion of total GVA within the ITL2 area from net zero (%)</w:t>
            </w:r>
          </w:p>
        </w:tc>
      </w:tr>
      <w:tr w:rsidR="00186188" w:rsidRPr="00D91583" w14:paraId="7145AEB6"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520A89E4" w14:textId="77777777" w:rsidR="00186188" w:rsidRPr="00D91583" w:rsidRDefault="00186188" w:rsidP="00A37264">
            <w:pPr>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Cheshire</w:t>
            </w:r>
          </w:p>
        </w:tc>
        <w:tc>
          <w:tcPr>
            <w:tcW w:w="1300" w:type="dxa"/>
            <w:noWrap/>
            <w:vAlign w:val="center"/>
            <w:hideMark/>
          </w:tcPr>
          <w:p w14:paraId="7958D5F4"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923</w:t>
            </w:r>
          </w:p>
        </w:tc>
        <w:tc>
          <w:tcPr>
            <w:tcW w:w="1300" w:type="dxa"/>
            <w:noWrap/>
            <w:vAlign w:val="center"/>
            <w:hideMark/>
          </w:tcPr>
          <w:p w14:paraId="6014E195"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1.4</w:t>
            </w:r>
          </w:p>
        </w:tc>
        <w:tc>
          <w:tcPr>
            <w:tcW w:w="1300" w:type="dxa"/>
            <w:noWrap/>
            <w:vAlign w:val="center"/>
            <w:hideMark/>
          </w:tcPr>
          <w:p w14:paraId="1C1EF935"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11.0</w:t>
            </w:r>
          </w:p>
        </w:tc>
        <w:tc>
          <w:tcPr>
            <w:tcW w:w="1400" w:type="dxa"/>
            <w:noWrap/>
            <w:vAlign w:val="center"/>
            <w:hideMark/>
          </w:tcPr>
          <w:p w14:paraId="6B4B2531"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19,064</w:t>
            </w:r>
          </w:p>
        </w:tc>
        <w:tc>
          <w:tcPr>
            <w:tcW w:w="1380" w:type="dxa"/>
            <w:noWrap/>
            <w:vAlign w:val="center"/>
            <w:hideMark/>
          </w:tcPr>
          <w:p w14:paraId="3CDEB8D2"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74,645</w:t>
            </w:r>
          </w:p>
        </w:tc>
        <w:tc>
          <w:tcPr>
            <w:tcW w:w="1300" w:type="dxa"/>
            <w:noWrap/>
            <w:vAlign w:val="center"/>
            <w:hideMark/>
          </w:tcPr>
          <w:p w14:paraId="4765190B"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3.6</w:t>
            </w:r>
          </w:p>
        </w:tc>
        <w:tc>
          <w:tcPr>
            <w:tcW w:w="1300" w:type="dxa"/>
            <w:noWrap/>
            <w:vAlign w:val="center"/>
            <w:hideMark/>
          </w:tcPr>
          <w:p w14:paraId="0C7EA326"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3.4</w:t>
            </w:r>
          </w:p>
        </w:tc>
      </w:tr>
      <w:tr w:rsidR="00186188" w:rsidRPr="00D91583" w14:paraId="2A7B4AAD"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194C6804" w14:textId="77777777" w:rsidR="00186188" w:rsidRPr="00D91583" w:rsidRDefault="00186188" w:rsidP="00A37264">
            <w:pPr>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Cumbria</w:t>
            </w:r>
          </w:p>
        </w:tc>
        <w:tc>
          <w:tcPr>
            <w:tcW w:w="1300" w:type="dxa"/>
            <w:noWrap/>
            <w:vAlign w:val="center"/>
            <w:hideMark/>
          </w:tcPr>
          <w:p w14:paraId="233F2A83"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371</w:t>
            </w:r>
          </w:p>
        </w:tc>
        <w:tc>
          <w:tcPr>
            <w:tcW w:w="1300" w:type="dxa"/>
            <w:noWrap/>
            <w:vAlign w:val="center"/>
            <w:hideMark/>
          </w:tcPr>
          <w:p w14:paraId="494E9AE3"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0.5</w:t>
            </w:r>
          </w:p>
        </w:tc>
        <w:tc>
          <w:tcPr>
            <w:tcW w:w="1300" w:type="dxa"/>
            <w:noWrap/>
            <w:vAlign w:val="center"/>
            <w:hideMark/>
          </w:tcPr>
          <w:p w14:paraId="6798D240"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1.9</w:t>
            </w:r>
          </w:p>
        </w:tc>
        <w:tc>
          <w:tcPr>
            <w:tcW w:w="1400" w:type="dxa"/>
            <w:noWrap/>
            <w:vAlign w:val="center"/>
            <w:hideMark/>
          </w:tcPr>
          <w:p w14:paraId="6CC6CEA5"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6,664</w:t>
            </w:r>
          </w:p>
        </w:tc>
        <w:tc>
          <w:tcPr>
            <w:tcW w:w="1380" w:type="dxa"/>
            <w:noWrap/>
            <w:vAlign w:val="center"/>
            <w:hideMark/>
          </w:tcPr>
          <w:p w14:paraId="21F27147"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81,037</w:t>
            </w:r>
          </w:p>
        </w:tc>
        <w:tc>
          <w:tcPr>
            <w:tcW w:w="1300" w:type="dxa"/>
            <w:noWrap/>
            <w:vAlign w:val="center"/>
            <w:hideMark/>
          </w:tcPr>
          <w:p w14:paraId="6CF06278"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2.8</w:t>
            </w:r>
          </w:p>
        </w:tc>
        <w:tc>
          <w:tcPr>
            <w:tcW w:w="1300" w:type="dxa"/>
            <w:noWrap/>
            <w:vAlign w:val="center"/>
            <w:hideMark/>
          </w:tcPr>
          <w:p w14:paraId="5CFE7FD7"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3.6</w:t>
            </w:r>
          </w:p>
        </w:tc>
      </w:tr>
      <w:tr w:rsidR="00186188" w:rsidRPr="00D91583" w14:paraId="109A80B6"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56EC9415" w14:textId="77777777" w:rsidR="00186188" w:rsidRPr="00D91583" w:rsidRDefault="00186188" w:rsidP="00A37264">
            <w:pPr>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East Yorkshire and Northern Lincolnshire</w:t>
            </w:r>
          </w:p>
        </w:tc>
        <w:tc>
          <w:tcPr>
            <w:tcW w:w="1300" w:type="dxa"/>
            <w:noWrap/>
            <w:vAlign w:val="center"/>
            <w:hideMark/>
          </w:tcPr>
          <w:p w14:paraId="4CF9BD2C"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576</w:t>
            </w:r>
          </w:p>
        </w:tc>
        <w:tc>
          <w:tcPr>
            <w:tcW w:w="1300" w:type="dxa"/>
            <w:noWrap/>
            <w:vAlign w:val="center"/>
            <w:hideMark/>
          </w:tcPr>
          <w:p w14:paraId="23DB2F22"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1.0</w:t>
            </w:r>
          </w:p>
        </w:tc>
        <w:tc>
          <w:tcPr>
            <w:tcW w:w="1300" w:type="dxa"/>
            <w:noWrap/>
            <w:vAlign w:val="center"/>
            <w:hideMark/>
          </w:tcPr>
          <w:p w14:paraId="2AABDF47"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5.3</w:t>
            </w:r>
          </w:p>
        </w:tc>
        <w:tc>
          <w:tcPr>
            <w:tcW w:w="1400" w:type="dxa"/>
            <w:noWrap/>
            <w:vAlign w:val="center"/>
            <w:hideMark/>
          </w:tcPr>
          <w:p w14:paraId="1EA17BEA"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10,943</w:t>
            </w:r>
          </w:p>
        </w:tc>
        <w:tc>
          <w:tcPr>
            <w:tcW w:w="1380" w:type="dxa"/>
            <w:noWrap/>
            <w:vAlign w:val="center"/>
            <w:hideMark/>
          </w:tcPr>
          <w:p w14:paraId="341B80AC"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87,130</w:t>
            </w:r>
          </w:p>
        </w:tc>
        <w:tc>
          <w:tcPr>
            <w:tcW w:w="1300" w:type="dxa"/>
            <w:noWrap/>
            <w:vAlign w:val="center"/>
            <w:hideMark/>
          </w:tcPr>
          <w:p w14:paraId="1E2416F6"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2.7</w:t>
            </w:r>
          </w:p>
        </w:tc>
        <w:tc>
          <w:tcPr>
            <w:tcW w:w="1300" w:type="dxa"/>
            <w:noWrap/>
            <w:vAlign w:val="center"/>
            <w:hideMark/>
          </w:tcPr>
          <w:p w14:paraId="699191FD"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3.6</w:t>
            </w:r>
          </w:p>
        </w:tc>
      </w:tr>
      <w:tr w:rsidR="00186188" w:rsidRPr="00D91583" w14:paraId="7A9A83AF"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12488BE1" w14:textId="77777777" w:rsidR="00186188" w:rsidRPr="00D91583" w:rsidRDefault="00186188" w:rsidP="00A37264">
            <w:pPr>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Greater Manchester</w:t>
            </w:r>
          </w:p>
        </w:tc>
        <w:tc>
          <w:tcPr>
            <w:tcW w:w="1300" w:type="dxa"/>
            <w:noWrap/>
            <w:vAlign w:val="center"/>
            <w:hideMark/>
          </w:tcPr>
          <w:p w14:paraId="042AEE57"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1,658</w:t>
            </w:r>
          </w:p>
        </w:tc>
        <w:tc>
          <w:tcPr>
            <w:tcW w:w="1300" w:type="dxa"/>
            <w:noWrap/>
            <w:vAlign w:val="center"/>
            <w:hideMark/>
          </w:tcPr>
          <w:p w14:paraId="7E062A89"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1.8</w:t>
            </w:r>
          </w:p>
        </w:tc>
        <w:tc>
          <w:tcPr>
            <w:tcW w:w="1300" w:type="dxa"/>
            <w:noWrap/>
            <w:vAlign w:val="center"/>
            <w:hideMark/>
          </w:tcPr>
          <w:p w14:paraId="4D9ACD0B"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9.6</w:t>
            </w:r>
          </w:p>
        </w:tc>
        <w:tc>
          <w:tcPr>
            <w:tcW w:w="1400" w:type="dxa"/>
            <w:noWrap/>
            <w:vAlign w:val="center"/>
            <w:hideMark/>
          </w:tcPr>
          <w:p w14:paraId="46B901D4"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20,914</w:t>
            </w:r>
          </w:p>
        </w:tc>
        <w:tc>
          <w:tcPr>
            <w:tcW w:w="1380" w:type="dxa"/>
            <w:noWrap/>
            <w:vAlign w:val="center"/>
            <w:hideMark/>
          </w:tcPr>
          <w:p w14:paraId="4287EBE5"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85,827</w:t>
            </w:r>
          </w:p>
        </w:tc>
        <w:tc>
          <w:tcPr>
            <w:tcW w:w="1300" w:type="dxa"/>
            <w:noWrap/>
            <w:vAlign w:val="center"/>
            <w:hideMark/>
          </w:tcPr>
          <w:p w14:paraId="73718DC6"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1.4</w:t>
            </w:r>
          </w:p>
        </w:tc>
        <w:tc>
          <w:tcPr>
            <w:tcW w:w="1300" w:type="dxa"/>
            <w:noWrap/>
            <w:vAlign w:val="center"/>
            <w:hideMark/>
          </w:tcPr>
          <w:p w14:paraId="6658E01C"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1.8</w:t>
            </w:r>
          </w:p>
        </w:tc>
      </w:tr>
      <w:tr w:rsidR="00186188" w:rsidRPr="00D91583" w14:paraId="5058405F"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14BAD7E6" w14:textId="77777777" w:rsidR="00186188" w:rsidRPr="00D91583" w:rsidRDefault="00186188" w:rsidP="00A37264">
            <w:pPr>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Lancashire</w:t>
            </w:r>
          </w:p>
        </w:tc>
        <w:tc>
          <w:tcPr>
            <w:tcW w:w="1300" w:type="dxa"/>
            <w:noWrap/>
            <w:vAlign w:val="center"/>
            <w:hideMark/>
          </w:tcPr>
          <w:p w14:paraId="5EF947AD"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653</w:t>
            </w:r>
          </w:p>
        </w:tc>
        <w:tc>
          <w:tcPr>
            <w:tcW w:w="1300" w:type="dxa"/>
            <w:noWrap/>
            <w:vAlign w:val="center"/>
            <w:hideMark/>
          </w:tcPr>
          <w:p w14:paraId="1C3FAFBC"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0.9</w:t>
            </w:r>
          </w:p>
        </w:tc>
        <w:tc>
          <w:tcPr>
            <w:tcW w:w="1300" w:type="dxa"/>
            <w:noWrap/>
            <w:vAlign w:val="center"/>
            <w:hideMark/>
          </w:tcPr>
          <w:p w14:paraId="52458AC0"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3.3</w:t>
            </w:r>
          </w:p>
        </w:tc>
        <w:tc>
          <w:tcPr>
            <w:tcW w:w="1400" w:type="dxa"/>
            <w:noWrap/>
            <w:vAlign w:val="center"/>
            <w:hideMark/>
          </w:tcPr>
          <w:p w14:paraId="50E8BE37"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8,677</w:t>
            </w:r>
          </w:p>
        </w:tc>
        <w:tc>
          <w:tcPr>
            <w:tcW w:w="1380" w:type="dxa"/>
            <w:noWrap/>
            <w:vAlign w:val="center"/>
            <w:hideMark/>
          </w:tcPr>
          <w:p w14:paraId="0BD6355A"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99,035</w:t>
            </w:r>
          </w:p>
        </w:tc>
        <w:tc>
          <w:tcPr>
            <w:tcW w:w="1300" w:type="dxa"/>
            <w:noWrap/>
            <w:vAlign w:val="center"/>
            <w:hideMark/>
          </w:tcPr>
          <w:p w14:paraId="33C96A5B"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1.3</w:t>
            </w:r>
          </w:p>
        </w:tc>
        <w:tc>
          <w:tcPr>
            <w:tcW w:w="1300" w:type="dxa"/>
            <w:noWrap/>
            <w:vAlign w:val="center"/>
            <w:hideMark/>
          </w:tcPr>
          <w:p w14:paraId="5101E26D"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2.0</w:t>
            </w:r>
          </w:p>
        </w:tc>
      </w:tr>
      <w:tr w:rsidR="00186188" w:rsidRPr="00D91583" w14:paraId="14984A2F"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64AA4F01" w14:textId="77777777" w:rsidR="00186188" w:rsidRPr="00D91583" w:rsidRDefault="00186188" w:rsidP="00A37264">
            <w:pPr>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Merseyside</w:t>
            </w:r>
          </w:p>
        </w:tc>
        <w:tc>
          <w:tcPr>
            <w:tcW w:w="1300" w:type="dxa"/>
            <w:noWrap/>
            <w:vAlign w:val="center"/>
            <w:hideMark/>
          </w:tcPr>
          <w:p w14:paraId="74A5D90A"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654</w:t>
            </w:r>
          </w:p>
        </w:tc>
        <w:tc>
          <w:tcPr>
            <w:tcW w:w="1300" w:type="dxa"/>
            <w:noWrap/>
            <w:vAlign w:val="center"/>
            <w:hideMark/>
          </w:tcPr>
          <w:p w14:paraId="19844241"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1.3</w:t>
            </w:r>
          </w:p>
        </w:tc>
        <w:tc>
          <w:tcPr>
            <w:tcW w:w="1300" w:type="dxa"/>
            <w:noWrap/>
            <w:vAlign w:val="center"/>
            <w:hideMark/>
          </w:tcPr>
          <w:p w14:paraId="01EE8791"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3.8</w:t>
            </w:r>
          </w:p>
        </w:tc>
        <w:tc>
          <w:tcPr>
            <w:tcW w:w="1400" w:type="dxa"/>
            <w:noWrap/>
            <w:vAlign w:val="center"/>
            <w:hideMark/>
          </w:tcPr>
          <w:p w14:paraId="36D371E2"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10,973</w:t>
            </w:r>
          </w:p>
        </w:tc>
        <w:tc>
          <w:tcPr>
            <w:tcW w:w="1380" w:type="dxa"/>
            <w:noWrap/>
            <w:vAlign w:val="center"/>
            <w:hideMark/>
          </w:tcPr>
          <w:p w14:paraId="68C4CB62"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116,464</w:t>
            </w:r>
          </w:p>
        </w:tc>
        <w:tc>
          <w:tcPr>
            <w:tcW w:w="1300" w:type="dxa"/>
            <w:noWrap/>
            <w:vAlign w:val="center"/>
            <w:hideMark/>
          </w:tcPr>
          <w:p w14:paraId="60BB6F1A"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1.6</w:t>
            </w:r>
          </w:p>
        </w:tc>
        <w:tc>
          <w:tcPr>
            <w:tcW w:w="1300" w:type="dxa"/>
            <w:noWrap/>
            <w:vAlign w:val="center"/>
            <w:hideMark/>
          </w:tcPr>
          <w:p w14:paraId="11A225FE"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3.0</w:t>
            </w:r>
          </w:p>
        </w:tc>
      </w:tr>
      <w:tr w:rsidR="00186188" w:rsidRPr="00D91583" w14:paraId="3F908678"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31629670" w14:textId="77777777" w:rsidR="00186188" w:rsidRPr="00D91583" w:rsidRDefault="00186188" w:rsidP="00A37264">
            <w:pPr>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North Yorkshire</w:t>
            </w:r>
          </w:p>
        </w:tc>
        <w:tc>
          <w:tcPr>
            <w:tcW w:w="1300" w:type="dxa"/>
            <w:noWrap/>
            <w:vAlign w:val="center"/>
            <w:hideMark/>
          </w:tcPr>
          <w:p w14:paraId="2E32045B"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656</w:t>
            </w:r>
          </w:p>
        </w:tc>
        <w:tc>
          <w:tcPr>
            <w:tcW w:w="1300" w:type="dxa"/>
            <w:noWrap/>
            <w:vAlign w:val="center"/>
            <w:hideMark/>
          </w:tcPr>
          <w:p w14:paraId="4FDDDD57"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0.6</w:t>
            </w:r>
          </w:p>
        </w:tc>
        <w:tc>
          <w:tcPr>
            <w:tcW w:w="1300" w:type="dxa"/>
            <w:noWrap/>
            <w:vAlign w:val="center"/>
            <w:hideMark/>
          </w:tcPr>
          <w:p w14:paraId="0D813AFC"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6.8</w:t>
            </w:r>
          </w:p>
        </w:tc>
        <w:tc>
          <w:tcPr>
            <w:tcW w:w="1400" w:type="dxa"/>
            <w:noWrap/>
            <w:vAlign w:val="center"/>
            <w:hideMark/>
          </w:tcPr>
          <w:p w14:paraId="31C089FF"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5,930</w:t>
            </w:r>
          </w:p>
        </w:tc>
        <w:tc>
          <w:tcPr>
            <w:tcW w:w="1380" w:type="dxa"/>
            <w:noWrap/>
            <w:vAlign w:val="center"/>
            <w:hideMark/>
          </w:tcPr>
          <w:p w14:paraId="427ADB2C"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99,900</w:t>
            </w:r>
          </w:p>
        </w:tc>
        <w:tc>
          <w:tcPr>
            <w:tcW w:w="1300" w:type="dxa"/>
            <w:noWrap/>
            <w:vAlign w:val="center"/>
            <w:hideMark/>
          </w:tcPr>
          <w:p w14:paraId="7E36F129"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1.5</w:t>
            </w:r>
          </w:p>
        </w:tc>
        <w:tc>
          <w:tcPr>
            <w:tcW w:w="1300" w:type="dxa"/>
            <w:noWrap/>
            <w:vAlign w:val="center"/>
            <w:hideMark/>
          </w:tcPr>
          <w:p w14:paraId="1CCEAB5B"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2.1</w:t>
            </w:r>
          </w:p>
        </w:tc>
      </w:tr>
      <w:tr w:rsidR="00186188" w:rsidRPr="00D91583" w14:paraId="5A1E9403"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26837D37" w14:textId="77777777" w:rsidR="00186188" w:rsidRPr="00D91583" w:rsidRDefault="00186188" w:rsidP="00A37264">
            <w:pPr>
              <w:rPr>
                <w:rFonts w:ascii="Aptos Narrow" w:eastAsia="Times New Roman" w:hAnsi="Aptos Narrow" w:cs="Times New Roman"/>
                <w:color w:val="000000"/>
                <w:kern w:val="0"/>
                <w:lang w:eastAsia="en-GB"/>
                <w14:ligatures w14:val="none"/>
              </w:rPr>
            </w:pPr>
            <w:proofErr w:type="gramStart"/>
            <w:r w:rsidRPr="00D91583">
              <w:rPr>
                <w:rFonts w:ascii="Aptos Narrow" w:eastAsia="Times New Roman" w:hAnsi="Aptos Narrow" w:cs="Times New Roman"/>
                <w:color w:val="000000"/>
                <w:kern w:val="0"/>
                <w:lang w:eastAsia="en-GB"/>
                <w14:ligatures w14:val="none"/>
              </w:rPr>
              <w:t>North</w:t>
            </w:r>
            <w:r>
              <w:rPr>
                <w:rFonts w:ascii="Aptos Narrow" w:eastAsia="Times New Roman" w:hAnsi="Aptos Narrow" w:cs="Times New Roman"/>
                <w:color w:val="000000"/>
                <w:kern w:val="0"/>
                <w:lang w:eastAsia="en-GB"/>
                <w14:ligatures w14:val="none"/>
              </w:rPr>
              <w:t xml:space="preserve"> East</w:t>
            </w:r>
            <w:proofErr w:type="gramEnd"/>
            <w:r>
              <w:rPr>
                <w:rFonts w:ascii="Aptos Narrow" w:eastAsia="Times New Roman" w:hAnsi="Aptos Narrow" w:cs="Times New Roman"/>
                <w:color w:val="000000"/>
                <w:kern w:val="0"/>
                <w:lang w:eastAsia="en-GB"/>
                <w14:ligatures w14:val="none"/>
              </w:rPr>
              <w:t xml:space="preserve"> CA </w:t>
            </w:r>
          </w:p>
        </w:tc>
        <w:tc>
          <w:tcPr>
            <w:tcW w:w="1300" w:type="dxa"/>
            <w:noWrap/>
            <w:vAlign w:val="center"/>
            <w:hideMark/>
          </w:tcPr>
          <w:p w14:paraId="1D6775BC"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1,082</w:t>
            </w:r>
          </w:p>
        </w:tc>
        <w:tc>
          <w:tcPr>
            <w:tcW w:w="1300" w:type="dxa"/>
            <w:noWrap/>
            <w:vAlign w:val="center"/>
            <w:hideMark/>
          </w:tcPr>
          <w:p w14:paraId="251C5D1A"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2.6</w:t>
            </w:r>
          </w:p>
        </w:tc>
        <w:tc>
          <w:tcPr>
            <w:tcW w:w="1300" w:type="dxa"/>
            <w:noWrap/>
            <w:vAlign w:val="center"/>
            <w:hideMark/>
          </w:tcPr>
          <w:p w14:paraId="4C2C83F0"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10.5</w:t>
            </w:r>
          </w:p>
        </w:tc>
        <w:tc>
          <w:tcPr>
            <w:tcW w:w="1400" w:type="dxa"/>
            <w:noWrap/>
            <w:vAlign w:val="center"/>
            <w:hideMark/>
          </w:tcPr>
          <w:p w14:paraId="62CE71B1"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21,820</w:t>
            </w:r>
          </w:p>
        </w:tc>
        <w:tc>
          <w:tcPr>
            <w:tcW w:w="1380" w:type="dxa"/>
            <w:noWrap/>
            <w:vAlign w:val="center"/>
            <w:hideMark/>
          </w:tcPr>
          <w:p w14:paraId="24EC7589"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117,663</w:t>
            </w:r>
          </w:p>
        </w:tc>
        <w:tc>
          <w:tcPr>
            <w:tcW w:w="1300" w:type="dxa"/>
            <w:noWrap/>
            <w:vAlign w:val="center"/>
            <w:hideMark/>
          </w:tcPr>
          <w:p w14:paraId="1E65C145"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2.6</w:t>
            </w:r>
          </w:p>
        </w:tc>
        <w:tc>
          <w:tcPr>
            <w:tcW w:w="1300" w:type="dxa"/>
            <w:noWrap/>
            <w:vAlign w:val="center"/>
            <w:hideMark/>
          </w:tcPr>
          <w:p w14:paraId="40B425E5"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4.9</w:t>
            </w:r>
          </w:p>
        </w:tc>
      </w:tr>
      <w:tr w:rsidR="00186188" w:rsidRPr="00D91583" w14:paraId="612ECDB6"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62211E6A" w14:textId="77777777" w:rsidR="00186188" w:rsidRPr="00D91583" w:rsidRDefault="00186188" w:rsidP="00A37264">
            <w:pPr>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South Yorkshire</w:t>
            </w:r>
          </w:p>
        </w:tc>
        <w:tc>
          <w:tcPr>
            <w:tcW w:w="1300" w:type="dxa"/>
            <w:noWrap/>
            <w:vAlign w:val="center"/>
            <w:hideMark/>
          </w:tcPr>
          <w:p w14:paraId="2B98B4DB"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742</w:t>
            </w:r>
          </w:p>
        </w:tc>
        <w:tc>
          <w:tcPr>
            <w:tcW w:w="1300" w:type="dxa"/>
            <w:noWrap/>
            <w:vAlign w:val="center"/>
            <w:hideMark/>
          </w:tcPr>
          <w:p w14:paraId="1C5F0210"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1.0</w:t>
            </w:r>
          </w:p>
        </w:tc>
        <w:tc>
          <w:tcPr>
            <w:tcW w:w="1300" w:type="dxa"/>
            <w:noWrap/>
            <w:vAlign w:val="center"/>
            <w:hideMark/>
          </w:tcPr>
          <w:p w14:paraId="03DEE4C0"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4.1</w:t>
            </w:r>
          </w:p>
        </w:tc>
        <w:tc>
          <w:tcPr>
            <w:tcW w:w="1400" w:type="dxa"/>
            <w:noWrap/>
            <w:vAlign w:val="center"/>
            <w:hideMark/>
          </w:tcPr>
          <w:p w14:paraId="18FA516D"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12,986</w:t>
            </w:r>
          </w:p>
        </w:tc>
        <w:tc>
          <w:tcPr>
            <w:tcW w:w="1380" w:type="dxa"/>
            <w:noWrap/>
            <w:vAlign w:val="center"/>
            <w:hideMark/>
          </w:tcPr>
          <w:p w14:paraId="56127480"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75,611</w:t>
            </w:r>
          </w:p>
        </w:tc>
        <w:tc>
          <w:tcPr>
            <w:tcW w:w="1300" w:type="dxa"/>
            <w:noWrap/>
            <w:vAlign w:val="center"/>
            <w:hideMark/>
          </w:tcPr>
          <w:p w14:paraId="1D0C2B4B"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2.2</w:t>
            </w:r>
          </w:p>
        </w:tc>
        <w:tc>
          <w:tcPr>
            <w:tcW w:w="1300" w:type="dxa"/>
            <w:noWrap/>
            <w:vAlign w:val="center"/>
            <w:hideMark/>
          </w:tcPr>
          <w:p w14:paraId="76E59916"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2.8</w:t>
            </w:r>
          </w:p>
        </w:tc>
      </w:tr>
      <w:tr w:rsidR="00186188" w:rsidRPr="00D91583" w14:paraId="597F3448"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5B96AE89" w14:textId="77777777" w:rsidR="00186188" w:rsidRPr="00D91583" w:rsidRDefault="00186188" w:rsidP="00A37264">
            <w:pPr>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Tees Valley</w:t>
            </w:r>
          </w:p>
        </w:tc>
        <w:tc>
          <w:tcPr>
            <w:tcW w:w="1300" w:type="dxa"/>
            <w:noWrap/>
            <w:vAlign w:val="center"/>
            <w:hideMark/>
          </w:tcPr>
          <w:p w14:paraId="3EB29B6E"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366</w:t>
            </w:r>
          </w:p>
        </w:tc>
        <w:tc>
          <w:tcPr>
            <w:tcW w:w="1300" w:type="dxa"/>
            <w:noWrap/>
            <w:vAlign w:val="center"/>
            <w:hideMark/>
          </w:tcPr>
          <w:p w14:paraId="6501A6BF"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0.9</w:t>
            </w:r>
          </w:p>
        </w:tc>
        <w:tc>
          <w:tcPr>
            <w:tcW w:w="1300" w:type="dxa"/>
            <w:noWrap/>
            <w:vAlign w:val="center"/>
            <w:hideMark/>
          </w:tcPr>
          <w:p w14:paraId="0B66DAC9"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3.4</w:t>
            </w:r>
          </w:p>
        </w:tc>
        <w:tc>
          <w:tcPr>
            <w:tcW w:w="1400" w:type="dxa"/>
            <w:noWrap/>
            <w:vAlign w:val="center"/>
            <w:hideMark/>
          </w:tcPr>
          <w:p w14:paraId="03E40BFE"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6,897</w:t>
            </w:r>
          </w:p>
        </w:tc>
        <w:tc>
          <w:tcPr>
            <w:tcW w:w="1380" w:type="dxa"/>
            <w:noWrap/>
            <w:vAlign w:val="center"/>
            <w:hideMark/>
          </w:tcPr>
          <w:p w14:paraId="5EACC0E0"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128,590</w:t>
            </w:r>
          </w:p>
        </w:tc>
        <w:tc>
          <w:tcPr>
            <w:tcW w:w="1300" w:type="dxa"/>
            <w:noWrap/>
            <w:vAlign w:val="center"/>
            <w:hideMark/>
          </w:tcPr>
          <w:p w14:paraId="247034A8"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2.5</w:t>
            </w:r>
          </w:p>
        </w:tc>
        <w:tc>
          <w:tcPr>
            <w:tcW w:w="1300" w:type="dxa"/>
            <w:noWrap/>
            <w:vAlign w:val="center"/>
            <w:hideMark/>
          </w:tcPr>
          <w:p w14:paraId="7FA0DE5B"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5.3</w:t>
            </w:r>
          </w:p>
        </w:tc>
      </w:tr>
      <w:tr w:rsidR="00186188" w:rsidRPr="00D91583" w14:paraId="29C17CC4"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0005854D" w14:textId="77777777" w:rsidR="00186188" w:rsidRPr="00D91583" w:rsidRDefault="00186188" w:rsidP="00A37264">
            <w:pPr>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West Yorkshire</w:t>
            </w:r>
          </w:p>
        </w:tc>
        <w:tc>
          <w:tcPr>
            <w:tcW w:w="1300" w:type="dxa"/>
            <w:noWrap/>
            <w:vAlign w:val="center"/>
            <w:hideMark/>
          </w:tcPr>
          <w:p w14:paraId="6ED797F6"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1,048</w:t>
            </w:r>
          </w:p>
        </w:tc>
        <w:tc>
          <w:tcPr>
            <w:tcW w:w="1300" w:type="dxa"/>
            <w:noWrap/>
            <w:vAlign w:val="center"/>
            <w:hideMark/>
          </w:tcPr>
          <w:p w14:paraId="5FEDB306"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1.4</w:t>
            </w:r>
          </w:p>
        </w:tc>
        <w:tc>
          <w:tcPr>
            <w:tcW w:w="1300" w:type="dxa"/>
            <w:noWrap/>
            <w:vAlign w:val="center"/>
            <w:hideMark/>
          </w:tcPr>
          <w:p w14:paraId="3CF9E225"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15.1</w:t>
            </w:r>
          </w:p>
        </w:tc>
        <w:tc>
          <w:tcPr>
            <w:tcW w:w="1400" w:type="dxa"/>
            <w:noWrap/>
            <w:vAlign w:val="center"/>
            <w:hideMark/>
          </w:tcPr>
          <w:p w14:paraId="59656DAC"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16,868</w:t>
            </w:r>
          </w:p>
        </w:tc>
        <w:tc>
          <w:tcPr>
            <w:tcW w:w="1380" w:type="dxa"/>
            <w:noWrap/>
            <w:vAlign w:val="center"/>
            <w:hideMark/>
          </w:tcPr>
          <w:p w14:paraId="232D3D39"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82,466</w:t>
            </w:r>
          </w:p>
        </w:tc>
        <w:tc>
          <w:tcPr>
            <w:tcW w:w="1300" w:type="dxa"/>
            <w:noWrap/>
            <w:vAlign w:val="center"/>
            <w:hideMark/>
          </w:tcPr>
          <w:p w14:paraId="1992701A"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1.5</w:t>
            </w:r>
          </w:p>
        </w:tc>
        <w:tc>
          <w:tcPr>
            <w:tcW w:w="1300" w:type="dxa"/>
            <w:noWrap/>
            <w:vAlign w:val="center"/>
            <w:hideMark/>
          </w:tcPr>
          <w:p w14:paraId="21E3585C"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1.9</w:t>
            </w:r>
          </w:p>
        </w:tc>
      </w:tr>
      <w:tr w:rsidR="00186188" w:rsidRPr="00D91583" w14:paraId="0C88B6C6"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7EDC3FA5" w14:textId="77777777" w:rsidR="00186188" w:rsidRPr="00D91583" w:rsidRDefault="00186188" w:rsidP="00A37264">
            <w:pPr>
              <w:jc w:val="right"/>
              <w:rPr>
                <w:rFonts w:ascii="Aptos Narrow" w:eastAsia="Times New Roman" w:hAnsi="Aptos Narrow" w:cs="Times New Roman"/>
                <w:color w:val="000000"/>
                <w:kern w:val="0"/>
                <w:lang w:eastAsia="en-GB"/>
                <w14:ligatures w14:val="none"/>
              </w:rPr>
            </w:pPr>
          </w:p>
        </w:tc>
        <w:tc>
          <w:tcPr>
            <w:tcW w:w="1300" w:type="dxa"/>
            <w:noWrap/>
            <w:vAlign w:val="center"/>
            <w:hideMark/>
          </w:tcPr>
          <w:p w14:paraId="628291FA"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300" w:type="dxa"/>
            <w:noWrap/>
            <w:vAlign w:val="center"/>
            <w:hideMark/>
          </w:tcPr>
          <w:p w14:paraId="46271962"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300" w:type="dxa"/>
            <w:noWrap/>
            <w:vAlign w:val="center"/>
            <w:hideMark/>
          </w:tcPr>
          <w:p w14:paraId="65059E37"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400" w:type="dxa"/>
            <w:noWrap/>
            <w:vAlign w:val="center"/>
            <w:hideMark/>
          </w:tcPr>
          <w:p w14:paraId="2393871D"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380" w:type="dxa"/>
            <w:noWrap/>
            <w:vAlign w:val="center"/>
            <w:hideMark/>
          </w:tcPr>
          <w:p w14:paraId="6DB322EC"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300" w:type="dxa"/>
            <w:noWrap/>
            <w:vAlign w:val="center"/>
            <w:hideMark/>
          </w:tcPr>
          <w:p w14:paraId="0C4FAB34"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300" w:type="dxa"/>
            <w:noWrap/>
            <w:vAlign w:val="center"/>
            <w:hideMark/>
          </w:tcPr>
          <w:p w14:paraId="676799EB"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r>
      <w:tr w:rsidR="00186188" w:rsidRPr="00D91583" w14:paraId="52DF1807"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4127" w:type="dxa"/>
            <w:noWrap/>
            <w:hideMark/>
          </w:tcPr>
          <w:p w14:paraId="73D87AB5" w14:textId="77777777" w:rsidR="00186188" w:rsidRPr="00D91583" w:rsidRDefault="00186188" w:rsidP="00A37264">
            <w:pPr>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North</w:t>
            </w:r>
          </w:p>
        </w:tc>
        <w:tc>
          <w:tcPr>
            <w:tcW w:w="1300" w:type="dxa"/>
            <w:noWrap/>
            <w:vAlign w:val="center"/>
            <w:hideMark/>
          </w:tcPr>
          <w:p w14:paraId="52E8551C"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8,729</w:t>
            </w:r>
          </w:p>
        </w:tc>
        <w:tc>
          <w:tcPr>
            <w:tcW w:w="1300" w:type="dxa"/>
            <w:noWrap/>
            <w:vAlign w:val="center"/>
            <w:hideMark/>
          </w:tcPr>
          <w:p w14:paraId="3615E778"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13.3</w:t>
            </w:r>
          </w:p>
        </w:tc>
        <w:tc>
          <w:tcPr>
            <w:tcW w:w="1300" w:type="dxa"/>
            <w:noWrap/>
            <w:vAlign w:val="center"/>
            <w:hideMark/>
          </w:tcPr>
          <w:p w14:paraId="015DA756"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74.8</w:t>
            </w:r>
          </w:p>
        </w:tc>
        <w:tc>
          <w:tcPr>
            <w:tcW w:w="1400" w:type="dxa"/>
            <w:noWrap/>
            <w:vAlign w:val="center"/>
            <w:hideMark/>
          </w:tcPr>
          <w:p w14:paraId="00E93F53"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141,734</w:t>
            </w:r>
          </w:p>
        </w:tc>
        <w:tc>
          <w:tcPr>
            <w:tcW w:w="1380" w:type="dxa"/>
            <w:noWrap/>
            <w:vAlign w:val="center"/>
            <w:hideMark/>
          </w:tcPr>
          <w:p w14:paraId="0F2F05A9"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93,614</w:t>
            </w:r>
          </w:p>
        </w:tc>
        <w:tc>
          <w:tcPr>
            <w:tcW w:w="1300" w:type="dxa"/>
            <w:noWrap/>
            <w:vAlign w:val="center"/>
            <w:hideMark/>
          </w:tcPr>
          <w:p w14:paraId="19F8CD58"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2.0</w:t>
            </w:r>
          </w:p>
        </w:tc>
        <w:tc>
          <w:tcPr>
            <w:tcW w:w="1300" w:type="dxa"/>
            <w:noWrap/>
            <w:vAlign w:val="center"/>
            <w:hideMark/>
          </w:tcPr>
          <w:p w14:paraId="78EA62D9" w14:textId="77777777" w:rsidR="00186188" w:rsidRPr="00D91583"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2.8</w:t>
            </w:r>
          </w:p>
        </w:tc>
      </w:tr>
    </w:tbl>
    <w:p w14:paraId="53A9AA12" w14:textId="77777777" w:rsidR="00186188" w:rsidRDefault="00186188" w:rsidP="00186188"/>
    <w:p w14:paraId="2EEE531A" w14:textId="77777777" w:rsidR="00186188" w:rsidRDefault="00186188" w:rsidP="00186188">
      <w:r>
        <w:br w:type="page"/>
      </w:r>
    </w:p>
    <w:p w14:paraId="07F6C8C4" w14:textId="77777777" w:rsidR="00186188" w:rsidRPr="00F80B2B" w:rsidRDefault="00186188" w:rsidP="00186188">
      <w:pPr>
        <w:pStyle w:val="Heading1"/>
      </w:pPr>
      <w:bookmarkStart w:id="24" w:name="_Toc218945934"/>
      <w:r>
        <w:lastRenderedPageBreak/>
        <w:t>Appendix C: Northern ITL3 Areas Full Table</w:t>
      </w:r>
      <w:bookmarkEnd w:id="24"/>
    </w:p>
    <w:tbl>
      <w:tblPr>
        <w:tblStyle w:val="GridTable1Light"/>
        <w:tblW w:w="13257" w:type="dxa"/>
        <w:tblLook w:val="04A0" w:firstRow="1" w:lastRow="0" w:firstColumn="1" w:lastColumn="0" w:noHBand="0" w:noVBand="1"/>
      </w:tblPr>
      <w:tblGrid>
        <w:gridCol w:w="3668"/>
        <w:gridCol w:w="1306"/>
        <w:gridCol w:w="1460"/>
        <w:gridCol w:w="1460"/>
        <w:gridCol w:w="1383"/>
        <w:gridCol w:w="1380"/>
        <w:gridCol w:w="1300"/>
        <w:gridCol w:w="1300"/>
      </w:tblGrid>
      <w:tr w:rsidR="00186188" w:rsidRPr="005C55D8" w14:paraId="57026B02" w14:textId="77777777" w:rsidTr="00A3726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2180C326"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ITL3 Area</w:t>
            </w:r>
          </w:p>
        </w:tc>
        <w:tc>
          <w:tcPr>
            <w:tcW w:w="1306" w:type="dxa"/>
            <w:noWrap/>
            <w:hideMark/>
          </w:tcPr>
          <w:p w14:paraId="63CB4844" w14:textId="77777777" w:rsidR="00186188" w:rsidRPr="005C55D8"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No of Net Zero Sites</w:t>
            </w:r>
          </w:p>
        </w:tc>
        <w:tc>
          <w:tcPr>
            <w:tcW w:w="1460" w:type="dxa"/>
            <w:noWrap/>
            <w:hideMark/>
          </w:tcPr>
          <w:p w14:paraId="08A05324" w14:textId="77777777" w:rsidR="00186188" w:rsidRPr="005C55D8"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GVA (£bn)</w:t>
            </w:r>
          </w:p>
        </w:tc>
        <w:tc>
          <w:tcPr>
            <w:tcW w:w="1460" w:type="dxa"/>
            <w:noWrap/>
            <w:hideMark/>
          </w:tcPr>
          <w:p w14:paraId="09A237EA" w14:textId="77777777" w:rsidR="00186188" w:rsidRPr="005C55D8"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Turnover (£bn)</w:t>
            </w:r>
          </w:p>
        </w:tc>
        <w:tc>
          <w:tcPr>
            <w:tcW w:w="1383" w:type="dxa"/>
            <w:noWrap/>
            <w:hideMark/>
          </w:tcPr>
          <w:p w14:paraId="2F47C973" w14:textId="77777777" w:rsidR="00186188" w:rsidRPr="005C55D8"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Employees</w:t>
            </w:r>
          </w:p>
        </w:tc>
        <w:tc>
          <w:tcPr>
            <w:tcW w:w="1380" w:type="dxa"/>
            <w:noWrap/>
            <w:hideMark/>
          </w:tcPr>
          <w:p w14:paraId="70081884" w14:textId="77777777" w:rsidR="00186188" w:rsidRPr="005C55D8"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GVA per job (£)</w:t>
            </w:r>
          </w:p>
        </w:tc>
        <w:tc>
          <w:tcPr>
            <w:tcW w:w="1300" w:type="dxa"/>
            <w:noWrap/>
            <w:hideMark/>
          </w:tcPr>
          <w:p w14:paraId="01A174B2" w14:textId="77777777" w:rsidR="00186188" w:rsidRPr="005C55D8"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D91583">
              <w:rPr>
                <w:rFonts w:ascii="Aptos Narrow" w:eastAsia="Times New Roman" w:hAnsi="Aptos Narrow" w:cs="Times New Roman"/>
                <w:color w:val="000000"/>
                <w:kern w:val="0"/>
                <w:lang w:eastAsia="en-GB"/>
                <w14:ligatures w14:val="none"/>
              </w:rPr>
              <w:t xml:space="preserve">Proportion of </w:t>
            </w:r>
            <w:r>
              <w:rPr>
                <w:rFonts w:ascii="Aptos Narrow" w:eastAsia="Times New Roman" w:hAnsi="Aptos Narrow" w:cs="Times New Roman"/>
                <w:color w:val="000000"/>
                <w:kern w:val="0"/>
                <w:lang w:eastAsia="en-GB"/>
                <w14:ligatures w14:val="none"/>
              </w:rPr>
              <w:t>total</w:t>
            </w:r>
            <w:r w:rsidRPr="00D91583">
              <w:rPr>
                <w:rFonts w:ascii="Aptos Narrow" w:eastAsia="Times New Roman" w:hAnsi="Aptos Narrow" w:cs="Times New Roman"/>
                <w:color w:val="000000"/>
                <w:kern w:val="0"/>
                <w:lang w:eastAsia="en-GB"/>
                <w14:ligatures w14:val="none"/>
              </w:rPr>
              <w:t xml:space="preserve"> jobs within the ITL</w:t>
            </w:r>
            <w:r>
              <w:rPr>
                <w:rFonts w:ascii="Aptos Narrow" w:eastAsia="Times New Roman" w:hAnsi="Aptos Narrow" w:cs="Times New Roman"/>
                <w:color w:val="000000"/>
                <w:kern w:val="0"/>
                <w:lang w:eastAsia="en-GB"/>
                <w14:ligatures w14:val="none"/>
              </w:rPr>
              <w:t>3</w:t>
            </w:r>
            <w:r w:rsidRPr="00D91583">
              <w:rPr>
                <w:rFonts w:ascii="Aptos Narrow" w:eastAsia="Times New Roman" w:hAnsi="Aptos Narrow" w:cs="Times New Roman"/>
                <w:color w:val="000000"/>
                <w:kern w:val="0"/>
                <w:lang w:eastAsia="en-GB"/>
                <w14:ligatures w14:val="none"/>
              </w:rPr>
              <w:t xml:space="preserve"> area </w:t>
            </w:r>
            <w:r>
              <w:rPr>
                <w:rFonts w:ascii="Aptos Narrow" w:eastAsia="Times New Roman" w:hAnsi="Aptos Narrow" w:cs="Times New Roman"/>
                <w:color w:val="000000"/>
                <w:kern w:val="0"/>
                <w:lang w:eastAsia="en-GB"/>
                <w14:ligatures w14:val="none"/>
              </w:rPr>
              <w:t xml:space="preserve">from net zero </w:t>
            </w:r>
            <w:r w:rsidRPr="005C55D8">
              <w:rPr>
                <w:rFonts w:ascii="Aptos Narrow" w:eastAsia="Times New Roman" w:hAnsi="Aptos Narrow" w:cs="Times New Roman"/>
                <w:color w:val="000000"/>
                <w:kern w:val="0"/>
                <w:lang w:eastAsia="en-GB"/>
                <w14:ligatures w14:val="none"/>
              </w:rPr>
              <w:t>(%)</w:t>
            </w:r>
          </w:p>
        </w:tc>
        <w:tc>
          <w:tcPr>
            <w:tcW w:w="1300" w:type="dxa"/>
            <w:noWrap/>
            <w:hideMark/>
          </w:tcPr>
          <w:p w14:paraId="2A0683FE" w14:textId="77777777" w:rsidR="00186188" w:rsidRPr="005C55D8" w:rsidRDefault="00186188" w:rsidP="00A37264">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Proportion of total GVA within the ITL</w:t>
            </w:r>
            <w:r>
              <w:rPr>
                <w:rFonts w:ascii="Aptos Narrow" w:eastAsia="Times New Roman" w:hAnsi="Aptos Narrow" w:cs="Times New Roman"/>
                <w:color w:val="000000"/>
                <w:kern w:val="0"/>
                <w:lang w:eastAsia="en-GB"/>
                <w14:ligatures w14:val="none"/>
              </w:rPr>
              <w:t>3</w:t>
            </w:r>
            <w:r w:rsidRPr="005C55D8">
              <w:rPr>
                <w:rFonts w:ascii="Aptos Narrow" w:eastAsia="Times New Roman" w:hAnsi="Aptos Narrow" w:cs="Times New Roman"/>
                <w:color w:val="000000"/>
                <w:kern w:val="0"/>
                <w:lang w:eastAsia="en-GB"/>
                <w14:ligatures w14:val="none"/>
              </w:rPr>
              <w:t xml:space="preserve"> area from net zero (%)</w:t>
            </w:r>
          </w:p>
        </w:tc>
      </w:tr>
      <w:tr w:rsidR="00186188" w:rsidRPr="005C55D8" w14:paraId="2CF577E4"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12D018DD"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Barnsley</w:t>
            </w:r>
          </w:p>
        </w:tc>
        <w:tc>
          <w:tcPr>
            <w:tcW w:w="1306" w:type="dxa"/>
            <w:noWrap/>
            <w:vAlign w:val="center"/>
            <w:hideMark/>
          </w:tcPr>
          <w:p w14:paraId="54568C1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191</w:t>
            </w:r>
          </w:p>
        </w:tc>
        <w:tc>
          <w:tcPr>
            <w:tcW w:w="1460" w:type="dxa"/>
            <w:noWrap/>
            <w:vAlign w:val="center"/>
            <w:hideMark/>
          </w:tcPr>
          <w:p w14:paraId="1748EB8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0.2</w:t>
            </w:r>
          </w:p>
        </w:tc>
        <w:tc>
          <w:tcPr>
            <w:tcW w:w="1460" w:type="dxa"/>
            <w:noWrap/>
            <w:vAlign w:val="center"/>
            <w:hideMark/>
          </w:tcPr>
          <w:p w14:paraId="637F809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w:t>
            </w:r>
          </w:p>
        </w:tc>
        <w:tc>
          <w:tcPr>
            <w:tcW w:w="1383" w:type="dxa"/>
            <w:noWrap/>
            <w:vAlign w:val="center"/>
            <w:hideMark/>
          </w:tcPr>
          <w:p w14:paraId="2D74FAB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3,229</w:t>
            </w:r>
          </w:p>
        </w:tc>
        <w:tc>
          <w:tcPr>
            <w:tcW w:w="1380" w:type="dxa"/>
            <w:noWrap/>
            <w:vAlign w:val="center"/>
            <w:hideMark/>
          </w:tcPr>
          <w:p w14:paraId="7BC2505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61,516</w:t>
            </w:r>
          </w:p>
        </w:tc>
        <w:tc>
          <w:tcPr>
            <w:tcW w:w="1300" w:type="dxa"/>
            <w:noWrap/>
            <w:vAlign w:val="center"/>
            <w:hideMark/>
          </w:tcPr>
          <w:p w14:paraId="6890CCA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3.8</w:t>
            </w:r>
          </w:p>
        </w:tc>
        <w:tc>
          <w:tcPr>
            <w:tcW w:w="1300" w:type="dxa"/>
            <w:noWrap/>
            <w:vAlign w:val="center"/>
            <w:hideMark/>
          </w:tcPr>
          <w:p w14:paraId="1607312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3.9</w:t>
            </w:r>
          </w:p>
        </w:tc>
      </w:tr>
      <w:tr w:rsidR="00186188" w:rsidRPr="005C55D8" w14:paraId="3F6E875C"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60052DAF"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Blackburn with Darwen</w:t>
            </w:r>
          </w:p>
        </w:tc>
        <w:tc>
          <w:tcPr>
            <w:tcW w:w="1306" w:type="dxa"/>
            <w:noWrap/>
            <w:vAlign w:val="center"/>
            <w:hideMark/>
          </w:tcPr>
          <w:p w14:paraId="41B673D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53</w:t>
            </w:r>
          </w:p>
        </w:tc>
        <w:tc>
          <w:tcPr>
            <w:tcW w:w="1460" w:type="dxa"/>
            <w:noWrap/>
            <w:vAlign w:val="center"/>
            <w:hideMark/>
          </w:tcPr>
          <w:p w14:paraId="0F86836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0.0</w:t>
            </w:r>
          </w:p>
        </w:tc>
        <w:tc>
          <w:tcPr>
            <w:tcW w:w="1460" w:type="dxa"/>
            <w:noWrap/>
            <w:vAlign w:val="center"/>
            <w:hideMark/>
          </w:tcPr>
          <w:p w14:paraId="366AE14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0.3</w:t>
            </w:r>
          </w:p>
        </w:tc>
        <w:tc>
          <w:tcPr>
            <w:tcW w:w="1383" w:type="dxa"/>
            <w:noWrap/>
            <w:vAlign w:val="center"/>
            <w:hideMark/>
          </w:tcPr>
          <w:p w14:paraId="3D512DBF"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521</w:t>
            </w:r>
          </w:p>
        </w:tc>
        <w:tc>
          <w:tcPr>
            <w:tcW w:w="1380" w:type="dxa"/>
            <w:noWrap/>
            <w:vAlign w:val="center"/>
            <w:hideMark/>
          </w:tcPr>
          <w:p w14:paraId="6E54C0C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81,579</w:t>
            </w:r>
          </w:p>
        </w:tc>
        <w:tc>
          <w:tcPr>
            <w:tcW w:w="1300" w:type="dxa"/>
            <w:noWrap/>
            <w:vAlign w:val="center"/>
            <w:hideMark/>
          </w:tcPr>
          <w:p w14:paraId="44740AE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0.7</w:t>
            </w:r>
          </w:p>
        </w:tc>
        <w:tc>
          <w:tcPr>
            <w:tcW w:w="1300" w:type="dxa"/>
            <w:noWrap/>
            <w:vAlign w:val="center"/>
            <w:hideMark/>
          </w:tcPr>
          <w:p w14:paraId="32D20DF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w:t>
            </w:r>
          </w:p>
        </w:tc>
      </w:tr>
      <w:tr w:rsidR="00186188" w:rsidRPr="005C55D8" w14:paraId="4C4BB5A9"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0E4BAAF8"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Blackpool</w:t>
            </w:r>
          </w:p>
        </w:tc>
        <w:tc>
          <w:tcPr>
            <w:tcW w:w="1306" w:type="dxa"/>
            <w:noWrap/>
            <w:vAlign w:val="center"/>
            <w:hideMark/>
          </w:tcPr>
          <w:p w14:paraId="07EA97B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54</w:t>
            </w:r>
          </w:p>
        </w:tc>
        <w:tc>
          <w:tcPr>
            <w:tcW w:w="1460" w:type="dxa"/>
            <w:noWrap/>
            <w:vAlign w:val="center"/>
            <w:hideMark/>
          </w:tcPr>
          <w:p w14:paraId="4DCAA34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0.0</w:t>
            </w:r>
          </w:p>
        </w:tc>
        <w:tc>
          <w:tcPr>
            <w:tcW w:w="1460" w:type="dxa"/>
            <w:noWrap/>
            <w:vAlign w:val="center"/>
            <w:hideMark/>
          </w:tcPr>
          <w:p w14:paraId="71E731F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0.2</w:t>
            </w:r>
          </w:p>
        </w:tc>
        <w:tc>
          <w:tcPr>
            <w:tcW w:w="1383" w:type="dxa"/>
            <w:noWrap/>
            <w:vAlign w:val="center"/>
            <w:hideMark/>
          </w:tcPr>
          <w:p w14:paraId="4D75842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510</w:t>
            </w:r>
          </w:p>
        </w:tc>
        <w:tc>
          <w:tcPr>
            <w:tcW w:w="1380" w:type="dxa"/>
            <w:noWrap/>
            <w:vAlign w:val="center"/>
            <w:hideMark/>
          </w:tcPr>
          <w:p w14:paraId="305BFD3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93,571</w:t>
            </w:r>
          </w:p>
        </w:tc>
        <w:tc>
          <w:tcPr>
            <w:tcW w:w="1300" w:type="dxa"/>
            <w:noWrap/>
            <w:vAlign w:val="center"/>
            <w:hideMark/>
          </w:tcPr>
          <w:p w14:paraId="540E55D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0.8</w:t>
            </w:r>
          </w:p>
        </w:tc>
        <w:tc>
          <w:tcPr>
            <w:tcW w:w="1300" w:type="dxa"/>
            <w:noWrap/>
            <w:vAlign w:val="center"/>
            <w:hideMark/>
          </w:tcPr>
          <w:p w14:paraId="4500D72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w:t>
            </w:r>
          </w:p>
        </w:tc>
      </w:tr>
      <w:tr w:rsidR="00186188" w:rsidRPr="005C55D8" w14:paraId="1044F1C9"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0F84E5D8"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Bradford</w:t>
            </w:r>
          </w:p>
        </w:tc>
        <w:tc>
          <w:tcPr>
            <w:tcW w:w="1306" w:type="dxa"/>
            <w:noWrap/>
            <w:vAlign w:val="center"/>
            <w:hideMark/>
          </w:tcPr>
          <w:p w14:paraId="787253F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172</w:t>
            </w:r>
          </w:p>
        </w:tc>
        <w:tc>
          <w:tcPr>
            <w:tcW w:w="1460" w:type="dxa"/>
            <w:noWrap/>
            <w:vAlign w:val="center"/>
            <w:hideMark/>
          </w:tcPr>
          <w:p w14:paraId="550B923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0.1</w:t>
            </w:r>
          </w:p>
        </w:tc>
        <w:tc>
          <w:tcPr>
            <w:tcW w:w="1460" w:type="dxa"/>
            <w:noWrap/>
            <w:vAlign w:val="center"/>
            <w:hideMark/>
          </w:tcPr>
          <w:p w14:paraId="37F5AC2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0.4</w:t>
            </w:r>
          </w:p>
        </w:tc>
        <w:tc>
          <w:tcPr>
            <w:tcW w:w="1383" w:type="dxa"/>
            <w:noWrap/>
            <w:vAlign w:val="center"/>
            <w:hideMark/>
          </w:tcPr>
          <w:p w14:paraId="66D9983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1,371</w:t>
            </w:r>
          </w:p>
        </w:tc>
        <w:tc>
          <w:tcPr>
            <w:tcW w:w="1380" w:type="dxa"/>
            <w:noWrap/>
            <w:vAlign w:val="center"/>
            <w:hideMark/>
          </w:tcPr>
          <w:p w14:paraId="44B1B6E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80,705</w:t>
            </w:r>
          </w:p>
        </w:tc>
        <w:tc>
          <w:tcPr>
            <w:tcW w:w="1300" w:type="dxa"/>
            <w:noWrap/>
            <w:vAlign w:val="center"/>
            <w:hideMark/>
          </w:tcPr>
          <w:p w14:paraId="70C34B0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0.7</w:t>
            </w:r>
          </w:p>
        </w:tc>
        <w:tc>
          <w:tcPr>
            <w:tcW w:w="1300" w:type="dxa"/>
            <w:noWrap/>
            <w:vAlign w:val="center"/>
            <w:hideMark/>
          </w:tcPr>
          <w:p w14:paraId="0F216C5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0.9</w:t>
            </w:r>
          </w:p>
        </w:tc>
      </w:tr>
      <w:tr w:rsidR="00186188" w:rsidRPr="005C55D8" w14:paraId="25BFAD57"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3FFC72C1"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Calderdale and Kirklees</w:t>
            </w:r>
          </w:p>
        </w:tc>
        <w:tc>
          <w:tcPr>
            <w:tcW w:w="1306" w:type="dxa"/>
            <w:noWrap/>
            <w:vAlign w:val="center"/>
            <w:hideMark/>
          </w:tcPr>
          <w:p w14:paraId="52CB1B9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216</w:t>
            </w:r>
          </w:p>
        </w:tc>
        <w:tc>
          <w:tcPr>
            <w:tcW w:w="1460" w:type="dxa"/>
            <w:noWrap/>
            <w:vAlign w:val="center"/>
            <w:hideMark/>
          </w:tcPr>
          <w:p w14:paraId="54ED987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0.2</w:t>
            </w:r>
          </w:p>
        </w:tc>
        <w:tc>
          <w:tcPr>
            <w:tcW w:w="1460" w:type="dxa"/>
            <w:noWrap/>
            <w:vAlign w:val="center"/>
            <w:hideMark/>
          </w:tcPr>
          <w:p w14:paraId="39FFD53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0.6</w:t>
            </w:r>
          </w:p>
        </w:tc>
        <w:tc>
          <w:tcPr>
            <w:tcW w:w="1383" w:type="dxa"/>
            <w:noWrap/>
            <w:vAlign w:val="center"/>
            <w:hideMark/>
          </w:tcPr>
          <w:p w14:paraId="26A2943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2,060</w:t>
            </w:r>
          </w:p>
        </w:tc>
        <w:tc>
          <w:tcPr>
            <w:tcW w:w="1380" w:type="dxa"/>
            <w:noWrap/>
            <w:vAlign w:val="center"/>
            <w:hideMark/>
          </w:tcPr>
          <w:p w14:paraId="461CCC8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77,560</w:t>
            </w:r>
          </w:p>
        </w:tc>
        <w:tc>
          <w:tcPr>
            <w:tcW w:w="1300" w:type="dxa"/>
            <w:noWrap/>
            <w:vAlign w:val="center"/>
            <w:hideMark/>
          </w:tcPr>
          <w:p w14:paraId="59DF735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0.8</w:t>
            </w:r>
          </w:p>
        </w:tc>
        <w:tc>
          <w:tcPr>
            <w:tcW w:w="1300" w:type="dxa"/>
            <w:noWrap/>
            <w:vAlign w:val="center"/>
            <w:hideMark/>
          </w:tcPr>
          <w:p w14:paraId="6C58CD0F"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1.1</w:t>
            </w:r>
          </w:p>
        </w:tc>
      </w:tr>
      <w:tr w:rsidR="00186188" w:rsidRPr="005C55D8" w14:paraId="63E79941"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4569A3DE"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Cheshire East</w:t>
            </w:r>
          </w:p>
        </w:tc>
        <w:tc>
          <w:tcPr>
            <w:tcW w:w="1306" w:type="dxa"/>
            <w:noWrap/>
            <w:vAlign w:val="center"/>
            <w:hideMark/>
          </w:tcPr>
          <w:p w14:paraId="00C05D8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278</w:t>
            </w:r>
          </w:p>
        </w:tc>
        <w:tc>
          <w:tcPr>
            <w:tcW w:w="1460" w:type="dxa"/>
            <w:noWrap/>
            <w:vAlign w:val="center"/>
            <w:hideMark/>
          </w:tcPr>
          <w:p w14:paraId="6ED0003E"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0.2</w:t>
            </w:r>
          </w:p>
        </w:tc>
        <w:tc>
          <w:tcPr>
            <w:tcW w:w="1460" w:type="dxa"/>
            <w:noWrap/>
            <w:vAlign w:val="center"/>
            <w:hideMark/>
          </w:tcPr>
          <w:p w14:paraId="3CA6375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w:t>
            </w:r>
          </w:p>
        </w:tc>
        <w:tc>
          <w:tcPr>
            <w:tcW w:w="1383" w:type="dxa"/>
            <w:noWrap/>
            <w:vAlign w:val="center"/>
            <w:hideMark/>
          </w:tcPr>
          <w:p w14:paraId="4FA5204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2,500</w:t>
            </w:r>
          </w:p>
        </w:tc>
        <w:tc>
          <w:tcPr>
            <w:tcW w:w="1380" w:type="dxa"/>
            <w:noWrap/>
            <w:vAlign w:val="center"/>
            <w:hideMark/>
          </w:tcPr>
          <w:p w14:paraId="0CD4155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89,034</w:t>
            </w:r>
          </w:p>
        </w:tc>
        <w:tc>
          <w:tcPr>
            <w:tcW w:w="1300" w:type="dxa"/>
            <w:noWrap/>
            <w:vAlign w:val="center"/>
            <w:hideMark/>
          </w:tcPr>
          <w:p w14:paraId="3F428FE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1.2</w:t>
            </w:r>
          </w:p>
        </w:tc>
        <w:tc>
          <w:tcPr>
            <w:tcW w:w="1300" w:type="dxa"/>
            <w:noWrap/>
            <w:vAlign w:val="center"/>
            <w:hideMark/>
          </w:tcPr>
          <w:p w14:paraId="7796813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w:t>
            </w:r>
          </w:p>
        </w:tc>
      </w:tr>
      <w:tr w:rsidR="00186188" w:rsidRPr="005C55D8" w14:paraId="016E6811"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46EF4C12"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Cheshire West and Chester</w:t>
            </w:r>
          </w:p>
        </w:tc>
        <w:tc>
          <w:tcPr>
            <w:tcW w:w="1306" w:type="dxa"/>
            <w:noWrap/>
            <w:vAlign w:val="center"/>
            <w:hideMark/>
          </w:tcPr>
          <w:p w14:paraId="6546393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344</w:t>
            </w:r>
          </w:p>
        </w:tc>
        <w:tc>
          <w:tcPr>
            <w:tcW w:w="1460" w:type="dxa"/>
            <w:noWrap/>
            <w:vAlign w:val="center"/>
            <w:hideMark/>
          </w:tcPr>
          <w:p w14:paraId="520EA5D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0.5</w:t>
            </w:r>
          </w:p>
        </w:tc>
        <w:tc>
          <w:tcPr>
            <w:tcW w:w="1460" w:type="dxa"/>
            <w:noWrap/>
            <w:vAlign w:val="center"/>
            <w:hideMark/>
          </w:tcPr>
          <w:p w14:paraId="16FBEF7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2.8</w:t>
            </w:r>
          </w:p>
        </w:tc>
        <w:tc>
          <w:tcPr>
            <w:tcW w:w="1383" w:type="dxa"/>
            <w:noWrap/>
            <w:vAlign w:val="center"/>
            <w:hideMark/>
          </w:tcPr>
          <w:p w14:paraId="5A1D4B1E"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5,913</w:t>
            </w:r>
          </w:p>
        </w:tc>
        <w:tc>
          <w:tcPr>
            <w:tcW w:w="1380" w:type="dxa"/>
            <w:noWrap/>
            <w:vAlign w:val="center"/>
            <w:hideMark/>
          </w:tcPr>
          <w:p w14:paraId="30D796E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90,889</w:t>
            </w:r>
          </w:p>
        </w:tc>
        <w:tc>
          <w:tcPr>
            <w:tcW w:w="1300" w:type="dxa"/>
            <w:noWrap/>
            <w:vAlign w:val="center"/>
            <w:hideMark/>
          </w:tcPr>
          <w:p w14:paraId="59C560C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3.4</w:t>
            </w:r>
          </w:p>
        </w:tc>
        <w:tc>
          <w:tcPr>
            <w:tcW w:w="1300" w:type="dxa"/>
            <w:noWrap/>
            <w:vAlign w:val="center"/>
            <w:hideMark/>
          </w:tcPr>
          <w:p w14:paraId="041DAC7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3.8</w:t>
            </w:r>
          </w:p>
        </w:tc>
      </w:tr>
      <w:tr w:rsidR="00186188" w:rsidRPr="005C55D8" w14:paraId="69CA909C"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039AF9F2"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Chorley and West Lancashire</w:t>
            </w:r>
          </w:p>
        </w:tc>
        <w:tc>
          <w:tcPr>
            <w:tcW w:w="1306" w:type="dxa"/>
            <w:noWrap/>
            <w:vAlign w:val="center"/>
            <w:hideMark/>
          </w:tcPr>
          <w:p w14:paraId="6B735B0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140</w:t>
            </w:r>
          </w:p>
        </w:tc>
        <w:tc>
          <w:tcPr>
            <w:tcW w:w="1460" w:type="dxa"/>
            <w:noWrap/>
            <w:vAlign w:val="center"/>
            <w:hideMark/>
          </w:tcPr>
          <w:p w14:paraId="4377338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0.1</w:t>
            </w:r>
          </w:p>
        </w:tc>
        <w:tc>
          <w:tcPr>
            <w:tcW w:w="1460" w:type="dxa"/>
            <w:noWrap/>
            <w:vAlign w:val="center"/>
            <w:hideMark/>
          </w:tcPr>
          <w:p w14:paraId="4EFFC0F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0.3</w:t>
            </w:r>
          </w:p>
        </w:tc>
        <w:tc>
          <w:tcPr>
            <w:tcW w:w="1383" w:type="dxa"/>
            <w:noWrap/>
            <w:vAlign w:val="center"/>
            <w:hideMark/>
          </w:tcPr>
          <w:p w14:paraId="4499B8A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1,471</w:t>
            </w:r>
          </w:p>
        </w:tc>
        <w:tc>
          <w:tcPr>
            <w:tcW w:w="1380" w:type="dxa"/>
            <w:noWrap/>
            <w:vAlign w:val="center"/>
            <w:hideMark/>
          </w:tcPr>
          <w:p w14:paraId="584E26C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77,932</w:t>
            </w:r>
          </w:p>
        </w:tc>
        <w:tc>
          <w:tcPr>
            <w:tcW w:w="1300" w:type="dxa"/>
            <w:noWrap/>
            <w:vAlign w:val="center"/>
            <w:hideMark/>
          </w:tcPr>
          <w:p w14:paraId="4933668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1.6</w:t>
            </w:r>
          </w:p>
        </w:tc>
        <w:tc>
          <w:tcPr>
            <w:tcW w:w="1300" w:type="dxa"/>
            <w:noWrap/>
            <w:vAlign w:val="center"/>
            <w:hideMark/>
          </w:tcPr>
          <w:p w14:paraId="53F1440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1.8</w:t>
            </w:r>
          </w:p>
        </w:tc>
      </w:tr>
      <w:tr w:rsidR="00186188" w:rsidRPr="005C55D8" w14:paraId="217ECC40"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1B1A9DFF"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Cumberland</w:t>
            </w:r>
          </w:p>
        </w:tc>
        <w:tc>
          <w:tcPr>
            <w:tcW w:w="1306" w:type="dxa"/>
            <w:noWrap/>
            <w:vAlign w:val="center"/>
            <w:hideMark/>
          </w:tcPr>
          <w:p w14:paraId="672BF3A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174</w:t>
            </w:r>
          </w:p>
        </w:tc>
        <w:tc>
          <w:tcPr>
            <w:tcW w:w="1460" w:type="dxa"/>
            <w:noWrap/>
            <w:vAlign w:val="center"/>
            <w:hideMark/>
          </w:tcPr>
          <w:p w14:paraId="1C2E904E"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0.4</w:t>
            </w:r>
          </w:p>
        </w:tc>
        <w:tc>
          <w:tcPr>
            <w:tcW w:w="1460" w:type="dxa"/>
            <w:noWrap/>
            <w:vAlign w:val="center"/>
            <w:hideMark/>
          </w:tcPr>
          <w:p w14:paraId="4162BCE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1.5</w:t>
            </w:r>
          </w:p>
        </w:tc>
        <w:tc>
          <w:tcPr>
            <w:tcW w:w="1383" w:type="dxa"/>
            <w:noWrap/>
            <w:vAlign w:val="center"/>
            <w:hideMark/>
          </w:tcPr>
          <w:p w14:paraId="03F4D49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5,583</w:t>
            </w:r>
          </w:p>
        </w:tc>
        <w:tc>
          <w:tcPr>
            <w:tcW w:w="1380" w:type="dxa"/>
            <w:noWrap/>
            <w:vAlign w:val="center"/>
            <w:hideMark/>
          </w:tcPr>
          <w:p w14:paraId="628C57F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77,506</w:t>
            </w:r>
          </w:p>
        </w:tc>
        <w:tc>
          <w:tcPr>
            <w:tcW w:w="1300" w:type="dxa"/>
            <w:noWrap/>
            <w:vAlign w:val="center"/>
            <w:hideMark/>
          </w:tcPr>
          <w:p w14:paraId="3D17273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4.3</w:t>
            </w:r>
          </w:p>
        </w:tc>
        <w:tc>
          <w:tcPr>
            <w:tcW w:w="1300" w:type="dxa"/>
            <w:noWrap/>
            <w:vAlign w:val="center"/>
            <w:hideMark/>
          </w:tcPr>
          <w:p w14:paraId="3C47972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5.9</w:t>
            </w:r>
          </w:p>
        </w:tc>
      </w:tr>
      <w:tr w:rsidR="00186188" w:rsidRPr="005C55D8" w14:paraId="27DE7FFA"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186E6A40"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Darlington</w:t>
            </w:r>
          </w:p>
        </w:tc>
        <w:tc>
          <w:tcPr>
            <w:tcW w:w="1306" w:type="dxa"/>
            <w:noWrap/>
            <w:vAlign w:val="center"/>
            <w:hideMark/>
          </w:tcPr>
          <w:p w14:paraId="5EEED92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41</w:t>
            </w:r>
          </w:p>
        </w:tc>
        <w:tc>
          <w:tcPr>
            <w:tcW w:w="1460" w:type="dxa"/>
            <w:noWrap/>
            <w:vAlign w:val="center"/>
            <w:hideMark/>
          </w:tcPr>
          <w:p w14:paraId="0C0DF7C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0.2</w:t>
            </w:r>
          </w:p>
        </w:tc>
        <w:tc>
          <w:tcPr>
            <w:tcW w:w="1460" w:type="dxa"/>
            <w:noWrap/>
            <w:vAlign w:val="center"/>
            <w:hideMark/>
          </w:tcPr>
          <w:p w14:paraId="0EE746C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0.7</w:t>
            </w:r>
          </w:p>
        </w:tc>
        <w:tc>
          <w:tcPr>
            <w:tcW w:w="1383" w:type="dxa"/>
            <w:noWrap/>
            <w:vAlign w:val="center"/>
            <w:hideMark/>
          </w:tcPr>
          <w:p w14:paraId="59928CE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2,004</w:t>
            </w:r>
          </w:p>
        </w:tc>
        <w:tc>
          <w:tcPr>
            <w:tcW w:w="1380" w:type="dxa"/>
            <w:noWrap/>
            <w:vAlign w:val="center"/>
            <w:hideMark/>
          </w:tcPr>
          <w:p w14:paraId="6633EFC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90,913</w:t>
            </w:r>
          </w:p>
        </w:tc>
        <w:tc>
          <w:tcPr>
            <w:tcW w:w="1300" w:type="dxa"/>
            <w:noWrap/>
            <w:vAlign w:val="center"/>
            <w:hideMark/>
          </w:tcPr>
          <w:p w14:paraId="718377A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3.6</w:t>
            </w:r>
          </w:p>
        </w:tc>
        <w:tc>
          <w:tcPr>
            <w:tcW w:w="1300" w:type="dxa"/>
            <w:noWrap/>
            <w:vAlign w:val="center"/>
            <w:hideMark/>
          </w:tcPr>
          <w:p w14:paraId="5B92C00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6.0</w:t>
            </w:r>
          </w:p>
        </w:tc>
      </w:tr>
      <w:tr w:rsidR="00186188" w:rsidRPr="005C55D8" w14:paraId="4DD11E7D"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1DE057B7"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Doncaster</w:t>
            </w:r>
          </w:p>
        </w:tc>
        <w:tc>
          <w:tcPr>
            <w:tcW w:w="1306" w:type="dxa"/>
            <w:noWrap/>
            <w:vAlign w:val="center"/>
            <w:hideMark/>
          </w:tcPr>
          <w:p w14:paraId="4291BC4E"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219</w:t>
            </w:r>
          </w:p>
        </w:tc>
        <w:tc>
          <w:tcPr>
            <w:tcW w:w="1460" w:type="dxa"/>
            <w:noWrap/>
            <w:vAlign w:val="center"/>
            <w:hideMark/>
          </w:tcPr>
          <w:p w14:paraId="6BF1D85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0.3</w:t>
            </w:r>
          </w:p>
        </w:tc>
        <w:tc>
          <w:tcPr>
            <w:tcW w:w="1460" w:type="dxa"/>
            <w:noWrap/>
            <w:vAlign w:val="center"/>
            <w:hideMark/>
          </w:tcPr>
          <w:p w14:paraId="3805AA4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1.2</w:t>
            </w:r>
          </w:p>
        </w:tc>
        <w:tc>
          <w:tcPr>
            <w:tcW w:w="1383" w:type="dxa"/>
            <w:noWrap/>
            <w:vAlign w:val="center"/>
            <w:hideMark/>
          </w:tcPr>
          <w:p w14:paraId="4C61EE1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4,121</w:t>
            </w:r>
          </w:p>
        </w:tc>
        <w:tc>
          <w:tcPr>
            <w:tcW w:w="1380" w:type="dxa"/>
            <w:noWrap/>
            <w:vAlign w:val="center"/>
            <w:hideMark/>
          </w:tcPr>
          <w:p w14:paraId="63F8883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79,149</w:t>
            </w:r>
          </w:p>
        </w:tc>
        <w:tc>
          <w:tcPr>
            <w:tcW w:w="1300" w:type="dxa"/>
            <w:noWrap/>
            <w:vAlign w:val="center"/>
            <w:hideMark/>
          </w:tcPr>
          <w:p w14:paraId="508F140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3.1</w:t>
            </w:r>
          </w:p>
        </w:tc>
        <w:tc>
          <w:tcPr>
            <w:tcW w:w="1300" w:type="dxa"/>
            <w:noWrap/>
            <w:vAlign w:val="center"/>
            <w:hideMark/>
          </w:tcPr>
          <w:p w14:paraId="1C002D2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4.5</w:t>
            </w:r>
          </w:p>
        </w:tc>
      </w:tr>
      <w:tr w:rsidR="00186188" w:rsidRPr="005C55D8" w14:paraId="51D4DA05"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6A8B7BC5"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Durham</w:t>
            </w:r>
          </w:p>
        </w:tc>
        <w:tc>
          <w:tcPr>
            <w:tcW w:w="1306" w:type="dxa"/>
            <w:noWrap/>
            <w:vAlign w:val="center"/>
            <w:hideMark/>
          </w:tcPr>
          <w:p w14:paraId="0418370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292</w:t>
            </w:r>
          </w:p>
        </w:tc>
        <w:tc>
          <w:tcPr>
            <w:tcW w:w="1460" w:type="dxa"/>
            <w:noWrap/>
            <w:vAlign w:val="center"/>
            <w:hideMark/>
          </w:tcPr>
          <w:p w14:paraId="3003775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0.1</w:t>
            </w:r>
          </w:p>
        </w:tc>
        <w:tc>
          <w:tcPr>
            <w:tcW w:w="1460" w:type="dxa"/>
            <w:noWrap/>
            <w:vAlign w:val="center"/>
            <w:hideMark/>
          </w:tcPr>
          <w:p w14:paraId="1006D54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0.9</w:t>
            </w:r>
          </w:p>
        </w:tc>
        <w:tc>
          <w:tcPr>
            <w:tcW w:w="1383" w:type="dxa"/>
            <w:noWrap/>
            <w:vAlign w:val="center"/>
            <w:hideMark/>
          </w:tcPr>
          <w:p w14:paraId="7130918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2,293</w:t>
            </w:r>
          </w:p>
        </w:tc>
        <w:tc>
          <w:tcPr>
            <w:tcW w:w="1380" w:type="dxa"/>
            <w:noWrap/>
            <w:vAlign w:val="center"/>
            <w:hideMark/>
          </w:tcPr>
          <w:p w14:paraId="6F4BE39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60,633</w:t>
            </w:r>
          </w:p>
        </w:tc>
        <w:tc>
          <w:tcPr>
            <w:tcW w:w="1300" w:type="dxa"/>
            <w:noWrap/>
            <w:vAlign w:val="center"/>
            <w:hideMark/>
          </w:tcPr>
          <w:p w14:paraId="4D6752A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1.2</w:t>
            </w:r>
          </w:p>
        </w:tc>
        <w:tc>
          <w:tcPr>
            <w:tcW w:w="1300" w:type="dxa"/>
            <w:noWrap/>
            <w:vAlign w:val="center"/>
            <w:hideMark/>
          </w:tcPr>
          <w:p w14:paraId="0FDAA41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1.1</w:t>
            </w:r>
          </w:p>
        </w:tc>
      </w:tr>
      <w:tr w:rsidR="00186188" w:rsidRPr="005C55D8" w14:paraId="44E91EAF"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6DBCD458"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East Lancashire</w:t>
            </w:r>
          </w:p>
        </w:tc>
        <w:tc>
          <w:tcPr>
            <w:tcW w:w="1306" w:type="dxa"/>
            <w:noWrap/>
            <w:vAlign w:val="center"/>
            <w:hideMark/>
          </w:tcPr>
          <w:p w14:paraId="002B2EB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94</w:t>
            </w:r>
          </w:p>
        </w:tc>
        <w:tc>
          <w:tcPr>
            <w:tcW w:w="1460" w:type="dxa"/>
            <w:noWrap/>
            <w:vAlign w:val="center"/>
            <w:hideMark/>
          </w:tcPr>
          <w:p w14:paraId="13AB771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0.1</w:t>
            </w:r>
          </w:p>
        </w:tc>
        <w:tc>
          <w:tcPr>
            <w:tcW w:w="1460" w:type="dxa"/>
            <w:noWrap/>
            <w:vAlign w:val="center"/>
            <w:hideMark/>
          </w:tcPr>
          <w:p w14:paraId="3404CD6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0.2</w:t>
            </w:r>
          </w:p>
        </w:tc>
        <w:tc>
          <w:tcPr>
            <w:tcW w:w="1383" w:type="dxa"/>
            <w:noWrap/>
            <w:vAlign w:val="center"/>
            <w:hideMark/>
          </w:tcPr>
          <w:p w14:paraId="3748D00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563</w:t>
            </w:r>
          </w:p>
        </w:tc>
        <w:tc>
          <w:tcPr>
            <w:tcW w:w="1380" w:type="dxa"/>
            <w:noWrap/>
            <w:vAlign w:val="center"/>
            <w:hideMark/>
          </w:tcPr>
          <w:p w14:paraId="7F615FE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114,255</w:t>
            </w:r>
          </w:p>
        </w:tc>
        <w:tc>
          <w:tcPr>
            <w:tcW w:w="1300" w:type="dxa"/>
            <w:noWrap/>
            <w:vAlign w:val="center"/>
            <w:hideMark/>
          </w:tcPr>
          <w:p w14:paraId="55A9061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0.5</w:t>
            </w:r>
          </w:p>
        </w:tc>
        <w:tc>
          <w:tcPr>
            <w:tcW w:w="1300" w:type="dxa"/>
            <w:noWrap/>
            <w:vAlign w:val="center"/>
            <w:hideMark/>
          </w:tcPr>
          <w:p w14:paraId="505AC29F"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0.9</w:t>
            </w:r>
          </w:p>
        </w:tc>
      </w:tr>
      <w:tr w:rsidR="00186188" w:rsidRPr="005C55D8" w14:paraId="496EEE2B"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3E4B0002"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East Merseyside</w:t>
            </w:r>
          </w:p>
        </w:tc>
        <w:tc>
          <w:tcPr>
            <w:tcW w:w="1306" w:type="dxa"/>
            <w:noWrap/>
            <w:vAlign w:val="center"/>
            <w:hideMark/>
          </w:tcPr>
          <w:p w14:paraId="5E4C1DC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215</w:t>
            </w:r>
          </w:p>
        </w:tc>
        <w:tc>
          <w:tcPr>
            <w:tcW w:w="1460" w:type="dxa"/>
            <w:noWrap/>
            <w:vAlign w:val="center"/>
            <w:hideMark/>
          </w:tcPr>
          <w:p w14:paraId="2920097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0.8</w:t>
            </w:r>
          </w:p>
        </w:tc>
        <w:tc>
          <w:tcPr>
            <w:tcW w:w="1460" w:type="dxa"/>
            <w:noWrap/>
            <w:vAlign w:val="center"/>
            <w:hideMark/>
          </w:tcPr>
          <w:p w14:paraId="4D187C8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2.3</w:t>
            </w:r>
          </w:p>
        </w:tc>
        <w:tc>
          <w:tcPr>
            <w:tcW w:w="1383" w:type="dxa"/>
            <w:noWrap/>
            <w:vAlign w:val="center"/>
            <w:hideMark/>
          </w:tcPr>
          <w:p w14:paraId="3F6D9CB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4,894</w:t>
            </w:r>
          </w:p>
        </w:tc>
        <w:tc>
          <w:tcPr>
            <w:tcW w:w="1380" w:type="dxa"/>
            <w:noWrap/>
            <w:vAlign w:val="center"/>
            <w:hideMark/>
          </w:tcPr>
          <w:p w14:paraId="6B21B3E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155,784</w:t>
            </w:r>
          </w:p>
        </w:tc>
        <w:tc>
          <w:tcPr>
            <w:tcW w:w="1300" w:type="dxa"/>
            <w:noWrap/>
            <w:vAlign w:val="center"/>
            <w:hideMark/>
          </w:tcPr>
          <w:p w14:paraId="06FF913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2.5</w:t>
            </w:r>
          </w:p>
        </w:tc>
        <w:tc>
          <w:tcPr>
            <w:tcW w:w="1300" w:type="dxa"/>
            <w:noWrap/>
            <w:vAlign w:val="center"/>
            <w:hideMark/>
          </w:tcPr>
          <w:p w14:paraId="1571CA6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5.9</w:t>
            </w:r>
          </w:p>
        </w:tc>
      </w:tr>
      <w:tr w:rsidR="00186188" w:rsidRPr="005C55D8" w14:paraId="2638D2ED"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3FB3C129"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East Riding of Yorkshire</w:t>
            </w:r>
          </w:p>
        </w:tc>
        <w:tc>
          <w:tcPr>
            <w:tcW w:w="1306" w:type="dxa"/>
            <w:noWrap/>
            <w:vAlign w:val="center"/>
            <w:hideMark/>
          </w:tcPr>
          <w:p w14:paraId="6E061E0E"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229</w:t>
            </w:r>
          </w:p>
        </w:tc>
        <w:tc>
          <w:tcPr>
            <w:tcW w:w="1460" w:type="dxa"/>
            <w:noWrap/>
            <w:vAlign w:val="center"/>
            <w:hideMark/>
          </w:tcPr>
          <w:p w14:paraId="7BBBE8F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0.3</w:t>
            </w:r>
          </w:p>
        </w:tc>
        <w:tc>
          <w:tcPr>
            <w:tcW w:w="1460" w:type="dxa"/>
            <w:noWrap/>
            <w:vAlign w:val="center"/>
            <w:hideMark/>
          </w:tcPr>
          <w:p w14:paraId="72E4F22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2.3</w:t>
            </w:r>
          </w:p>
        </w:tc>
        <w:tc>
          <w:tcPr>
            <w:tcW w:w="1383" w:type="dxa"/>
            <w:noWrap/>
            <w:vAlign w:val="center"/>
            <w:hideMark/>
          </w:tcPr>
          <w:p w14:paraId="542B3C8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4,325</w:t>
            </w:r>
          </w:p>
        </w:tc>
        <w:tc>
          <w:tcPr>
            <w:tcW w:w="1380" w:type="dxa"/>
            <w:noWrap/>
            <w:vAlign w:val="center"/>
            <w:hideMark/>
          </w:tcPr>
          <w:p w14:paraId="19BCF57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77,478</w:t>
            </w:r>
          </w:p>
        </w:tc>
        <w:tc>
          <w:tcPr>
            <w:tcW w:w="1300" w:type="dxa"/>
            <w:noWrap/>
            <w:vAlign w:val="center"/>
            <w:hideMark/>
          </w:tcPr>
          <w:p w14:paraId="0121661F"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3.3</w:t>
            </w:r>
          </w:p>
        </w:tc>
        <w:tc>
          <w:tcPr>
            <w:tcW w:w="1300" w:type="dxa"/>
            <w:noWrap/>
            <w:vAlign w:val="center"/>
            <w:hideMark/>
          </w:tcPr>
          <w:p w14:paraId="795753D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3.6</w:t>
            </w:r>
          </w:p>
        </w:tc>
      </w:tr>
      <w:tr w:rsidR="00186188" w:rsidRPr="005C55D8" w14:paraId="47DCC4E0"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6D008F5C"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 xml:space="preserve">Greater Manchester </w:t>
            </w:r>
            <w:proofErr w:type="gramStart"/>
            <w:r w:rsidRPr="005C55D8">
              <w:rPr>
                <w:rFonts w:ascii="Aptos Narrow" w:eastAsia="Times New Roman" w:hAnsi="Aptos Narrow" w:cs="Times New Roman"/>
                <w:color w:val="000000"/>
                <w:kern w:val="0"/>
                <w:lang w:eastAsia="en-GB"/>
                <w14:ligatures w14:val="none"/>
              </w:rPr>
              <w:t>North East</w:t>
            </w:r>
            <w:proofErr w:type="gramEnd"/>
          </w:p>
        </w:tc>
        <w:tc>
          <w:tcPr>
            <w:tcW w:w="1306" w:type="dxa"/>
            <w:noWrap/>
            <w:vAlign w:val="center"/>
            <w:hideMark/>
          </w:tcPr>
          <w:p w14:paraId="49889E4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193</w:t>
            </w:r>
          </w:p>
        </w:tc>
        <w:tc>
          <w:tcPr>
            <w:tcW w:w="1460" w:type="dxa"/>
            <w:noWrap/>
            <w:vAlign w:val="center"/>
            <w:hideMark/>
          </w:tcPr>
          <w:p w14:paraId="192CEC2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0.2</w:t>
            </w:r>
          </w:p>
        </w:tc>
        <w:tc>
          <w:tcPr>
            <w:tcW w:w="1460" w:type="dxa"/>
            <w:noWrap/>
            <w:vAlign w:val="center"/>
            <w:hideMark/>
          </w:tcPr>
          <w:p w14:paraId="6B6D40C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0.6</w:t>
            </w:r>
          </w:p>
        </w:tc>
        <w:tc>
          <w:tcPr>
            <w:tcW w:w="1383" w:type="dxa"/>
            <w:noWrap/>
            <w:vAlign w:val="center"/>
            <w:hideMark/>
          </w:tcPr>
          <w:p w14:paraId="595B089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1,789</w:t>
            </w:r>
          </w:p>
        </w:tc>
        <w:tc>
          <w:tcPr>
            <w:tcW w:w="1380" w:type="dxa"/>
            <w:noWrap/>
            <w:vAlign w:val="center"/>
            <w:hideMark/>
          </w:tcPr>
          <w:p w14:paraId="1465F4F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85,907</w:t>
            </w:r>
          </w:p>
        </w:tc>
        <w:tc>
          <w:tcPr>
            <w:tcW w:w="1300" w:type="dxa"/>
            <w:noWrap/>
            <w:vAlign w:val="center"/>
            <w:hideMark/>
          </w:tcPr>
          <w:p w14:paraId="26731BE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0.7</w:t>
            </w:r>
          </w:p>
        </w:tc>
        <w:tc>
          <w:tcPr>
            <w:tcW w:w="1300" w:type="dxa"/>
            <w:noWrap/>
            <w:vAlign w:val="center"/>
            <w:hideMark/>
          </w:tcPr>
          <w:p w14:paraId="2901DF3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1.1</w:t>
            </w:r>
          </w:p>
        </w:tc>
      </w:tr>
      <w:tr w:rsidR="00186188" w:rsidRPr="005C55D8" w14:paraId="39E48A76"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7B79B04B"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 xml:space="preserve">Greater Manchester </w:t>
            </w:r>
            <w:proofErr w:type="gramStart"/>
            <w:r w:rsidRPr="005C55D8">
              <w:rPr>
                <w:rFonts w:ascii="Aptos Narrow" w:eastAsia="Times New Roman" w:hAnsi="Aptos Narrow" w:cs="Times New Roman"/>
                <w:color w:val="000000"/>
                <w:kern w:val="0"/>
                <w:lang w:eastAsia="en-GB"/>
                <w14:ligatures w14:val="none"/>
              </w:rPr>
              <w:t>North West</w:t>
            </w:r>
            <w:proofErr w:type="gramEnd"/>
          </w:p>
        </w:tc>
        <w:tc>
          <w:tcPr>
            <w:tcW w:w="1306" w:type="dxa"/>
            <w:noWrap/>
            <w:vAlign w:val="center"/>
            <w:hideMark/>
          </w:tcPr>
          <w:p w14:paraId="066D352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204</w:t>
            </w:r>
          </w:p>
        </w:tc>
        <w:tc>
          <w:tcPr>
            <w:tcW w:w="1460" w:type="dxa"/>
            <w:noWrap/>
            <w:vAlign w:val="center"/>
            <w:hideMark/>
          </w:tcPr>
          <w:p w14:paraId="269D792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0.5</w:t>
            </w:r>
          </w:p>
        </w:tc>
        <w:tc>
          <w:tcPr>
            <w:tcW w:w="1460" w:type="dxa"/>
            <w:noWrap/>
            <w:vAlign w:val="center"/>
            <w:hideMark/>
          </w:tcPr>
          <w:p w14:paraId="023CBDE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1.5</w:t>
            </w:r>
          </w:p>
        </w:tc>
        <w:tc>
          <w:tcPr>
            <w:tcW w:w="1383" w:type="dxa"/>
            <w:noWrap/>
            <w:vAlign w:val="center"/>
            <w:hideMark/>
          </w:tcPr>
          <w:p w14:paraId="6F4E3BB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4,772</w:t>
            </w:r>
          </w:p>
        </w:tc>
        <w:tc>
          <w:tcPr>
            <w:tcW w:w="1380" w:type="dxa"/>
            <w:noWrap/>
            <w:vAlign w:val="center"/>
            <w:hideMark/>
          </w:tcPr>
          <w:p w14:paraId="2756559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106,468</w:t>
            </w:r>
          </w:p>
        </w:tc>
        <w:tc>
          <w:tcPr>
            <w:tcW w:w="1300" w:type="dxa"/>
            <w:noWrap/>
            <w:vAlign w:val="center"/>
            <w:hideMark/>
          </w:tcPr>
          <w:p w14:paraId="361E7EC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2.1</w:t>
            </w:r>
          </w:p>
        </w:tc>
        <w:tc>
          <w:tcPr>
            <w:tcW w:w="1300" w:type="dxa"/>
            <w:noWrap/>
            <w:vAlign w:val="center"/>
            <w:hideMark/>
          </w:tcPr>
          <w:p w14:paraId="4AF1D0D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3.6</w:t>
            </w:r>
          </w:p>
        </w:tc>
      </w:tr>
      <w:tr w:rsidR="00186188" w:rsidRPr="005C55D8" w14:paraId="1FC2D290"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0FA0B4FA"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 xml:space="preserve">Greater Manchester </w:t>
            </w:r>
            <w:proofErr w:type="gramStart"/>
            <w:r w:rsidRPr="005C55D8">
              <w:rPr>
                <w:rFonts w:ascii="Aptos Narrow" w:eastAsia="Times New Roman" w:hAnsi="Aptos Narrow" w:cs="Times New Roman"/>
                <w:color w:val="000000"/>
                <w:kern w:val="0"/>
                <w:lang w:eastAsia="en-GB"/>
                <w14:ligatures w14:val="none"/>
              </w:rPr>
              <w:t>South East</w:t>
            </w:r>
            <w:proofErr w:type="gramEnd"/>
          </w:p>
        </w:tc>
        <w:tc>
          <w:tcPr>
            <w:tcW w:w="1306" w:type="dxa"/>
            <w:noWrap/>
            <w:vAlign w:val="center"/>
            <w:hideMark/>
          </w:tcPr>
          <w:p w14:paraId="234B81B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419</w:t>
            </w:r>
          </w:p>
        </w:tc>
        <w:tc>
          <w:tcPr>
            <w:tcW w:w="1460" w:type="dxa"/>
            <w:noWrap/>
            <w:vAlign w:val="center"/>
            <w:hideMark/>
          </w:tcPr>
          <w:p w14:paraId="22BBE10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0.2</w:t>
            </w:r>
          </w:p>
        </w:tc>
        <w:tc>
          <w:tcPr>
            <w:tcW w:w="1460" w:type="dxa"/>
            <w:noWrap/>
            <w:vAlign w:val="center"/>
            <w:hideMark/>
          </w:tcPr>
          <w:p w14:paraId="1CB3E4E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w:t>
            </w:r>
          </w:p>
        </w:tc>
        <w:tc>
          <w:tcPr>
            <w:tcW w:w="1383" w:type="dxa"/>
            <w:noWrap/>
            <w:vAlign w:val="center"/>
            <w:hideMark/>
          </w:tcPr>
          <w:p w14:paraId="3C61C10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4,026</w:t>
            </w:r>
          </w:p>
        </w:tc>
        <w:tc>
          <w:tcPr>
            <w:tcW w:w="1380" w:type="dxa"/>
            <w:noWrap/>
            <w:vAlign w:val="center"/>
            <w:hideMark/>
          </w:tcPr>
          <w:p w14:paraId="0D36B8C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56,637</w:t>
            </w:r>
          </w:p>
        </w:tc>
        <w:tc>
          <w:tcPr>
            <w:tcW w:w="1300" w:type="dxa"/>
            <w:noWrap/>
            <w:vAlign w:val="center"/>
            <w:hideMark/>
          </w:tcPr>
          <w:p w14:paraId="075A991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w:t>
            </w:r>
          </w:p>
        </w:tc>
        <w:tc>
          <w:tcPr>
            <w:tcW w:w="1300" w:type="dxa"/>
            <w:noWrap/>
            <w:vAlign w:val="center"/>
            <w:hideMark/>
          </w:tcPr>
          <w:p w14:paraId="39AF93B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1.7</w:t>
            </w:r>
          </w:p>
        </w:tc>
      </w:tr>
      <w:tr w:rsidR="00186188" w:rsidRPr="005C55D8" w14:paraId="51EAE93C"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10149430"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lastRenderedPageBreak/>
              <w:t xml:space="preserve">Greater Manchester </w:t>
            </w:r>
            <w:proofErr w:type="gramStart"/>
            <w:r w:rsidRPr="005C55D8">
              <w:rPr>
                <w:rFonts w:ascii="Aptos Narrow" w:eastAsia="Times New Roman" w:hAnsi="Aptos Narrow" w:cs="Times New Roman"/>
                <w:color w:val="000000"/>
                <w:kern w:val="0"/>
                <w:lang w:eastAsia="en-GB"/>
                <w14:ligatures w14:val="none"/>
              </w:rPr>
              <w:t>South West</w:t>
            </w:r>
            <w:proofErr w:type="gramEnd"/>
          </w:p>
        </w:tc>
        <w:tc>
          <w:tcPr>
            <w:tcW w:w="1306" w:type="dxa"/>
            <w:noWrap/>
            <w:vAlign w:val="center"/>
            <w:hideMark/>
          </w:tcPr>
          <w:p w14:paraId="0085BFE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498</w:t>
            </w:r>
          </w:p>
        </w:tc>
        <w:tc>
          <w:tcPr>
            <w:tcW w:w="1460" w:type="dxa"/>
            <w:noWrap/>
            <w:vAlign w:val="center"/>
            <w:hideMark/>
          </w:tcPr>
          <w:p w14:paraId="262062F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0.5</w:t>
            </w:r>
          </w:p>
        </w:tc>
        <w:tc>
          <w:tcPr>
            <w:tcW w:w="1460" w:type="dxa"/>
            <w:noWrap/>
            <w:vAlign w:val="center"/>
            <w:hideMark/>
          </w:tcPr>
          <w:p w14:paraId="4381EB0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w:t>
            </w:r>
          </w:p>
        </w:tc>
        <w:tc>
          <w:tcPr>
            <w:tcW w:w="1383" w:type="dxa"/>
            <w:noWrap/>
            <w:vAlign w:val="center"/>
            <w:hideMark/>
          </w:tcPr>
          <w:p w14:paraId="6A2291E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4,787</w:t>
            </w:r>
          </w:p>
        </w:tc>
        <w:tc>
          <w:tcPr>
            <w:tcW w:w="1380" w:type="dxa"/>
            <w:noWrap/>
            <w:vAlign w:val="center"/>
            <w:hideMark/>
          </w:tcPr>
          <w:p w14:paraId="4B44DE3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94,612</w:t>
            </w:r>
          </w:p>
        </w:tc>
        <w:tc>
          <w:tcPr>
            <w:tcW w:w="1300" w:type="dxa"/>
            <w:noWrap/>
            <w:vAlign w:val="center"/>
            <w:hideMark/>
          </w:tcPr>
          <w:p w14:paraId="2C0D581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w:t>
            </w:r>
          </w:p>
        </w:tc>
        <w:tc>
          <w:tcPr>
            <w:tcW w:w="1300" w:type="dxa"/>
            <w:noWrap/>
            <w:vAlign w:val="center"/>
            <w:hideMark/>
          </w:tcPr>
          <w:p w14:paraId="16F8629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w:t>
            </w:r>
          </w:p>
        </w:tc>
      </w:tr>
      <w:tr w:rsidR="00186188" w:rsidRPr="005C55D8" w14:paraId="0F5BDBDB"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3C028D58"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Hartlepool and Stockton-on-Tees</w:t>
            </w:r>
          </w:p>
        </w:tc>
        <w:tc>
          <w:tcPr>
            <w:tcW w:w="1306" w:type="dxa"/>
            <w:noWrap/>
            <w:vAlign w:val="center"/>
            <w:hideMark/>
          </w:tcPr>
          <w:p w14:paraId="48F54E0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170</w:t>
            </w:r>
          </w:p>
        </w:tc>
        <w:tc>
          <w:tcPr>
            <w:tcW w:w="1460" w:type="dxa"/>
            <w:noWrap/>
            <w:vAlign w:val="center"/>
            <w:hideMark/>
          </w:tcPr>
          <w:p w14:paraId="05BFFD7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0.4</w:t>
            </w:r>
          </w:p>
        </w:tc>
        <w:tc>
          <w:tcPr>
            <w:tcW w:w="1460" w:type="dxa"/>
            <w:noWrap/>
            <w:vAlign w:val="center"/>
            <w:hideMark/>
          </w:tcPr>
          <w:p w14:paraId="316BE00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1.5</w:t>
            </w:r>
          </w:p>
        </w:tc>
        <w:tc>
          <w:tcPr>
            <w:tcW w:w="1383" w:type="dxa"/>
            <w:noWrap/>
            <w:vAlign w:val="center"/>
            <w:hideMark/>
          </w:tcPr>
          <w:p w14:paraId="127D401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2,827</w:t>
            </w:r>
          </w:p>
        </w:tc>
        <w:tc>
          <w:tcPr>
            <w:tcW w:w="1380" w:type="dxa"/>
            <w:noWrap/>
            <w:vAlign w:val="center"/>
            <w:hideMark/>
          </w:tcPr>
          <w:p w14:paraId="6A0F540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140,245</w:t>
            </w:r>
          </w:p>
        </w:tc>
        <w:tc>
          <w:tcPr>
            <w:tcW w:w="1300" w:type="dxa"/>
            <w:noWrap/>
            <w:vAlign w:val="center"/>
            <w:hideMark/>
          </w:tcPr>
          <w:p w14:paraId="6918069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2.5</w:t>
            </w:r>
          </w:p>
        </w:tc>
        <w:tc>
          <w:tcPr>
            <w:tcW w:w="1300" w:type="dxa"/>
            <w:noWrap/>
            <w:vAlign w:val="center"/>
            <w:hideMark/>
          </w:tcPr>
          <w:p w14:paraId="59C255A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5.1</w:t>
            </w:r>
          </w:p>
        </w:tc>
      </w:tr>
      <w:tr w:rsidR="00186188" w:rsidRPr="005C55D8" w14:paraId="0DE82F44"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520E1648"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Kingston upon Hull, City of</w:t>
            </w:r>
          </w:p>
        </w:tc>
        <w:tc>
          <w:tcPr>
            <w:tcW w:w="1306" w:type="dxa"/>
            <w:noWrap/>
            <w:vAlign w:val="center"/>
            <w:hideMark/>
          </w:tcPr>
          <w:p w14:paraId="0179AB1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81</w:t>
            </w:r>
          </w:p>
        </w:tc>
        <w:tc>
          <w:tcPr>
            <w:tcW w:w="1460" w:type="dxa"/>
            <w:noWrap/>
            <w:vAlign w:val="center"/>
            <w:hideMark/>
          </w:tcPr>
          <w:p w14:paraId="33A455A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0.2</w:t>
            </w:r>
          </w:p>
        </w:tc>
        <w:tc>
          <w:tcPr>
            <w:tcW w:w="1460" w:type="dxa"/>
            <w:noWrap/>
            <w:vAlign w:val="center"/>
            <w:hideMark/>
          </w:tcPr>
          <w:p w14:paraId="42770DD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0.7</w:t>
            </w:r>
          </w:p>
        </w:tc>
        <w:tc>
          <w:tcPr>
            <w:tcW w:w="1383" w:type="dxa"/>
            <w:noWrap/>
            <w:vAlign w:val="center"/>
            <w:hideMark/>
          </w:tcPr>
          <w:p w14:paraId="6C5B919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1,673</w:t>
            </w:r>
          </w:p>
        </w:tc>
        <w:tc>
          <w:tcPr>
            <w:tcW w:w="1380" w:type="dxa"/>
            <w:noWrap/>
            <w:vAlign w:val="center"/>
            <w:hideMark/>
          </w:tcPr>
          <w:p w14:paraId="0FEE30B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127,148</w:t>
            </w:r>
          </w:p>
        </w:tc>
        <w:tc>
          <w:tcPr>
            <w:tcW w:w="1300" w:type="dxa"/>
            <w:noWrap/>
            <w:vAlign w:val="center"/>
            <w:hideMark/>
          </w:tcPr>
          <w:p w14:paraId="3FCFBFE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w:t>
            </w:r>
          </w:p>
        </w:tc>
        <w:tc>
          <w:tcPr>
            <w:tcW w:w="1300" w:type="dxa"/>
            <w:noWrap/>
            <w:vAlign w:val="center"/>
            <w:hideMark/>
          </w:tcPr>
          <w:p w14:paraId="200228E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2.9</w:t>
            </w:r>
          </w:p>
        </w:tc>
      </w:tr>
      <w:tr w:rsidR="00186188" w:rsidRPr="005C55D8" w14:paraId="11831B7B"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1F69F528"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Lancaster and Wyre</w:t>
            </w:r>
          </w:p>
        </w:tc>
        <w:tc>
          <w:tcPr>
            <w:tcW w:w="1306" w:type="dxa"/>
            <w:noWrap/>
            <w:vAlign w:val="center"/>
            <w:hideMark/>
          </w:tcPr>
          <w:p w14:paraId="3EEED4E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104</w:t>
            </w:r>
          </w:p>
        </w:tc>
        <w:tc>
          <w:tcPr>
            <w:tcW w:w="1460" w:type="dxa"/>
            <w:noWrap/>
            <w:vAlign w:val="center"/>
            <w:hideMark/>
          </w:tcPr>
          <w:p w14:paraId="6B696AF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0.2</w:t>
            </w:r>
          </w:p>
        </w:tc>
        <w:tc>
          <w:tcPr>
            <w:tcW w:w="1460" w:type="dxa"/>
            <w:noWrap/>
            <w:vAlign w:val="center"/>
            <w:hideMark/>
          </w:tcPr>
          <w:p w14:paraId="46388A0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w:t>
            </w:r>
          </w:p>
        </w:tc>
        <w:tc>
          <w:tcPr>
            <w:tcW w:w="1383" w:type="dxa"/>
            <w:noWrap/>
            <w:vAlign w:val="center"/>
            <w:hideMark/>
          </w:tcPr>
          <w:p w14:paraId="0213E65E"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1,641</w:t>
            </w:r>
          </w:p>
        </w:tc>
        <w:tc>
          <w:tcPr>
            <w:tcW w:w="1380" w:type="dxa"/>
            <w:noWrap/>
            <w:vAlign w:val="center"/>
            <w:hideMark/>
          </w:tcPr>
          <w:p w14:paraId="507963F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137,030</w:t>
            </w:r>
          </w:p>
        </w:tc>
        <w:tc>
          <w:tcPr>
            <w:tcW w:w="1300" w:type="dxa"/>
            <w:noWrap/>
            <w:vAlign w:val="center"/>
            <w:hideMark/>
          </w:tcPr>
          <w:p w14:paraId="5BFDB17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1.8</w:t>
            </w:r>
          </w:p>
        </w:tc>
        <w:tc>
          <w:tcPr>
            <w:tcW w:w="1300" w:type="dxa"/>
            <w:noWrap/>
            <w:vAlign w:val="center"/>
            <w:hideMark/>
          </w:tcPr>
          <w:p w14:paraId="2E8DD07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3.8</w:t>
            </w:r>
          </w:p>
        </w:tc>
      </w:tr>
      <w:tr w:rsidR="00186188" w:rsidRPr="005C55D8" w14:paraId="25186AA6"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6DC204A3"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Leeds</w:t>
            </w:r>
          </w:p>
        </w:tc>
        <w:tc>
          <w:tcPr>
            <w:tcW w:w="1306" w:type="dxa"/>
            <w:noWrap/>
            <w:vAlign w:val="center"/>
            <w:hideMark/>
          </w:tcPr>
          <w:p w14:paraId="4738E1F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563</w:t>
            </w:r>
          </w:p>
        </w:tc>
        <w:tc>
          <w:tcPr>
            <w:tcW w:w="1460" w:type="dxa"/>
            <w:noWrap/>
            <w:vAlign w:val="center"/>
            <w:hideMark/>
          </w:tcPr>
          <w:p w14:paraId="6C40B6A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0.8</w:t>
            </w:r>
          </w:p>
        </w:tc>
        <w:tc>
          <w:tcPr>
            <w:tcW w:w="1460" w:type="dxa"/>
            <w:noWrap/>
            <w:vAlign w:val="center"/>
            <w:hideMark/>
          </w:tcPr>
          <w:p w14:paraId="09AB6E2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12.8</w:t>
            </w:r>
          </w:p>
        </w:tc>
        <w:tc>
          <w:tcPr>
            <w:tcW w:w="1383" w:type="dxa"/>
            <w:noWrap/>
            <w:vAlign w:val="center"/>
            <w:hideMark/>
          </w:tcPr>
          <w:p w14:paraId="10AC6C1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9,970</w:t>
            </w:r>
          </w:p>
        </w:tc>
        <w:tc>
          <w:tcPr>
            <w:tcW w:w="1380" w:type="dxa"/>
            <w:noWrap/>
            <w:vAlign w:val="center"/>
            <w:hideMark/>
          </w:tcPr>
          <w:p w14:paraId="41BC47A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76,881</w:t>
            </w:r>
          </w:p>
        </w:tc>
        <w:tc>
          <w:tcPr>
            <w:tcW w:w="1300" w:type="dxa"/>
            <w:noWrap/>
            <w:vAlign w:val="center"/>
            <w:hideMark/>
          </w:tcPr>
          <w:p w14:paraId="6F150D6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w:t>
            </w:r>
          </w:p>
        </w:tc>
        <w:tc>
          <w:tcPr>
            <w:tcW w:w="1300" w:type="dxa"/>
            <w:noWrap/>
            <w:vAlign w:val="center"/>
            <w:hideMark/>
          </w:tcPr>
          <w:p w14:paraId="15B03CC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2.1</w:t>
            </w:r>
          </w:p>
        </w:tc>
      </w:tr>
      <w:tr w:rsidR="00186188" w:rsidRPr="005C55D8" w14:paraId="77703F12"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34C0194E"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Liverpool</w:t>
            </w:r>
          </w:p>
        </w:tc>
        <w:tc>
          <w:tcPr>
            <w:tcW w:w="1306" w:type="dxa"/>
            <w:noWrap/>
            <w:vAlign w:val="center"/>
            <w:hideMark/>
          </w:tcPr>
          <w:p w14:paraId="4897854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273</w:t>
            </w:r>
          </w:p>
        </w:tc>
        <w:tc>
          <w:tcPr>
            <w:tcW w:w="1460" w:type="dxa"/>
            <w:noWrap/>
            <w:vAlign w:val="center"/>
            <w:hideMark/>
          </w:tcPr>
          <w:p w14:paraId="77DFBFC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0.3</w:t>
            </w:r>
          </w:p>
        </w:tc>
        <w:tc>
          <w:tcPr>
            <w:tcW w:w="1460" w:type="dxa"/>
            <w:noWrap/>
            <w:vAlign w:val="center"/>
            <w:hideMark/>
          </w:tcPr>
          <w:p w14:paraId="5DCCA20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w:t>
            </w:r>
          </w:p>
        </w:tc>
        <w:tc>
          <w:tcPr>
            <w:tcW w:w="1383" w:type="dxa"/>
            <w:noWrap/>
            <w:vAlign w:val="center"/>
            <w:hideMark/>
          </w:tcPr>
          <w:p w14:paraId="0E71196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4,085</w:t>
            </w:r>
          </w:p>
        </w:tc>
        <w:tc>
          <w:tcPr>
            <w:tcW w:w="1380" w:type="dxa"/>
            <w:noWrap/>
            <w:vAlign w:val="center"/>
            <w:hideMark/>
          </w:tcPr>
          <w:p w14:paraId="23E827A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81,346</w:t>
            </w:r>
          </w:p>
        </w:tc>
        <w:tc>
          <w:tcPr>
            <w:tcW w:w="1300" w:type="dxa"/>
            <w:noWrap/>
            <w:vAlign w:val="center"/>
            <w:hideMark/>
          </w:tcPr>
          <w:p w14:paraId="1C4559EE"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w:t>
            </w:r>
          </w:p>
        </w:tc>
        <w:tc>
          <w:tcPr>
            <w:tcW w:w="1300" w:type="dxa"/>
            <w:noWrap/>
            <w:vAlign w:val="center"/>
            <w:hideMark/>
          </w:tcPr>
          <w:p w14:paraId="2B97BE6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1.8</w:t>
            </w:r>
          </w:p>
        </w:tc>
      </w:tr>
      <w:tr w:rsidR="00186188" w:rsidRPr="005C55D8" w14:paraId="672C321B"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28308496"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Manchester</w:t>
            </w:r>
          </w:p>
        </w:tc>
        <w:tc>
          <w:tcPr>
            <w:tcW w:w="1306" w:type="dxa"/>
            <w:noWrap/>
            <w:vAlign w:val="center"/>
            <w:hideMark/>
          </w:tcPr>
          <w:p w14:paraId="685B294F"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344</w:t>
            </w:r>
          </w:p>
        </w:tc>
        <w:tc>
          <w:tcPr>
            <w:tcW w:w="1460" w:type="dxa"/>
            <w:noWrap/>
            <w:vAlign w:val="center"/>
            <w:hideMark/>
          </w:tcPr>
          <w:p w14:paraId="0C4CAC1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0.5</w:t>
            </w:r>
          </w:p>
        </w:tc>
        <w:tc>
          <w:tcPr>
            <w:tcW w:w="1460" w:type="dxa"/>
            <w:noWrap/>
            <w:vAlign w:val="center"/>
            <w:hideMark/>
          </w:tcPr>
          <w:p w14:paraId="7472D9E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4.4</w:t>
            </w:r>
          </w:p>
        </w:tc>
        <w:tc>
          <w:tcPr>
            <w:tcW w:w="1383" w:type="dxa"/>
            <w:noWrap/>
            <w:vAlign w:val="center"/>
            <w:hideMark/>
          </w:tcPr>
          <w:p w14:paraId="751D595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5,540</w:t>
            </w:r>
          </w:p>
        </w:tc>
        <w:tc>
          <w:tcPr>
            <w:tcW w:w="1380" w:type="dxa"/>
            <w:noWrap/>
            <w:vAlign w:val="center"/>
            <w:hideMark/>
          </w:tcPr>
          <w:p w14:paraId="01F8445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81,645</w:t>
            </w:r>
          </w:p>
        </w:tc>
        <w:tc>
          <w:tcPr>
            <w:tcW w:w="1300" w:type="dxa"/>
            <w:noWrap/>
            <w:vAlign w:val="center"/>
            <w:hideMark/>
          </w:tcPr>
          <w:p w14:paraId="2C62248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1.2</w:t>
            </w:r>
          </w:p>
        </w:tc>
        <w:tc>
          <w:tcPr>
            <w:tcW w:w="1300" w:type="dxa"/>
            <w:noWrap/>
            <w:vAlign w:val="center"/>
            <w:hideMark/>
          </w:tcPr>
          <w:p w14:paraId="4C1F487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w:t>
            </w:r>
          </w:p>
        </w:tc>
      </w:tr>
      <w:tr w:rsidR="00186188" w:rsidRPr="005C55D8" w14:paraId="53AE7E17"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258B2215"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Mid Lancashire</w:t>
            </w:r>
          </w:p>
        </w:tc>
        <w:tc>
          <w:tcPr>
            <w:tcW w:w="1306" w:type="dxa"/>
            <w:noWrap/>
            <w:vAlign w:val="center"/>
            <w:hideMark/>
          </w:tcPr>
          <w:p w14:paraId="65A7452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208</w:t>
            </w:r>
          </w:p>
        </w:tc>
        <w:tc>
          <w:tcPr>
            <w:tcW w:w="1460" w:type="dxa"/>
            <w:noWrap/>
            <w:vAlign w:val="center"/>
            <w:hideMark/>
          </w:tcPr>
          <w:p w14:paraId="5D15255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0.4</w:t>
            </w:r>
          </w:p>
        </w:tc>
        <w:tc>
          <w:tcPr>
            <w:tcW w:w="1460" w:type="dxa"/>
            <w:noWrap/>
            <w:vAlign w:val="center"/>
            <w:hideMark/>
          </w:tcPr>
          <w:p w14:paraId="0F454BB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1.2</w:t>
            </w:r>
          </w:p>
        </w:tc>
        <w:tc>
          <w:tcPr>
            <w:tcW w:w="1383" w:type="dxa"/>
            <w:noWrap/>
            <w:vAlign w:val="center"/>
            <w:hideMark/>
          </w:tcPr>
          <w:p w14:paraId="7076D3FE"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3,970</w:t>
            </w:r>
          </w:p>
        </w:tc>
        <w:tc>
          <w:tcPr>
            <w:tcW w:w="1380" w:type="dxa"/>
            <w:noWrap/>
            <w:vAlign w:val="center"/>
            <w:hideMark/>
          </w:tcPr>
          <w:p w14:paraId="19AFA4A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91,987</w:t>
            </w:r>
          </w:p>
        </w:tc>
        <w:tc>
          <w:tcPr>
            <w:tcW w:w="1300" w:type="dxa"/>
            <w:noWrap/>
            <w:vAlign w:val="center"/>
            <w:hideMark/>
          </w:tcPr>
          <w:p w14:paraId="024D157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1.8</w:t>
            </w:r>
          </w:p>
        </w:tc>
        <w:tc>
          <w:tcPr>
            <w:tcW w:w="1300" w:type="dxa"/>
            <w:noWrap/>
            <w:vAlign w:val="center"/>
            <w:hideMark/>
          </w:tcPr>
          <w:p w14:paraId="623CDB1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2.3</w:t>
            </w:r>
          </w:p>
        </w:tc>
      </w:tr>
      <w:tr w:rsidR="00186188" w:rsidRPr="005C55D8" w14:paraId="72C81191"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68281CAF"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 xml:space="preserve">North and </w:t>
            </w:r>
            <w:proofErr w:type="gramStart"/>
            <w:r w:rsidRPr="005C55D8">
              <w:rPr>
                <w:rFonts w:ascii="Aptos Narrow" w:eastAsia="Times New Roman" w:hAnsi="Aptos Narrow" w:cs="Times New Roman"/>
                <w:color w:val="000000"/>
                <w:kern w:val="0"/>
                <w:lang w:eastAsia="en-GB"/>
                <w14:ligatures w14:val="none"/>
              </w:rPr>
              <w:t>North East</w:t>
            </w:r>
            <w:proofErr w:type="gramEnd"/>
            <w:r w:rsidRPr="005C55D8">
              <w:rPr>
                <w:rFonts w:ascii="Aptos Narrow" w:eastAsia="Times New Roman" w:hAnsi="Aptos Narrow" w:cs="Times New Roman"/>
                <w:color w:val="000000"/>
                <w:kern w:val="0"/>
                <w:lang w:eastAsia="en-GB"/>
                <w14:ligatures w14:val="none"/>
              </w:rPr>
              <w:t xml:space="preserve"> Lincolnshire</w:t>
            </w:r>
          </w:p>
        </w:tc>
        <w:tc>
          <w:tcPr>
            <w:tcW w:w="1306" w:type="dxa"/>
            <w:noWrap/>
            <w:vAlign w:val="center"/>
            <w:hideMark/>
          </w:tcPr>
          <w:p w14:paraId="65E147B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266</w:t>
            </w:r>
          </w:p>
        </w:tc>
        <w:tc>
          <w:tcPr>
            <w:tcW w:w="1460" w:type="dxa"/>
            <w:noWrap/>
            <w:vAlign w:val="center"/>
            <w:hideMark/>
          </w:tcPr>
          <w:p w14:paraId="0E89A8D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0.4</w:t>
            </w:r>
          </w:p>
        </w:tc>
        <w:tc>
          <w:tcPr>
            <w:tcW w:w="1460" w:type="dxa"/>
            <w:noWrap/>
            <w:vAlign w:val="center"/>
            <w:hideMark/>
          </w:tcPr>
          <w:p w14:paraId="521E82F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2.3</w:t>
            </w:r>
          </w:p>
        </w:tc>
        <w:tc>
          <w:tcPr>
            <w:tcW w:w="1383" w:type="dxa"/>
            <w:noWrap/>
            <w:vAlign w:val="center"/>
            <w:hideMark/>
          </w:tcPr>
          <w:p w14:paraId="77930F2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4,944</w:t>
            </w:r>
          </w:p>
        </w:tc>
        <w:tc>
          <w:tcPr>
            <w:tcW w:w="1380" w:type="dxa"/>
            <w:noWrap/>
            <w:vAlign w:val="center"/>
            <w:hideMark/>
          </w:tcPr>
          <w:p w14:paraId="5FBA1C3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82,031</w:t>
            </w:r>
          </w:p>
        </w:tc>
        <w:tc>
          <w:tcPr>
            <w:tcW w:w="1300" w:type="dxa"/>
            <w:noWrap/>
            <w:vAlign w:val="center"/>
            <w:hideMark/>
          </w:tcPr>
          <w:p w14:paraId="01D884C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3.5</w:t>
            </w:r>
          </w:p>
        </w:tc>
        <w:tc>
          <w:tcPr>
            <w:tcW w:w="1300" w:type="dxa"/>
            <w:noWrap/>
            <w:vAlign w:val="center"/>
            <w:hideMark/>
          </w:tcPr>
          <w:p w14:paraId="6A69AAB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4.1</w:t>
            </w:r>
          </w:p>
        </w:tc>
      </w:tr>
      <w:tr w:rsidR="00186188" w:rsidRPr="005C55D8" w14:paraId="6BD5068F"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0056D0A8"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North Yorkshire</w:t>
            </w:r>
          </w:p>
        </w:tc>
        <w:tc>
          <w:tcPr>
            <w:tcW w:w="1306" w:type="dxa"/>
            <w:noWrap/>
            <w:vAlign w:val="center"/>
            <w:hideMark/>
          </w:tcPr>
          <w:p w14:paraId="1D8F5C9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522</w:t>
            </w:r>
          </w:p>
        </w:tc>
        <w:tc>
          <w:tcPr>
            <w:tcW w:w="1460" w:type="dxa"/>
            <w:noWrap/>
            <w:vAlign w:val="center"/>
            <w:hideMark/>
          </w:tcPr>
          <w:p w14:paraId="1FDF5F4E"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0.5</w:t>
            </w:r>
          </w:p>
        </w:tc>
        <w:tc>
          <w:tcPr>
            <w:tcW w:w="1460" w:type="dxa"/>
            <w:noWrap/>
            <w:vAlign w:val="center"/>
            <w:hideMark/>
          </w:tcPr>
          <w:p w14:paraId="5757E46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6.0</w:t>
            </w:r>
          </w:p>
        </w:tc>
        <w:tc>
          <w:tcPr>
            <w:tcW w:w="1383" w:type="dxa"/>
            <w:noWrap/>
            <w:vAlign w:val="center"/>
            <w:hideMark/>
          </w:tcPr>
          <w:p w14:paraId="61E28F5F"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4,029</w:t>
            </w:r>
          </w:p>
        </w:tc>
        <w:tc>
          <w:tcPr>
            <w:tcW w:w="1380" w:type="dxa"/>
            <w:noWrap/>
            <w:vAlign w:val="center"/>
            <w:hideMark/>
          </w:tcPr>
          <w:p w14:paraId="4BA319AF"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112,857</w:t>
            </w:r>
          </w:p>
        </w:tc>
        <w:tc>
          <w:tcPr>
            <w:tcW w:w="1300" w:type="dxa"/>
            <w:noWrap/>
            <w:vAlign w:val="center"/>
            <w:hideMark/>
          </w:tcPr>
          <w:p w14:paraId="4B1D372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w:t>
            </w:r>
          </w:p>
        </w:tc>
        <w:tc>
          <w:tcPr>
            <w:tcW w:w="1300" w:type="dxa"/>
            <w:noWrap/>
            <w:vAlign w:val="center"/>
            <w:hideMark/>
          </w:tcPr>
          <w:p w14:paraId="3ADA82B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2.3</w:t>
            </w:r>
          </w:p>
        </w:tc>
      </w:tr>
      <w:tr w:rsidR="00186188" w:rsidRPr="005C55D8" w14:paraId="37B8B2DC"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66698D9D"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Northumberland</w:t>
            </w:r>
          </w:p>
        </w:tc>
        <w:tc>
          <w:tcPr>
            <w:tcW w:w="1306" w:type="dxa"/>
            <w:noWrap/>
            <w:vAlign w:val="center"/>
            <w:hideMark/>
          </w:tcPr>
          <w:p w14:paraId="7A6AAF0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137</w:t>
            </w:r>
          </w:p>
        </w:tc>
        <w:tc>
          <w:tcPr>
            <w:tcW w:w="1460" w:type="dxa"/>
            <w:noWrap/>
            <w:vAlign w:val="center"/>
            <w:hideMark/>
          </w:tcPr>
          <w:p w14:paraId="69C8939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0.1</w:t>
            </w:r>
          </w:p>
        </w:tc>
        <w:tc>
          <w:tcPr>
            <w:tcW w:w="1460" w:type="dxa"/>
            <w:noWrap/>
            <w:vAlign w:val="center"/>
            <w:hideMark/>
          </w:tcPr>
          <w:p w14:paraId="4ED262E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w:t>
            </w:r>
          </w:p>
        </w:tc>
        <w:tc>
          <w:tcPr>
            <w:tcW w:w="1383" w:type="dxa"/>
            <w:noWrap/>
            <w:vAlign w:val="center"/>
            <w:hideMark/>
          </w:tcPr>
          <w:p w14:paraId="7829962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1,379</w:t>
            </w:r>
          </w:p>
        </w:tc>
        <w:tc>
          <w:tcPr>
            <w:tcW w:w="1380" w:type="dxa"/>
            <w:noWrap/>
            <w:vAlign w:val="center"/>
            <w:hideMark/>
          </w:tcPr>
          <w:p w14:paraId="6E724CA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106,330</w:t>
            </w:r>
          </w:p>
        </w:tc>
        <w:tc>
          <w:tcPr>
            <w:tcW w:w="1300" w:type="dxa"/>
            <w:noWrap/>
            <w:vAlign w:val="center"/>
            <w:hideMark/>
          </w:tcPr>
          <w:p w14:paraId="31F29D1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1.2</w:t>
            </w:r>
          </w:p>
        </w:tc>
        <w:tc>
          <w:tcPr>
            <w:tcW w:w="1300" w:type="dxa"/>
            <w:noWrap/>
            <w:vAlign w:val="center"/>
            <w:hideMark/>
          </w:tcPr>
          <w:p w14:paraId="43809AA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2.2</w:t>
            </w:r>
          </w:p>
        </w:tc>
      </w:tr>
      <w:tr w:rsidR="00186188" w:rsidRPr="005C55D8" w14:paraId="5ACDF90D"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43B26761"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Rotherham</w:t>
            </w:r>
          </w:p>
        </w:tc>
        <w:tc>
          <w:tcPr>
            <w:tcW w:w="1306" w:type="dxa"/>
            <w:noWrap/>
            <w:vAlign w:val="center"/>
            <w:hideMark/>
          </w:tcPr>
          <w:p w14:paraId="2E34DCB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103</w:t>
            </w:r>
          </w:p>
        </w:tc>
        <w:tc>
          <w:tcPr>
            <w:tcW w:w="1460" w:type="dxa"/>
            <w:noWrap/>
            <w:vAlign w:val="center"/>
            <w:hideMark/>
          </w:tcPr>
          <w:p w14:paraId="3D032DB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0.1</w:t>
            </w:r>
          </w:p>
        </w:tc>
        <w:tc>
          <w:tcPr>
            <w:tcW w:w="1460" w:type="dxa"/>
            <w:noWrap/>
            <w:vAlign w:val="center"/>
            <w:hideMark/>
          </w:tcPr>
          <w:p w14:paraId="3DFDC74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0.3</w:t>
            </w:r>
          </w:p>
        </w:tc>
        <w:tc>
          <w:tcPr>
            <w:tcW w:w="1383" w:type="dxa"/>
            <w:noWrap/>
            <w:vAlign w:val="center"/>
            <w:hideMark/>
          </w:tcPr>
          <w:p w14:paraId="4BD1F98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1,111</w:t>
            </w:r>
          </w:p>
        </w:tc>
        <w:tc>
          <w:tcPr>
            <w:tcW w:w="1380" w:type="dxa"/>
            <w:noWrap/>
            <w:vAlign w:val="center"/>
            <w:hideMark/>
          </w:tcPr>
          <w:p w14:paraId="515EA5F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98,938</w:t>
            </w:r>
          </w:p>
        </w:tc>
        <w:tc>
          <w:tcPr>
            <w:tcW w:w="1300" w:type="dxa"/>
            <w:noWrap/>
            <w:vAlign w:val="center"/>
            <w:hideMark/>
          </w:tcPr>
          <w:p w14:paraId="3712644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1.1</w:t>
            </w:r>
          </w:p>
        </w:tc>
        <w:tc>
          <w:tcPr>
            <w:tcW w:w="1300" w:type="dxa"/>
            <w:noWrap/>
            <w:vAlign w:val="center"/>
            <w:hideMark/>
          </w:tcPr>
          <w:p w14:paraId="579DC65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w:t>
            </w:r>
          </w:p>
        </w:tc>
      </w:tr>
      <w:tr w:rsidR="00186188" w:rsidRPr="005C55D8" w14:paraId="47E263B9"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2AD84995"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Sefton</w:t>
            </w:r>
          </w:p>
        </w:tc>
        <w:tc>
          <w:tcPr>
            <w:tcW w:w="1306" w:type="dxa"/>
            <w:noWrap/>
            <w:vAlign w:val="center"/>
            <w:hideMark/>
          </w:tcPr>
          <w:p w14:paraId="468B952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68</w:t>
            </w:r>
          </w:p>
        </w:tc>
        <w:tc>
          <w:tcPr>
            <w:tcW w:w="1460" w:type="dxa"/>
            <w:noWrap/>
            <w:vAlign w:val="center"/>
            <w:hideMark/>
          </w:tcPr>
          <w:p w14:paraId="73E5993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0.1</w:t>
            </w:r>
          </w:p>
        </w:tc>
        <w:tc>
          <w:tcPr>
            <w:tcW w:w="1460" w:type="dxa"/>
            <w:noWrap/>
            <w:vAlign w:val="center"/>
            <w:hideMark/>
          </w:tcPr>
          <w:p w14:paraId="4A34891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0.2</w:t>
            </w:r>
          </w:p>
        </w:tc>
        <w:tc>
          <w:tcPr>
            <w:tcW w:w="1383" w:type="dxa"/>
            <w:noWrap/>
            <w:vAlign w:val="center"/>
            <w:hideMark/>
          </w:tcPr>
          <w:p w14:paraId="5C7CC9D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668</w:t>
            </w:r>
          </w:p>
        </w:tc>
        <w:tc>
          <w:tcPr>
            <w:tcW w:w="1380" w:type="dxa"/>
            <w:noWrap/>
            <w:vAlign w:val="center"/>
            <w:hideMark/>
          </w:tcPr>
          <w:p w14:paraId="3A573E2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109,376</w:t>
            </w:r>
          </w:p>
        </w:tc>
        <w:tc>
          <w:tcPr>
            <w:tcW w:w="1300" w:type="dxa"/>
            <w:noWrap/>
            <w:vAlign w:val="center"/>
            <w:hideMark/>
          </w:tcPr>
          <w:p w14:paraId="3FF929B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0.8</w:t>
            </w:r>
          </w:p>
        </w:tc>
        <w:tc>
          <w:tcPr>
            <w:tcW w:w="1300" w:type="dxa"/>
            <w:noWrap/>
            <w:vAlign w:val="center"/>
            <w:hideMark/>
          </w:tcPr>
          <w:p w14:paraId="54C2953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w:t>
            </w:r>
          </w:p>
        </w:tc>
      </w:tr>
      <w:tr w:rsidR="00186188" w:rsidRPr="005C55D8" w14:paraId="24802B26"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531891C3"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Sheffield</w:t>
            </w:r>
          </w:p>
        </w:tc>
        <w:tc>
          <w:tcPr>
            <w:tcW w:w="1306" w:type="dxa"/>
            <w:noWrap/>
            <w:vAlign w:val="center"/>
            <w:hideMark/>
          </w:tcPr>
          <w:p w14:paraId="709CD2B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229</w:t>
            </w:r>
          </w:p>
        </w:tc>
        <w:tc>
          <w:tcPr>
            <w:tcW w:w="1460" w:type="dxa"/>
            <w:noWrap/>
            <w:vAlign w:val="center"/>
            <w:hideMark/>
          </w:tcPr>
          <w:p w14:paraId="4B4C670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0.3</w:t>
            </w:r>
          </w:p>
        </w:tc>
        <w:tc>
          <w:tcPr>
            <w:tcW w:w="1460" w:type="dxa"/>
            <w:noWrap/>
            <w:vAlign w:val="center"/>
            <w:hideMark/>
          </w:tcPr>
          <w:p w14:paraId="4D1992B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1.1</w:t>
            </w:r>
          </w:p>
        </w:tc>
        <w:tc>
          <w:tcPr>
            <w:tcW w:w="1383" w:type="dxa"/>
            <w:noWrap/>
            <w:vAlign w:val="center"/>
            <w:hideMark/>
          </w:tcPr>
          <w:p w14:paraId="691E7D8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4,525</w:t>
            </w:r>
          </w:p>
        </w:tc>
        <w:tc>
          <w:tcPr>
            <w:tcW w:w="1380" w:type="dxa"/>
            <w:noWrap/>
            <w:vAlign w:val="center"/>
            <w:hideMark/>
          </w:tcPr>
          <w:p w14:paraId="51C17D7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76,722</w:t>
            </w:r>
          </w:p>
        </w:tc>
        <w:tc>
          <w:tcPr>
            <w:tcW w:w="1300" w:type="dxa"/>
            <w:noWrap/>
            <w:vAlign w:val="center"/>
            <w:hideMark/>
          </w:tcPr>
          <w:p w14:paraId="06F7935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1.7</w:t>
            </w:r>
          </w:p>
        </w:tc>
        <w:tc>
          <w:tcPr>
            <w:tcW w:w="1300" w:type="dxa"/>
            <w:noWrap/>
            <w:vAlign w:val="center"/>
            <w:hideMark/>
          </w:tcPr>
          <w:p w14:paraId="62DBC77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w:t>
            </w:r>
          </w:p>
        </w:tc>
      </w:tr>
      <w:tr w:rsidR="00186188" w:rsidRPr="005C55D8" w14:paraId="0ABC4ADD"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64042180"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South Teesside</w:t>
            </w:r>
          </w:p>
        </w:tc>
        <w:tc>
          <w:tcPr>
            <w:tcW w:w="1306" w:type="dxa"/>
            <w:noWrap/>
            <w:vAlign w:val="center"/>
            <w:hideMark/>
          </w:tcPr>
          <w:p w14:paraId="0D861D6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155</w:t>
            </w:r>
          </w:p>
        </w:tc>
        <w:tc>
          <w:tcPr>
            <w:tcW w:w="1460" w:type="dxa"/>
            <w:noWrap/>
            <w:vAlign w:val="center"/>
            <w:hideMark/>
          </w:tcPr>
          <w:p w14:paraId="6D2262C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0.3</w:t>
            </w:r>
          </w:p>
        </w:tc>
        <w:tc>
          <w:tcPr>
            <w:tcW w:w="1460" w:type="dxa"/>
            <w:noWrap/>
            <w:vAlign w:val="center"/>
            <w:hideMark/>
          </w:tcPr>
          <w:p w14:paraId="5B33C01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1.2</w:t>
            </w:r>
          </w:p>
        </w:tc>
        <w:tc>
          <w:tcPr>
            <w:tcW w:w="1383" w:type="dxa"/>
            <w:noWrap/>
            <w:vAlign w:val="center"/>
            <w:hideMark/>
          </w:tcPr>
          <w:p w14:paraId="6B5CDF6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2,066</w:t>
            </w:r>
          </w:p>
        </w:tc>
        <w:tc>
          <w:tcPr>
            <w:tcW w:w="1380" w:type="dxa"/>
            <w:noWrap/>
            <w:vAlign w:val="center"/>
            <w:hideMark/>
          </w:tcPr>
          <w:p w14:paraId="64F2B92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149,184</w:t>
            </w:r>
          </w:p>
        </w:tc>
        <w:tc>
          <w:tcPr>
            <w:tcW w:w="1300" w:type="dxa"/>
            <w:noWrap/>
            <w:vAlign w:val="center"/>
            <w:hideMark/>
          </w:tcPr>
          <w:p w14:paraId="4EB6AF8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w:t>
            </w:r>
          </w:p>
        </w:tc>
        <w:tc>
          <w:tcPr>
            <w:tcW w:w="1300" w:type="dxa"/>
            <w:noWrap/>
            <w:vAlign w:val="center"/>
            <w:hideMark/>
          </w:tcPr>
          <w:p w14:paraId="51782F5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5.2</w:t>
            </w:r>
          </w:p>
        </w:tc>
      </w:tr>
      <w:tr w:rsidR="00186188" w:rsidRPr="005C55D8" w14:paraId="6C6C44B5"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7490AD3D"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Sunderland</w:t>
            </w:r>
          </w:p>
        </w:tc>
        <w:tc>
          <w:tcPr>
            <w:tcW w:w="1306" w:type="dxa"/>
            <w:noWrap/>
            <w:vAlign w:val="center"/>
            <w:hideMark/>
          </w:tcPr>
          <w:p w14:paraId="6D52FCC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168</w:t>
            </w:r>
          </w:p>
        </w:tc>
        <w:tc>
          <w:tcPr>
            <w:tcW w:w="1460" w:type="dxa"/>
            <w:noWrap/>
            <w:vAlign w:val="center"/>
            <w:hideMark/>
          </w:tcPr>
          <w:p w14:paraId="23B7AB9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0.5</w:t>
            </w:r>
          </w:p>
        </w:tc>
        <w:tc>
          <w:tcPr>
            <w:tcW w:w="1460" w:type="dxa"/>
            <w:noWrap/>
            <w:vAlign w:val="center"/>
            <w:hideMark/>
          </w:tcPr>
          <w:p w14:paraId="583DB4B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2.9</w:t>
            </w:r>
          </w:p>
        </w:tc>
        <w:tc>
          <w:tcPr>
            <w:tcW w:w="1383" w:type="dxa"/>
            <w:noWrap/>
            <w:vAlign w:val="center"/>
            <w:hideMark/>
          </w:tcPr>
          <w:p w14:paraId="524A9E8E"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3,965</w:t>
            </w:r>
          </w:p>
        </w:tc>
        <w:tc>
          <w:tcPr>
            <w:tcW w:w="1380" w:type="dxa"/>
            <w:noWrap/>
            <w:vAlign w:val="center"/>
            <w:hideMark/>
          </w:tcPr>
          <w:p w14:paraId="13B191C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137,856</w:t>
            </w:r>
          </w:p>
        </w:tc>
        <w:tc>
          <w:tcPr>
            <w:tcW w:w="1300" w:type="dxa"/>
            <w:noWrap/>
            <w:vAlign w:val="center"/>
            <w:hideMark/>
          </w:tcPr>
          <w:p w14:paraId="1E31E06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3.4</w:t>
            </w:r>
          </w:p>
        </w:tc>
        <w:tc>
          <w:tcPr>
            <w:tcW w:w="1300" w:type="dxa"/>
            <w:noWrap/>
            <w:vAlign w:val="center"/>
            <w:hideMark/>
          </w:tcPr>
          <w:p w14:paraId="7A7B6F5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6.9</w:t>
            </w:r>
          </w:p>
        </w:tc>
      </w:tr>
      <w:tr w:rsidR="00186188" w:rsidRPr="005C55D8" w14:paraId="5E2F4E11"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1094D29C"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Tyneside</w:t>
            </w:r>
          </w:p>
        </w:tc>
        <w:tc>
          <w:tcPr>
            <w:tcW w:w="1306" w:type="dxa"/>
            <w:noWrap/>
            <w:vAlign w:val="center"/>
            <w:hideMark/>
          </w:tcPr>
          <w:p w14:paraId="3860721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485</w:t>
            </w:r>
          </w:p>
        </w:tc>
        <w:tc>
          <w:tcPr>
            <w:tcW w:w="1460" w:type="dxa"/>
            <w:noWrap/>
            <w:vAlign w:val="center"/>
            <w:hideMark/>
          </w:tcPr>
          <w:p w14:paraId="6705471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1.7</w:t>
            </w:r>
          </w:p>
        </w:tc>
        <w:tc>
          <w:tcPr>
            <w:tcW w:w="1460" w:type="dxa"/>
            <w:noWrap/>
            <w:vAlign w:val="center"/>
            <w:hideMark/>
          </w:tcPr>
          <w:p w14:paraId="50848DA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5.7</w:t>
            </w:r>
          </w:p>
        </w:tc>
        <w:tc>
          <w:tcPr>
            <w:tcW w:w="1383" w:type="dxa"/>
            <w:noWrap/>
            <w:vAlign w:val="center"/>
            <w:hideMark/>
          </w:tcPr>
          <w:p w14:paraId="083A184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14,183</w:t>
            </w:r>
          </w:p>
        </w:tc>
        <w:tc>
          <w:tcPr>
            <w:tcW w:w="1380" w:type="dxa"/>
            <w:noWrap/>
            <w:vAlign w:val="center"/>
            <w:hideMark/>
          </w:tcPr>
          <w:p w14:paraId="37C23DE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122,339</w:t>
            </w:r>
          </w:p>
        </w:tc>
        <w:tc>
          <w:tcPr>
            <w:tcW w:w="1300" w:type="dxa"/>
            <w:noWrap/>
            <w:vAlign w:val="center"/>
            <w:hideMark/>
          </w:tcPr>
          <w:p w14:paraId="31CC8B4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3.3</w:t>
            </w:r>
          </w:p>
        </w:tc>
        <w:tc>
          <w:tcPr>
            <w:tcW w:w="1300" w:type="dxa"/>
            <w:noWrap/>
            <w:vAlign w:val="center"/>
            <w:hideMark/>
          </w:tcPr>
          <w:p w14:paraId="0F08C30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6.8</w:t>
            </w:r>
          </w:p>
        </w:tc>
      </w:tr>
      <w:tr w:rsidR="00186188" w:rsidRPr="005C55D8" w14:paraId="6508578B"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57D2D08B"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Wakefield</w:t>
            </w:r>
          </w:p>
        </w:tc>
        <w:tc>
          <w:tcPr>
            <w:tcW w:w="1306" w:type="dxa"/>
            <w:noWrap/>
            <w:vAlign w:val="center"/>
            <w:hideMark/>
          </w:tcPr>
          <w:p w14:paraId="4D9753B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97</w:t>
            </w:r>
          </w:p>
        </w:tc>
        <w:tc>
          <w:tcPr>
            <w:tcW w:w="1460" w:type="dxa"/>
            <w:noWrap/>
            <w:vAlign w:val="center"/>
            <w:hideMark/>
          </w:tcPr>
          <w:p w14:paraId="4172760E"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0.4</w:t>
            </w:r>
          </w:p>
        </w:tc>
        <w:tc>
          <w:tcPr>
            <w:tcW w:w="1460" w:type="dxa"/>
            <w:noWrap/>
            <w:vAlign w:val="center"/>
            <w:hideMark/>
          </w:tcPr>
          <w:p w14:paraId="5F27DF3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w:t>
            </w:r>
          </w:p>
        </w:tc>
        <w:tc>
          <w:tcPr>
            <w:tcW w:w="1383" w:type="dxa"/>
            <w:noWrap/>
            <w:vAlign w:val="center"/>
            <w:hideMark/>
          </w:tcPr>
          <w:p w14:paraId="17ABED12"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3,468</w:t>
            </w:r>
          </w:p>
        </w:tc>
        <w:tc>
          <w:tcPr>
            <w:tcW w:w="1380" w:type="dxa"/>
            <w:noWrap/>
            <w:vAlign w:val="center"/>
            <w:hideMark/>
          </w:tcPr>
          <w:p w14:paraId="39B2911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102,134</w:t>
            </w:r>
          </w:p>
        </w:tc>
        <w:tc>
          <w:tcPr>
            <w:tcW w:w="1300" w:type="dxa"/>
            <w:noWrap/>
            <w:vAlign w:val="center"/>
            <w:hideMark/>
          </w:tcPr>
          <w:p w14:paraId="12744EF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2.1</w:t>
            </w:r>
          </w:p>
        </w:tc>
        <w:tc>
          <w:tcPr>
            <w:tcW w:w="1300" w:type="dxa"/>
            <w:noWrap/>
            <w:vAlign w:val="center"/>
            <w:hideMark/>
          </w:tcPr>
          <w:p w14:paraId="1305EAA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3.5</w:t>
            </w:r>
          </w:p>
        </w:tc>
      </w:tr>
      <w:tr w:rsidR="00186188" w:rsidRPr="005C55D8" w14:paraId="0BA8BCBF"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0C135CE5"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Warrington</w:t>
            </w:r>
          </w:p>
        </w:tc>
        <w:tc>
          <w:tcPr>
            <w:tcW w:w="1306" w:type="dxa"/>
            <w:noWrap/>
            <w:vAlign w:val="center"/>
            <w:hideMark/>
          </w:tcPr>
          <w:p w14:paraId="5DDF782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301</w:t>
            </w:r>
          </w:p>
        </w:tc>
        <w:tc>
          <w:tcPr>
            <w:tcW w:w="1460" w:type="dxa"/>
            <w:noWrap/>
            <w:vAlign w:val="center"/>
            <w:hideMark/>
          </w:tcPr>
          <w:p w14:paraId="611194D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0.7</w:t>
            </w:r>
          </w:p>
        </w:tc>
        <w:tc>
          <w:tcPr>
            <w:tcW w:w="1460" w:type="dxa"/>
            <w:noWrap/>
            <w:vAlign w:val="center"/>
            <w:hideMark/>
          </w:tcPr>
          <w:p w14:paraId="7A889F33"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7.2</w:t>
            </w:r>
          </w:p>
        </w:tc>
        <w:tc>
          <w:tcPr>
            <w:tcW w:w="1383" w:type="dxa"/>
            <w:noWrap/>
            <w:vAlign w:val="center"/>
            <w:hideMark/>
          </w:tcPr>
          <w:p w14:paraId="66505B3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10,650</w:t>
            </w:r>
          </w:p>
        </w:tc>
        <w:tc>
          <w:tcPr>
            <w:tcW w:w="1380" w:type="dxa"/>
            <w:noWrap/>
            <w:vAlign w:val="center"/>
            <w:hideMark/>
          </w:tcPr>
          <w:p w14:paraId="33C8383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62,248</w:t>
            </w:r>
          </w:p>
        </w:tc>
        <w:tc>
          <w:tcPr>
            <w:tcW w:w="1300" w:type="dxa"/>
            <w:noWrap/>
            <w:vAlign w:val="center"/>
            <w:hideMark/>
          </w:tcPr>
          <w:p w14:paraId="2320F9F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6.9</w:t>
            </w:r>
          </w:p>
        </w:tc>
        <w:tc>
          <w:tcPr>
            <w:tcW w:w="1300" w:type="dxa"/>
            <w:noWrap/>
            <w:vAlign w:val="center"/>
            <w:hideMark/>
          </w:tcPr>
          <w:p w14:paraId="4322086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6.3</w:t>
            </w:r>
          </w:p>
        </w:tc>
      </w:tr>
      <w:tr w:rsidR="00186188" w:rsidRPr="005C55D8" w14:paraId="4981DAD7"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635DABC0"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Westmorland and Furness</w:t>
            </w:r>
          </w:p>
        </w:tc>
        <w:tc>
          <w:tcPr>
            <w:tcW w:w="1306" w:type="dxa"/>
            <w:noWrap/>
            <w:vAlign w:val="center"/>
            <w:hideMark/>
          </w:tcPr>
          <w:p w14:paraId="1B92BFB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197</w:t>
            </w:r>
          </w:p>
        </w:tc>
        <w:tc>
          <w:tcPr>
            <w:tcW w:w="1460" w:type="dxa"/>
            <w:noWrap/>
            <w:vAlign w:val="center"/>
            <w:hideMark/>
          </w:tcPr>
          <w:p w14:paraId="67D1969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0.1</w:t>
            </w:r>
          </w:p>
        </w:tc>
        <w:tc>
          <w:tcPr>
            <w:tcW w:w="1460" w:type="dxa"/>
            <w:noWrap/>
            <w:vAlign w:val="center"/>
            <w:hideMark/>
          </w:tcPr>
          <w:p w14:paraId="6E8AE0CA"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0.4</w:t>
            </w:r>
          </w:p>
        </w:tc>
        <w:tc>
          <w:tcPr>
            <w:tcW w:w="1383" w:type="dxa"/>
            <w:noWrap/>
            <w:vAlign w:val="center"/>
            <w:hideMark/>
          </w:tcPr>
          <w:p w14:paraId="60DE9F9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1,081</w:t>
            </w:r>
          </w:p>
        </w:tc>
        <w:tc>
          <w:tcPr>
            <w:tcW w:w="1380" w:type="dxa"/>
            <w:noWrap/>
            <w:vAlign w:val="center"/>
            <w:hideMark/>
          </w:tcPr>
          <w:p w14:paraId="579D479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99,281</w:t>
            </w:r>
          </w:p>
        </w:tc>
        <w:tc>
          <w:tcPr>
            <w:tcW w:w="1300" w:type="dxa"/>
            <w:noWrap/>
            <w:vAlign w:val="center"/>
            <w:hideMark/>
          </w:tcPr>
          <w:p w14:paraId="47D0164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1.0</w:t>
            </w:r>
          </w:p>
        </w:tc>
        <w:tc>
          <w:tcPr>
            <w:tcW w:w="1300" w:type="dxa"/>
            <w:noWrap/>
            <w:vAlign w:val="center"/>
            <w:hideMark/>
          </w:tcPr>
          <w:p w14:paraId="14F3013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w:t>
            </w:r>
          </w:p>
        </w:tc>
      </w:tr>
      <w:tr w:rsidR="00186188" w:rsidRPr="005C55D8" w14:paraId="134DAA40"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15B557BA"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Wirral</w:t>
            </w:r>
          </w:p>
        </w:tc>
        <w:tc>
          <w:tcPr>
            <w:tcW w:w="1306" w:type="dxa"/>
            <w:noWrap/>
            <w:vAlign w:val="center"/>
            <w:hideMark/>
          </w:tcPr>
          <w:p w14:paraId="68F34A71"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98</w:t>
            </w:r>
          </w:p>
        </w:tc>
        <w:tc>
          <w:tcPr>
            <w:tcW w:w="1460" w:type="dxa"/>
            <w:noWrap/>
            <w:vAlign w:val="center"/>
            <w:hideMark/>
          </w:tcPr>
          <w:p w14:paraId="587BC30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0.1</w:t>
            </w:r>
          </w:p>
        </w:tc>
        <w:tc>
          <w:tcPr>
            <w:tcW w:w="1460" w:type="dxa"/>
            <w:noWrap/>
            <w:vAlign w:val="center"/>
            <w:hideMark/>
          </w:tcPr>
          <w:p w14:paraId="1EF554D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0.3</w:t>
            </w:r>
          </w:p>
        </w:tc>
        <w:tc>
          <w:tcPr>
            <w:tcW w:w="1383" w:type="dxa"/>
            <w:noWrap/>
            <w:vAlign w:val="center"/>
            <w:hideMark/>
          </w:tcPr>
          <w:p w14:paraId="44C53EAF"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1,326</w:t>
            </w:r>
          </w:p>
        </w:tc>
        <w:tc>
          <w:tcPr>
            <w:tcW w:w="1380" w:type="dxa"/>
            <w:noWrap/>
            <w:vAlign w:val="center"/>
            <w:hideMark/>
          </w:tcPr>
          <w:p w14:paraId="5E02935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83,117</w:t>
            </w:r>
          </w:p>
        </w:tc>
        <w:tc>
          <w:tcPr>
            <w:tcW w:w="1300" w:type="dxa"/>
            <w:noWrap/>
            <w:vAlign w:val="center"/>
            <w:hideMark/>
          </w:tcPr>
          <w:p w14:paraId="23DB73A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w:t>
            </w:r>
          </w:p>
        </w:tc>
        <w:tc>
          <w:tcPr>
            <w:tcW w:w="1300" w:type="dxa"/>
            <w:noWrap/>
            <w:vAlign w:val="center"/>
            <w:hideMark/>
          </w:tcPr>
          <w:p w14:paraId="34F0C1F5"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1.7</w:t>
            </w:r>
          </w:p>
        </w:tc>
      </w:tr>
      <w:tr w:rsidR="00186188" w:rsidRPr="005C55D8" w14:paraId="73562052"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25890F5A"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York</w:t>
            </w:r>
          </w:p>
        </w:tc>
        <w:tc>
          <w:tcPr>
            <w:tcW w:w="1306" w:type="dxa"/>
            <w:noWrap/>
            <w:vAlign w:val="center"/>
            <w:hideMark/>
          </w:tcPr>
          <w:p w14:paraId="161EA8B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134</w:t>
            </w:r>
          </w:p>
        </w:tc>
        <w:tc>
          <w:tcPr>
            <w:tcW w:w="1460" w:type="dxa"/>
            <w:noWrap/>
            <w:vAlign w:val="center"/>
            <w:hideMark/>
          </w:tcPr>
          <w:p w14:paraId="313B571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0.1</w:t>
            </w:r>
          </w:p>
        </w:tc>
        <w:tc>
          <w:tcPr>
            <w:tcW w:w="1460" w:type="dxa"/>
            <w:noWrap/>
            <w:vAlign w:val="center"/>
            <w:hideMark/>
          </w:tcPr>
          <w:p w14:paraId="4C88C25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0.7</w:t>
            </w:r>
          </w:p>
        </w:tc>
        <w:tc>
          <w:tcPr>
            <w:tcW w:w="1383" w:type="dxa"/>
            <w:noWrap/>
            <w:vAlign w:val="center"/>
            <w:hideMark/>
          </w:tcPr>
          <w:p w14:paraId="3593FA7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1,901</w:t>
            </w:r>
          </w:p>
        </w:tc>
        <w:tc>
          <w:tcPr>
            <w:tcW w:w="1380" w:type="dxa"/>
            <w:noWrap/>
            <w:vAlign w:val="center"/>
            <w:hideMark/>
          </w:tcPr>
          <w:p w14:paraId="08FC7AEE"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72,442</w:t>
            </w:r>
          </w:p>
        </w:tc>
        <w:tc>
          <w:tcPr>
            <w:tcW w:w="1300" w:type="dxa"/>
            <w:noWrap/>
            <w:vAlign w:val="center"/>
            <w:hideMark/>
          </w:tcPr>
          <w:p w14:paraId="5904ABD0"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1.6</w:t>
            </w:r>
          </w:p>
        </w:tc>
        <w:tc>
          <w:tcPr>
            <w:tcW w:w="1300" w:type="dxa"/>
            <w:noWrap/>
            <w:vAlign w:val="center"/>
            <w:hideMark/>
          </w:tcPr>
          <w:p w14:paraId="234042F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1.6</w:t>
            </w:r>
          </w:p>
        </w:tc>
      </w:tr>
      <w:tr w:rsidR="00186188" w:rsidRPr="005C55D8" w14:paraId="378D8596"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4A22F023" w14:textId="77777777" w:rsidR="00186188" w:rsidRPr="005C55D8" w:rsidRDefault="00186188" w:rsidP="00A37264">
            <w:pPr>
              <w:jc w:val="right"/>
              <w:rPr>
                <w:rFonts w:ascii="Aptos Narrow" w:eastAsia="Times New Roman" w:hAnsi="Aptos Narrow" w:cs="Times New Roman"/>
                <w:color w:val="000000"/>
                <w:kern w:val="0"/>
                <w:lang w:eastAsia="en-GB"/>
                <w14:ligatures w14:val="none"/>
              </w:rPr>
            </w:pPr>
          </w:p>
        </w:tc>
        <w:tc>
          <w:tcPr>
            <w:tcW w:w="1306" w:type="dxa"/>
            <w:noWrap/>
            <w:vAlign w:val="center"/>
            <w:hideMark/>
          </w:tcPr>
          <w:p w14:paraId="39633C6B"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460" w:type="dxa"/>
            <w:noWrap/>
            <w:vAlign w:val="center"/>
            <w:hideMark/>
          </w:tcPr>
          <w:p w14:paraId="2F11963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460" w:type="dxa"/>
            <w:noWrap/>
            <w:vAlign w:val="center"/>
            <w:hideMark/>
          </w:tcPr>
          <w:p w14:paraId="50BC581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383" w:type="dxa"/>
            <w:noWrap/>
            <w:vAlign w:val="center"/>
            <w:hideMark/>
          </w:tcPr>
          <w:p w14:paraId="648BD586"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380" w:type="dxa"/>
            <w:noWrap/>
            <w:vAlign w:val="center"/>
            <w:hideMark/>
          </w:tcPr>
          <w:p w14:paraId="638B62D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300" w:type="dxa"/>
            <w:noWrap/>
            <w:vAlign w:val="center"/>
            <w:hideMark/>
          </w:tcPr>
          <w:p w14:paraId="755C119F"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300" w:type="dxa"/>
            <w:noWrap/>
            <w:vAlign w:val="center"/>
            <w:hideMark/>
          </w:tcPr>
          <w:p w14:paraId="681CE517"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r>
      <w:tr w:rsidR="00186188" w:rsidRPr="005C55D8" w14:paraId="6FFA72B4" w14:textId="77777777" w:rsidTr="00A37264">
        <w:trPr>
          <w:trHeight w:val="32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4B4AAA5A" w14:textId="77777777" w:rsidR="00186188" w:rsidRPr="005C55D8" w:rsidRDefault="00186188" w:rsidP="00A37264">
            <w:pPr>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North</w:t>
            </w:r>
          </w:p>
        </w:tc>
        <w:tc>
          <w:tcPr>
            <w:tcW w:w="1306" w:type="dxa"/>
            <w:noWrap/>
            <w:vAlign w:val="center"/>
            <w:hideMark/>
          </w:tcPr>
          <w:p w14:paraId="0A7616E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8,729</w:t>
            </w:r>
          </w:p>
        </w:tc>
        <w:tc>
          <w:tcPr>
            <w:tcW w:w="1460" w:type="dxa"/>
            <w:noWrap/>
            <w:vAlign w:val="center"/>
            <w:hideMark/>
          </w:tcPr>
          <w:p w14:paraId="6F58D44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13.3</w:t>
            </w:r>
          </w:p>
        </w:tc>
        <w:tc>
          <w:tcPr>
            <w:tcW w:w="1460" w:type="dxa"/>
            <w:noWrap/>
            <w:vAlign w:val="center"/>
            <w:hideMark/>
          </w:tcPr>
          <w:p w14:paraId="3DD4DBD9"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74.8</w:t>
            </w:r>
          </w:p>
        </w:tc>
        <w:tc>
          <w:tcPr>
            <w:tcW w:w="1383" w:type="dxa"/>
            <w:noWrap/>
            <w:vAlign w:val="center"/>
            <w:hideMark/>
          </w:tcPr>
          <w:p w14:paraId="2A02D9E4"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141,734</w:t>
            </w:r>
          </w:p>
        </w:tc>
        <w:tc>
          <w:tcPr>
            <w:tcW w:w="1380" w:type="dxa"/>
            <w:noWrap/>
            <w:vAlign w:val="center"/>
            <w:hideMark/>
          </w:tcPr>
          <w:p w14:paraId="4A6DD34C"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93,614</w:t>
            </w:r>
          </w:p>
        </w:tc>
        <w:tc>
          <w:tcPr>
            <w:tcW w:w="1300" w:type="dxa"/>
            <w:noWrap/>
            <w:vAlign w:val="center"/>
            <w:hideMark/>
          </w:tcPr>
          <w:p w14:paraId="724FF1C8"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2.0</w:t>
            </w:r>
          </w:p>
        </w:tc>
        <w:tc>
          <w:tcPr>
            <w:tcW w:w="1300" w:type="dxa"/>
            <w:noWrap/>
            <w:vAlign w:val="center"/>
            <w:hideMark/>
          </w:tcPr>
          <w:p w14:paraId="7FFB8A6D" w14:textId="77777777" w:rsidR="00186188" w:rsidRPr="005C55D8" w:rsidRDefault="00186188" w:rsidP="00A37264">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n-GB"/>
                <w14:ligatures w14:val="none"/>
              </w:rPr>
            </w:pPr>
            <w:r w:rsidRPr="005C55D8">
              <w:rPr>
                <w:rFonts w:ascii="Aptos Narrow" w:eastAsia="Times New Roman" w:hAnsi="Aptos Narrow" w:cs="Times New Roman"/>
                <w:color w:val="000000"/>
                <w:kern w:val="0"/>
                <w:lang w:eastAsia="en-GB"/>
                <w14:ligatures w14:val="none"/>
              </w:rPr>
              <w:t>2.8</w:t>
            </w:r>
          </w:p>
        </w:tc>
      </w:tr>
    </w:tbl>
    <w:p w14:paraId="36F7862F" w14:textId="77777777" w:rsidR="00186188" w:rsidRPr="00186188" w:rsidRDefault="00186188" w:rsidP="00186188"/>
    <w:sectPr w:rsidR="00186188" w:rsidRPr="00186188" w:rsidSect="00186188">
      <w:headerReference w:type="default" r:id="rId17"/>
      <w:footerReference w:type="even" r:id="rId18"/>
      <w:footerReference w:type="default" r:id="rId19"/>
      <w:pgSz w:w="1682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A9097" w14:textId="77777777" w:rsidR="00173AEF" w:rsidRDefault="00173AEF" w:rsidP="001B3999">
      <w:pPr>
        <w:spacing w:after="0" w:line="240" w:lineRule="auto"/>
      </w:pPr>
      <w:r>
        <w:separator/>
      </w:r>
    </w:p>
  </w:endnote>
  <w:endnote w:type="continuationSeparator" w:id="0">
    <w:p w14:paraId="12B5BF1E" w14:textId="77777777" w:rsidR="00173AEF" w:rsidRDefault="00173AEF" w:rsidP="001B3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Arial,MS Mincho">
    <w:altName w:val="Calibri"/>
    <w:panose1 w:val="020B0604020202020204"/>
    <w:charset w:val="00"/>
    <w:family w:val="roman"/>
    <w:notTrueType/>
    <w:pitch w:val="default"/>
  </w:font>
  <w:font w:name="Kaleko 105 Round">
    <w:altName w:val="Calibri"/>
    <w:panose1 w:val="020B0604020202020204"/>
    <w:charset w:val="00"/>
    <w:family w:val="swiss"/>
    <w:notTrueType/>
    <w:pitch w:val="variable"/>
    <w:sig w:usb0="800000AF" w:usb1="5000204A" w:usb2="00000000" w:usb3="00000000" w:csb0="00000083" w:csb1="00000000"/>
  </w:font>
  <w:font w:name="Kaleko105Round-Book">
    <w:altName w:val="Cambria"/>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4167001"/>
      <w:docPartObj>
        <w:docPartGallery w:val="Page Numbers (Bottom of Page)"/>
        <w:docPartUnique/>
      </w:docPartObj>
    </w:sdtPr>
    <w:sdtContent>
      <w:p w14:paraId="4128F860" w14:textId="70D88F66" w:rsidR="00463A94" w:rsidRDefault="00463A94" w:rsidP="006F50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4B8B39" w14:textId="77777777" w:rsidR="00463A94" w:rsidRDefault="00463A94" w:rsidP="00463A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0524309"/>
      <w:docPartObj>
        <w:docPartGallery w:val="Page Numbers (Bottom of Page)"/>
        <w:docPartUnique/>
      </w:docPartObj>
    </w:sdtPr>
    <w:sdtContent>
      <w:p w14:paraId="3D0228C9" w14:textId="3C811081" w:rsidR="00463A94" w:rsidRDefault="00463A94" w:rsidP="006F50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492AF8" w14:textId="77777777" w:rsidR="00463A94" w:rsidRDefault="00463A94" w:rsidP="00463A9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2942089"/>
      <w:docPartObj>
        <w:docPartGallery w:val="Page Numbers (Bottom of Page)"/>
        <w:docPartUnique/>
      </w:docPartObj>
    </w:sdtPr>
    <w:sdtContent>
      <w:p w14:paraId="58CBE955" w14:textId="77777777" w:rsidR="001B3999" w:rsidRDefault="001B3999" w:rsidP="000F41F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C3380C" w14:textId="77777777" w:rsidR="001B3999" w:rsidRDefault="001B3999" w:rsidP="001B399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6970D" w14:textId="77777777" w:rsidR="001B3999" w:rsidRDefault="001B3999" w:rsidP="001B399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CE8BD" w14:textId="77777777" w:rsidR="00173AEF" w:rsidRDefault="00173AEF" w:rsidP="001B3999">
      <w:pPr>
        <w:spacing w:after="0" w:line="240" w:lineRule="auto"/>
      </w:pPr>
      <w:r>
        <w:separator/>
      </w:r>
    </w:p>
  </w:footnote>
  <w:footnote w:type="continuationSeparator" w:id="0">
    <w:p w14:paraId="3BE39829" w14:textId="77777777" w:rsidR="00173AEF" w:rsidRDefault="00173AEF" w:rsidP="001B3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shd w:val="clear" w:color="auto" w:fill="1B708C" w:themeFill="accent2"/>
      <w:tblCellMar>
        <w:top w:w="115" w:type="dxa"/>
        <w:left w:w="115" w:type="dxa"/>
        <w:bottom w:w="115" w:type="dxa"/>
        <w:right w:w="115" w:type="dxa"/>
      </w:tblCellMar>
      <w:tblLook w:val="04A0" w:firstRow="1" w:lastRow="0" w:firstColumn="1" w:lastColumn="0" w:noHBand="0" w:noVBand="1"/>
    </w:tblPr>
    <w:tblGrid>
      <w:gridCol w:w="337"/>
      <w:gridCol w:w="8689"/>
    </w:tblGrid>
    <w:tr w:rsidR="00186188" w14:paraId="46DB25AC" w14:textId="77777777" w:rsidTr="0026528A">
      <w:trPr>
        <w:jc w:val="right"/>
      </w:trPr>
      <w:tc>
        <w:tcPr>
          <w:tcW w:w="0" w:type="auto"/>
          <w:shd w:val="clear" w:color="auto" w:fill="703A77" w:themeFill="text2"/>
          <w:vAlign w:val="center"/>
        </w:tcPr>
        <w:p w14:paraId="65DBD163" w14:textId="77777777" w:rsidR="005E4A81" w:rsidRDefault="005E4A81">
          <w:pPr>
            <w:pStyle w:val="Header"/>
            <w:rPr>
              <w:caps/>
              <w:color w:val="FFFFFF" w:themeColor="background1"/>
            </w:rPr>
          </w:pPr>
        </w:p>
      </w:tc>
      <w:tc>
        <w:tcPr>
          <w:tcW w:w="0" w:type="auto"/>
          <w:shd w:val="clear" w:color="auto" w:fill="1B708C" w:themeFill="accent2"/>
          <w:vAlign w:val="center"/>
        </w:tcPr>
        <w:p w14:paraId="3CFCBC93" w14:textId="1A62062A" w:rsidR="005E4A81" w:rsidRDefault="00000000">
          <w:pPr>
            <w:pStyle w:val="Header"/>
            <w:jc w:val="right"/>
            <w:rPr>
              <w:caps/>
              <w:color w:val="FFFFFF" w:themeColor="background1"/>
            </w:rPr>
          </w:pPr>
          <w:sdt>
            <w:sdtPr>
              <w:rPr>
                <w:caps/>
                <w:color w:val="FFFFFF" w:themeColor="background1"/>
              </w:rPr>
              <w:alias w:val="Title"/>
              <w:tag w:val=""/>
              <w:id w:val="-773790484"/>
              <w:placeholder>
                <w:docPart w:val="45F65D7BB35FFB4F9ECA4A44C0A307E9"/>
              </w:placeholder>
              <w:dataBinding w:prefixMappings="xmlns:ns0='http://purl.org/dc/elements/1.1/' xmlns:ns1='http://schemas.openxmlformats.org/package/2006/metadata/core-properties' " w:xpath="/ns1:coreProperties[1]/ns0:title[1]" w:storeItemID="{6C3C8BC8-F283-45AE-878A-BAB7291924A1}"/>
              <w:text/>
            </w:sdtPr>
            <w:sdtContent>
              <w:r w:rsidR="00186188">
                <w:rPr>
                  <w:caps/>
                  <w:color w:val="FFFFFF" w:themeColor="background1"/>
                </w:rPr>
                <w:t>DECARBONISATION IN THE NORTHERN GROWTH CORRIDOR</w:t>
              </w:r>
            </w:sdtContent>
          </w:sdt>
          <w:r w:rsidR="005E4A81">
            <w:rPr>
              <w:caps/>
              <w:color w:val="FFFFFF" w:themeColor="background1"/>
            </w:rPr>
            <w:t xml:space="preserve"> </w:t>
          </w:r>
        </w:p>
      </w:tc>
    </w:tr>
  </w:tbl>
  <w:p w14:paraId="60412241" w14:textId="77777777" w:rsidR="005E4A81" w:rsidRDefault="005E4A81">
    <w:pPr>
      <w:pStyle w:val="Header"/>
    </w:pPr>
  </w:p>
</w:hdr>
</file>

<file path=word/intelligence2.xml><?xml version="1.0" encoding="utf-8"?>
<int2:intelligence xmlns:int2="http://schemas.microsoft.com/office/intelligence/2020/intelligence" xmlns:oel="http://schemas.microsoft.com/office/2019/extlst">
  <int2:observations>
    <int2:textHash int2:hashCode="D+KvhgyWnmIlaL" int2:id="waxbcJYG">
      <int2:state int2:value="Rejected" int2:type="LegacyProofing"/>
    </int2:textHash>
    <int2:textHash int2:hashCode="vpYd8mp3uQvamd" int2:id="CYf8EZGg">
      <int2:state int2:value="Rejected" int2:type="LegacyProofing"/>
    </int2:textHash>
    <int2:textHash int2:hashCode="63GBiKFgRq9g47" int2:id="v8xoXDmU">
      <int2:state int2:value="Rejected" int2:type="LegacyProofing"/>
    </int2:textHash>
    <int2:textHash int2:hashCode="DSC9NMm9pCkwER" int2:id="HrPb0jLQ">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6838D"/>
    <w:multiLevelType w:val="hybridMultilevel"/>
    <w:tmpl w:val="28743D04"/>
    <w:lvl w:ilvl="0" w:tplc="4E543CE6">
      <w:start w:val="1"/>
      <w:numFmt w:val="lowerLetter"/>
      <w:lvlText w:val="%1)"/>
      <w:lvlJc w:val="left"/>
      <w:pPr>
        <w:ind w:left="720" w:hanging="360"/>
      </w:pPr>
    </w:lvl>
    <w:lvl w:ilvl="1" w:tplc="9BB85906">
      <w:start w:val="1"/>
      <w:numFmt w:val="lowerLetter"/>
      <w:lvlText w:val="%2."/>
      <w:lvlJc w:val="left"/>
      <w:pPr>
        <w:ind w:left="1440" w:hanging="360"/>
      </w:pPr>
    </w:lvl>
    <w:lvl w:ilvl="2" w:tplc="A5C61762">
      <w:start w:val="1"/>
      <w:numFmt w:val="lowerRoman"/>
      <w:lvlText w:val="%3."/>
      <w:lvlJc w:val="right"/>
      <w:pPr>
        <w:ind w:left="2160" w:hanging="180"/>
      </w:pPr>
    </w:lvl>
    <w:lvl w:ilvl="3" w:tplc="794AAA12">
      <w:start w:val="1"/>
      <w:numFmt w:val="decimal"/>
      <w:lvlText w:val="%4."/>
      <w:lvlJc w:val="left"/>
      <w:pPr>
        <w:ind w:left="2880" w:hanging="360"/>
      </w:pPr>
    </w:lvl>
    <w:lvl w:ilvl="4" w:tplc="0B7AA3B0">
      <w:start w:val="1"/>
      <w:numFmt w:val="lowerLetter"/>
      <w:lvlText w:val="%5."/>
      <w:lvlJc w:val="left"/>
      <w:pPr>
        <w:ind w:left="3600" w:hanging="360"/>
      </w:pPr>
    </w:lvl>
    <w:lvl w:ilvl="5" w:tplc="266A2DBE">
      <w:start w:val="1"/>
      <w:numFmt w:val="lowerRoman"/>
      <w:lvlText w:val="%6."/>
      <w:lvlJc w:val="right"/>
      <w:pPr>
        <w:ind w:left="4320" w:hanging="180"/>
      </w:pPr>
    </w:lvl>
    <w:lvl w:ilvl="6" w:tplc="2E9444DC">
      <w:start w:val="1"/>
      <w:numFmt w:val="decimal"/>
      <w:lvlText w:val="%7."/>
      <w:lvlJc w:val="left"/>
      <w:pPr>
        <w:ind w:left="5040" w:hanging="360"/>
      </w:pPr>
    </w:lvl>
    <w:lvl w:ilvl="7" w:tplc="28BC19F4">
      <w:start w:val="1"/>
      <w:numFmt w:val="lowerLetter"/>
      <w:lvlText w:val="%8."/>
      <w:lvlJc w:val="left"/>
      <w:pPr>
        <w:ind w:left="5760" w:hanging="360"/>
      </w:pPr>
    </w:lvl>
    <w:lvl w:ilvl="8" w:tplc="236E8530">
      <w:start w:val="1"/>
      <w:numFmt w:val="lowerRoman"/>
      <w:lvlText w:val="%9."/>
      <w:lvlJc w:val="right"/>
      <w:pPr>
        <w:ind w:left="6480" w:hanging="180"/>
      </w:pPr>
    </w:lvl>
  </w:abstractNum>
  <w:abstractNum w:abstractNumId="1" w15:restartNumberingAfterBreak="0">
    <w:nsid w:val="04032E70"/>
    <w:multiLevelType w:val="hybridMultilevel"/>
    <w:tmpl w:val="FFFFFFFF"/>
    <w:lvl w:ilvl="0" w:tplc="A9022C88">
      <w:start w:val="1"/>
      <w:numFmt w:val="bullet"/>
      <w:lvlText w:val="-"/>
      <w:lvlJc w:val="left"/>
      <w:pPr>
        <w:ind w:left="720" w:hanging="360"/>
      </w:pPr>
      <w:rPr>
        <w:rFonts w:ascii="Calibri" w:hAnsi="Calibri" w:hint="default"/>
      </w:rPr>
    </w:lvl>
    <w:lvl w:ilvl="1" w:tplc="AB72A79E">
      <w:start w:val="1"/>
      <w:numFmt w:val="bullet"/>
      <w:lvlText w:val="o"/>
      <w:lvlJc w:val="left"/>
      <w:pPr>
        <w:ind w:left="1440" w:hanging="360"/>
      </w:pPr>
      <w:rPr>
        <w:rFonts w:ascii="Courier New" w:hAnsi="Courier New" w:hint="default"/>
      </w:rPr>
    </w:lvl>
    <w:lvl w:ilvl="2" w:tplc="DE2CF570">
      <w:start w:val="1"/>
      <w:numFmt w:val="bullet"/>
      <w:lvlText w:val=""/>
      <w:lvlJc w:val="left"/>
      <w:pPr>
        <w:ind w:left="2160" w:hanging="360"/>
      </w:pPr>
      <w:rPr>
        <w:rFonts w:ascii="Wingdings" w:hAnsi="Wingdings" w:hint="default"/>
      </w:rPr>
    </w:lvl>
    <w:lvl w:ilvl="3" w:tplc="4CB6748C">
      <w:start w:val="1"/>
      <w:numFmt w:val="bullet"/>
      <w:lvlText w:val=""/>
      <w:lvlJc w:val="left"/>
      <w:pPr>
        <w:ind w:left="2880" w:hanging="360"/>
      </w:pPr>
      <w:rPr>
        <w:rFonts w:ascii="Symbol" w:hAnsi="Symbol" w:hint="default"/>
      </w:rPr>
    </w:lvl>
    <w:lvl w:ilvl="4" w:tplc="98F21382">
      <w:start w:val="1"/>
      <w:numFmt w:val="bullet"/>
      <w:lvlText w:val="o"/>
      <w:lvlJc w:val="left"/>
      <w:pPr>
        <w:ind w:left="3600" w:hanging="360"/>
      </w:pPr>
      <w:rPr>
        <w:rFonts w:ascii="Courier New" w:hAnsi="Courier New" w:hint="default"/>
      </w:rPr>
    </w:lvl>
    <w:lvl w:ilvl="5" w:tplc="B994DF62">
      <w:start w:val="1"/>
      <w:numFmt w:val="bullet"/>
      <w:lvlText w:val=""/>
      <w:lvlJc w:val="left"/>
      <w:pPr>
        <w:ind w:left="4320" w:hanging="360"/>
      </w:pPr>
      <w:rPr>
        <w:rFonts w:ascii="Wingdings" w:hAnsi="Wingdings" w:hint="default"/>
      </w:rPr>
    </w:lvl>
    <w:lvl w:ilvl="6" w:tplc="60CCD482">
      <w:start w:val="1"/>
      <w:numFmt w:val="bullet"/>
      <w:lvlText w:val=""/>
      <w:lvlJc w:val="left"/>
      <w:pPr>
        <w:ind w:left="5040" w:hanging="360"/>
      </w:pPr>
      <w:rPr>
        <w:rFonts w:ascii="Symbol" w:hAnsi="Symbol" w:hint="default"/>
      </w:rPr>
    </w:lvl>
    <w:lvl w:ilvl="7" w:tplc="3AF435D4">
      <w:start w:val="1"/>
      <w:numFmt w:val="bullet"/>
      <w:lvlText w:val="o"/>
      <w:lvlJc w:val="left"/>
      <w:pPr>
        <w:ind w:left="5760" w:hanging="360"/>
      </w:pPr>
      <w:rPr>
        <w:rFonts w:ascii="Courier New" w:hAnsi="Courier New" w:hint="default"/>
      </w:rPr>
    </w:lvl>
    <w:lvl w:ilvl="8" w:tplc="7358710E">
      <w:start w:val="1"/>
      <w:numFmt w:val="bullet"/>
      <w:lvlText w:val=""/>
      <w:lvlJc w:val="left"/>
      <w:pPr>
        <w:ind w:left="6480" w:hanging="360"/>
      </w:pPr>
      <w:rPr>
        <w:rFonts w:ascii="Wingdings" w:hAnsi="Wingdings" w:hint="default"/>
      </w:rPr>
    </w:lvl>
  </w:abstractNum>
  <w:abstractNum w:abstractNumId="2" w15:restartNumberingAfterBreak="0">
    <w:nsid w:val="040FC39D"/>
    <w:multiLevelType w:val="hybridMultilevel"/>
    <w:tmpl w:val="3B34C216"/>
    <w:lvl w:ilvl="0" w:tplc="40D0CC7A">
      <w:start w:val="1"/>
      <w:numFmt w:val="lowerLetter"/>
      <w:lvlText w:val="%1)"/>
      <w:lvlJc w:val="left"/>
      <w:pPr>
        <w:ind w:left="720" w:hanging="360"/>
      </w:pPr>
    </w:lvl>
    <w:lvl w:ilvl="1" w:tplc="1A881EBA">
      <w:start w:val="1"/>
      <w:numFmt w:val="lowerLetter"/>
      <w:lvlText w:val="%2."/>
      <w:lvlJc w:val="left"/>
      <w:pPr>
        <w:ind w:left="1440" w:hanging="360"/>
      </w:pPr>
    </w:lvl>
    <w:lvl w:ilvl="2" w:tplc="3FE4928E">
      <w:start w:val="1"/>
      <w:numFmt w:val="lowerRoman"/>
      <w:lvlText w:val="%3."/>
      <w:lvlJc w:val="right"/>
      <w:pPr>
        <w:ind w:left="2160" w:hanging="180"/>
      </w:pPr>
    </w:lvl>
    <w:lvl w:ilvl="3" w:tplc="C734AD32">
      <w:start w:val="1"/>
      <w:numFmt w:val="decimal"/>
      <w:lvlText w:val="%4."/>
      <w:lvlJc w:val="left"/>
      <w:pPr>
        <w:ind w:left="2880" w:hanging="360"/>
      </w:pPr>
    </w:lvl>
    <w:lvl w:ilvl="4" w:tplc="EA08B34A">
      <w:start w:val="1"/>
      <w:numFmt w:val="lowerLetter"/>
      <w:lvlText w:val="%5."/>
      <w:lvlJc w:val="left"/>
      <w:pPr>
        <w:ind w:left="3600" w:hanging="360"/>
      </w:pPr>
    </w:lvl>
    <w:lvl w:ilvl="5" w:tplc="BEE03132">
      <w:start w:val="1"/>
      <w:numFmt w:val="lowerRoman"/>
      <w:lvlText w:val="%6."/>
      <w:lvlJc w:val="right"/>
      <w:pPr>
        <w:ind w:left="4320" w:hanging="180"/>
      </w:pPr>
    </w:lvl>
    <w:lvl w:ilvl="6" w:tplc="BEC4D4D8">
      <w:start w:val="1"/>
      <w:numFmt w:val="decimal"/>
      <w:lvlText w:val="%7."/>
      <w:lvlJc w:val="left"/>
      <w:pPr>
        <w:ind w:left="5040" w:hanging="360"/>
      </w:pPr>
    </w:lvl>
    <w:lvl w:ilvl="7" w:tplc="0E320E42">
      <w:start w:val="1"/>
      <w:numFmt w:val="lowerLetter"/>
      <w:lvlText w:val="%8."/>
      <w:lvlJc w:val="left"/>
      <w:pPr>
        <w:ind w:left="5760" w:hanging="360"/>
      </w:pPr>
    </w:lvl>
    <w:lvl w:ilvl="8" w:tplc="5644F4B2">
      <w:start w:val="1"/>
      <w:numFmt w:val="lowerRoman"/>
      <w:lvlText w:val="%9."/>
      <w:lvlJc w:val="right"/>
      <w:pPr>
        <w:ind w:left="6480" w:hanging="180"/>
      </w:pPr>
    </w:lvl>
  </w:abstractNum>
  <w:abstractNum w:abstractNumId="3" w15:restartNumberingAfterBreak="0">
    <w:nsid w:val="04155585"/>
    <w:multiLevelType w:val="hybridMultilevel"/>
    <w:tmpl w:val="C1C08FA2"/>
    <w:lvl w:ilvl="0" w:tplc="E2FEAC7C">
      <w:start w:val="1"/>
      <w:numFmt w:val="lowerLetter"/>
      <w:lvlText w:val="%1)"/>
      <w:lvlJc w:val="left"/>
      <w:pPr>
        <w:ind w:left="720" w:hanging="360"/>
      </w:pPr>
    </w:lvl>
    <w:lvl w:ilvl="1" w:tplc="A6A0F694">
      <w:start w:val="1"/>
      <w:numFmt w:val="lowerLetter"/>
      <w:lvlText w:val="%2."/>
      <w:lvlJc w:val="left"/>
      <w:pPr>
        <w:ind w:left="1440" w:hanging="360"/>
      </w:pPr>
    </w:lvl>
    <w:lvl w:ilvl="2" w:tplc="49662912">
      <w:start w:val="1"/>
      <w:numFmt w:val="lowerRoman"/>
      <w:lvlText w:val="%3."/>
      <w:lvlJc w:val="right"/>
      <w:pPr>
        <w:ind w:left="2160" w:hanging="180"/>
      </w:pPr>
    </w:lvl>
    <w:lvl w:ilvl="3" w:tplc="DE341358">
      <w:start w:val="1"/>
      <w:numFmt w:val="decimal"/>
      <w:lvlText w:val="%4."/>
      <w:lvlJc w:val="left"/>
      <w:pPr>
        <w:ind w:left="2880" w:hanging="360"/>
      </w:pPr>
    </w:lvl>
    <w:lvl w:ilvl="4" w:tplc="5BAC41B8">
      <w:start w:val="1"/>
      <w:numFmt w:val="lowerLetter"/>
      <w:lvlText w:val="%5."/>
      <w:lvlJc w:val="left"/>
      <w:pPr>
        <w:ind w:left="3600" w:hanging="360"/>
      </w:pPr>
    </w:lvl>
    <w:lvl w:ilvl="5" w:tplc="79E0123E">
      <w:start w:val="1"/>
      <w:numFmt w:val="lowerRoman"/>
      <w:lvlText w:val="%6."/>
      <w:lvlJc w:val="right"/>
      <w:pPr>
        <w:ind w:left="4320" w:hanging="180"/>
      </w:pPr>
    </w:lvl>
    <w:lvl w:ilvl="6" w:tplc="17A0AF30">
      <w:start w:val="1"/>
      <w:numFmt w:val="decimal"/>
      <w:lvlText w:val="%7."/>
      <w:lvlJc w:val="left"/>
      <w:pPr>
        <w:ind w:left="5040" w:hanging="360"/>
      </w:pPr>
    </w:lvl>
    <w:lvl w:ilvl="7" w:tplc="4712011C">
      <w:start w:val="1"/>
      <w:numFmt w:val="lowerLetter"/>
      <w:lvlText w:val="%8."/>
      <w:lvlJc w:val="left"/>
      <w:pPr>
        <w:ind w:left="5760" w:hanging="360"/>
      </w:pPr>
    </w:lvl>
    <w:lvl w:ilvl="8" w:tplc="C6CE6196">
      <w:start w:val="1"/>
      <w:numFmt w:val="lowerRoman"/>
      <w:lvlText w:val="%9."/>
      <w:lvlJc w:val="right"/>
      <w:pPr>
        <w:ind w:left="6480" w:hanging="180"/>
      </w:pPr>
    </w:lvl>
  </w:abstractNum>
  <w:abstractNum w:abstractNumId="4" w15:restartNumberingAfterBreak="0">
    <w:nsid w:val="07120943"/>
    <w:multiLevelType w:val="hybridMultilevel"/>
    <w:tmpl w:val="6BA4FF9A"/>
    <w:lvl w:ilvl="0" w:tplc="55449BC4">
      <w:start w:val="1"/>
      <w:numFmt w:val="lowerLetter"/>
      <w:lvlText w:val="%1)"/>
      <w:lvlJc w:val="left"/>
      <w:pPr>
        <w:ind w:left="720" w:hanging="360"/>
      </w:pPr>
    </w:lvl>
    <w:lvl w:ilvl="1" w:tplc="2354CA74">
      <w:start w:val="1"/>
      <w:numFmt w:val="lowerLetter"/>
      <w:lvlText w:val="%2."/>
      <w:lvlJc w:val="left"/>
      <w:pPr>
        <w:ind w:left="1440" w:hanging="360"/>
      </w:pPr>
    </w:lvl>
    <w:lvl w:ilvl="2" w:tplc="4A08954C">
      <w:start w:val="1"/>
      <w:numFmt w:val="lowerRoman"/>
      <w:lvlText w:val="%3."/>
      <w:lvlJc w:val="right"/>
      <w:pPr>
        <w:ind w:left="2160" w:hanging="180"/>
      </w:pPr>
    </w:lvl>
    <w:lvl w:ilvl="3" w:tplc="F27051DE">
      <w:start w:val="1"/>
      <w:numFmt w:val="decimal"/>
      <w:lvlText w:val="%4."/>
      <w:lvlJc w:val="left"/>
      <w:pPr>
        <w:ind w:left="2880" w:hanging="360"/>
      </w:pPr>
    </w:lvl>
    <w:lvl w:ilvl="4" w:tplc="28EA096E">
      <w:start w:val="1"/>
      <w:numFmt w:val="lowerLetter"/>
      <w:lvlText w:val="%5."/>
      <w:lvlJc w:val="left"/>
      <w:pPr>
        <w:ind w:left="3600" w:hanging="360"/>
      </w:pPr>
    </w:lvl>
    <w:lvl w:ilvl="5" w:tplc="1F4285A0">
      <w:start w:val="1"/>
      <w:numFmt w:val="lowerRoman"/>
      <w:lvlText w:val="%6."/>
      <w:lvlJc w:val="right"/>
      <w:pPr>
        <w:ind w:left="4320" w:hanging="180"/>
      </w:pPr>
    </w:lvl>
    <w:lvl w:ilvl="6" w:tplc="CA78EDCA">
      <w:start w:val="1"/>
      <w:numFmt w:val="decimal"/>
      <w:lvlText w:val="%7."/>
      <w:lvlJc w:val="left"/>
      <w:pPr>
        <w:ind w:left="5040" w:hanging="360"/>
      </w:pPr>
    </w:lvl>
    <w:lvl w:ilvl="7" w:tplc="1188EA9E">
      <w:start w:val="1"/>
      <w:numFmt w:val="lowerLetter"/>
      <w:lvlText w:val="%8."/>
      <w:lvlJc w:val="left"/>
      <w:pPr>
        <w:ind w:left="5760" w:hanging="360"/>
      </w:pPr>
    </w:lvl>
    <w:lvl w:ilvl="8" w:tplc="56A21426">
      <w:start w:val="1"/>
      <w:numFmt w:val="lowerRoman"/>
      <w:lvlText w:val="%9."/>
      <w:lvlJc w:val="right"/>
      <w:pPr>
        <w:ind w:left="6480" w:hanging="180"/>
      </w:pPr>
    </w:lvl>
  </w:abstractNum>
  <w:abstractNum w:abstractNumId="5" w15:restartNumberingAfterBreak="0">
    <w:nsid w:val="078AE4F5"/>
    <w:multiLevelType w:val="hybridMultilevel"/>
    <w:tmpl w:val="D98C4A16"/>
    <w:lvl w:ilvl="0" w:tplc="8D66053E">
      <w:start w:val="1"/>
      <w:numFmt w:val="lowerLetter"/>
      <w:lvlText w:val="%1)"/>
      <w:lvlJc w:val="left"/>
      <w:pPr>
        <w:ind w:left="720" w:hanging="360"/>
      </w:pPr>
    </w:lvl>
    <w:lvl w:ilvl="1" w:tplc="54CEFA66">
      <w:start w:val="1"/>
      <w:numFmt w:val="lowerLetter"/>
      <w:lvlText w:val="%2."/>
      <w:lvlJc w:val="left"/>
      <w:pPr>
        <w:ind w:left="1440" w:hanging="360"/>
      </w:pPr>
    </w:lvl>
    <w:lvl w:ilvl="2" w:tplc="AC78E5D8">
      <w:start w:val="1"/>
      <w:numFmt w:val="lowerRoman"/>
      <w:lvlText w:val="%3."/>
      <w:lvlJc w:val="right"/>
      <w:pPr>
        <w:ind w:left="2160" w:hanging="180"/>
      </w:pPr>
    </w:lvl>
    <w:lvl w:ilvl="3" w:tplc="3BDE213E">
      <w:start w:val="1"/>
      <w:numFmt w:val="decimal"/>
      <w:lvlText w:val="%4."/>
      <w:lvlJc w:val="left"/>
      <w:pPr>
        <w:ind w:left="2880" w:hanging="360"/>
      </w:pPr>
    </w:lvl>
    <w:lvl w:ilvl="4" w:tplc="A19A1846">
      <w:start w:val="1"/>
      <w:numFmt w:val="lowerLetter"/>
      <w:lvlText w:val="%5."/>
      <w:lvlJc w:val="left"/>
      <w:pPr>
        <w:ind w:left="3600" w:hanging="360"/>
      </w:pPr>
    </w:lvl>
    <w:lvl w:ilvl="5" w:tplc="7B0AA538">
      <w:start w:val="1"/>
      <w:numFmt w:val="lowerRoman"/>
      <w:lvlText w:val="%6."/>
      <w:lvlJc w:val="right"/>
      <w:pPr>
        <w:ind w:left="4320" w:hanging="180"/>
      </w:pPr>
    </w:lvl>
    <w:lvl w:ilvl="6" w:tplc="F9A49FFE">
      <w:start w:val="1"/>
      <w:numFmt w:val="decimal"/>
      <w:lvlText w:val="%7."/>
      <w:lvlJc w:val="left"/>
      <w:pPr>
        <w:ind w:left="5040" w:hanging="360"/>
      </w:pPr>
    </w:lvl>
    <w:lvl w:ilvl="7" w:tplc="739C8242">
      <w:start w:val="1"/>
      <w:numFmt w:val="lowerLetter"/>
      <w:lvlText w:val="%8."/>
      <w:lvlJc w:val="left"/>
      <w:pPr>
        <w:ind w:left="5760" w:hanging="360"/>
      </w:pPr>
    </w:lvl>
    <w:lvl w:ilvl="8" w:tplc="C3E823C8">
      <w:start w:val="1"/>
      <w:numFmt w:val="lowerRoman"/>
      <w:lvlText w:val="%9."/>
      <w:lvlJc w:val="right"/>
      <w:pPr>
        <w:ind w:left="6480" w:hanging="180"/>
      </w:pPr>
    </w:lvl>
  </w:abstractNum>
  <w:abstractNum w:abstractNumId="6" w15:restartNumberingAfterBreak="0">
    <w:nsid w:val="0DB55F2C"/>
    <w:multiLevelType w:val="hybridMultilevel"/>
    <w:tmpl w:val="7AC0826A"/>
    <w:lvl w:ilvl="0" w:tplc="92984E6E">
      <w:start w:val="3"/>
      <w:numFmt w:val="lowerLetter"/>
      <w:lvlText w:val="%1)"/>
      <w:lvlJc w:val="left"/>
      <w:pPr>
        <w:ind w:left="720" w:hanging="360"/>
      </w:pPr>
    </w:lvl>
    <w:lvl w:ilvl="1" w:tplc="53BE1B3E">
      <w:start w:val="1"/>
      <w:numFmt w:val="lowerLetter"/>
      <w:lvlText w:val="%2."/>
      <w:lvlJc w:val="left"/>
      <w:pPr>
        <w:ind w:left="1440" w:hanging="360"/>
      </w:pPr>
    </w:lvl>
    <w:lvl w:ilvl="2" w:tplc="99C21C12">
      <w:start w:val="1"/>
      <w:numFmt w:val="lowerRoman"/>
      <w:lvlText w:val="%3."/>
      <w:lvlJc w:val="right"/>
      <w:pPr>
        <w:ind w:left="2160" w:hanging="180"/>
      </w:pPr>
    </w:lvl>
    <w:lvl w:ilvl="3" w:tplc="43A0C614">
      <w:start w:val="1"/>
      <w:numFmt w:val="decimal"/>
      <w:lvlText w:val="%4."/>
      <w:lvlJc w:val="left"/>
      <w:pPr>
        <w:ind w:left="2880" w:hanging="360"/>
      </w:pPr>
    </w:lvl>
    <w:lvl w:ilvl="4" w:tplc="7E82D1DE">
      <w:start w:val="1"/>
      <w:numFmt w:val="lowerLetter"/>
      <w:lvlText w:val="%5."/>
      <w:lvlJc w:val="left"/>
      <w:pPr>
        <w:ind w:left="3600" w:hanging="360"/>
      </w:pPr>
    </w:lvl>
    <w:lvl w:ilvl="5" w:tplc="B3AC6AC8">
      <w:start w:val="1"/>
      <w:numFmt w:val="lowerRoman"/>
      <w:lvlText w:val="%6."/>
      <w:lvlJc w:val="right"/>
      <w:pPr>
        <w:ind w:left="4320" w:hanging="180"/>
      </w:pPr>
    </w:lvl>
    <w:lvl w:ilvl="6" w:tplc="E5FC9D34">
      <w:start w:val="1"/>
      <w:numFmt w:val="decimal"/>
      <w:lvlText w:val="%7."/>
      <w:lvlJc w:val="left"/>
      <w:pPr>
        <w:ind w:left="5040" w:hanging="360"/>
      </w:pPr>
    </w:lvl>
    <w:lvl w:ilvl="7" w:tplc="666A6146">
      <w:start w:val="1"/>
      <w:numFmt w:val="lowerLetter"/>
      <w:lvlText w:val="%8."/>
      <w:lvlJc w:val="left"/>
      <w:pPr>
        <w:ind w:left="5760" w:hanging="360"/>
      </w:pPr>
    </w:lvl>
    <w:lvl w:ilvl="8" w:tplc="2B7ED686">
      <w:start w:val="1"/>
      <w:numFmt w:val="lowerRoman"/>
      <w:lvlText w:val="%9."/>
      <w:lvlJc w:val="right"/>
      <w:pPr>
        <w:ind w:left="6480" w:hanging="180"/>
      </w:pPr>
    </w:lvl>
  </w:abstractNum>
  <w:abstractNum w:abstractNumId="7" w15:restartNumberingAfterBreak="0">
    <w:nsid w:val="1321118E"/>
    <w:multiLevelType w:val="multilevel"/>
    <w:tmpl w:val="4E58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519420"/>
    <w:multiLevelType w:val="hybridMultilevel"/>
    <w:tmpl w:val="FFFFFFFF"/>
    <w:lvl w:ilvl="0" w:tplc="6D92E8BE">
      <w:start w:val="3"/>
      <w:numFmt w:val="bullet"/>
      <w:lvlText w:val="-"/>
      <w:lvlJc w:val="left"/>
      <w:pPr>
        <w:ind w:left="720" w:hanging="360"/>
      </w:pPr>
      <w:rPr>
        <w:rFonts w:ascii="Aptos" w:hAnsi="Aptos" w:hint="default"/>
      </w:rPr>
    </w:lvl>
    <w:lvl w:ilvl="1" w:tplc="43F22176">
      <w:start w:val="1"/>
      <w:numFmt w:val="bullet"/>
      <w:lvlText w:val="o"/>
      <w:lvlJc w:val="left"/>
      <w:pPr>
        <w:ind w:left="1440" w:hanging="360"/>
      </w:pPr>
      <w:rPr>
        <w:rFonts w:ascii="Courier New" w:hAnsi="Courier New" w:hint="default"/>
      </w:rPr>
    </w:lvl>
    <w:lvl w:ilvl="2" w:tplc="18F6E2A2">
      <w:start w:val="1"/>
      <w:numFmt w:val="bullet"/>
      <w:lvlText w:val=""/>
      <w:lvlJc w:val="left"/>
      <w:pPr>
        <w:ind w:left="2160" w:hanging="360"/>
      </w:pPr>
      <w:rPr>
        <w:rFonts w:ascii="Wingdings" w:hAnsi="Wingdings" w:hint="default"/>
      </w:rPr>
    </w:lvl>
    <w:lvl w:ilvl="3" w:tplc="DEBA3BF2">
      <w:start w:val="1"/>
      <w:numFmt w:val="bullet"/>
      <w:lvlText w:val=""/>
      <w:lvlJc w:val="left"/>
      <w:pPr>
        <w:ind w:left="2880" w:hanging="360"/>
      </w:pPr>
      <w:rPr>
        <w:rFonts w:ascii="Symbol" w:hAnsi="Symbol" w:hint="default"/>
      </w:rPr>
    </w:lvl>
    <w:lvl w:ilvl="4" w:tplc="2CC62894">
      <w:start w:val="1"/>
      <w:numFmt w:val="bullet"/>
      <w:lvlText w:val="o"/>
      <w:lvlJc w:val="left"/>
      <w:pPr>
        <w:ind w:left="3600" w:hanging="360"/>
      </w:pPr>
      <w:rPr>
        <w:rFonts w:ascii="Courier New" w:hAnsi="Courier New" w:hint="default"/>
      </w:rPr>
    </w:lvl>
    <w:lvl w:ilvl="5" w:tplc="2F42687E">
      <w:start w:val="1"/>
      <w:numFmt w:val="bullet"/>
      <w:lvlText w:val=""/>
      <w:lvlJc w:val="left"/>
      <w:pPr>
        <w:ind w:left="4320" w:hanging="360"/>
      </w:pPr>
      <w:rPr>
        <w:rFonts w:ascii="Wingdings" w:hAnsi="Wingdings" w:hint="default"/>
      </w:rPr>
    </w:lvl>
    <w:lvl w:ilvl="6" w:tplc="338CD780">
      <w:start w:val="1"/>
      <w:numFmt w:val="bullet"/>
      <w:lvlText w:val=""/>
      <w:lvlJc w:val="left"/>
      <w:pPr>
        <w:ind w:left="5040" w:hanging="360"/>
      </w:pPr>
      <w:rPr>
        <w:rFonts w:ascii="Symbol" w:hAnsi="Symbol" w:hint="default"/>
      </w:rPr>
    </w:lvl>
    <w:lvl w:ilvl="7" w:tplc="F22AF6CA">
      <w:start w:val="1"/>
      <w:numFmt w:val="bullet"/>
      <w:lvlText w:val="o"/>
      <w:lvlJc w:val="left"/>
      <w:pPr>
        <w:ind w:left="5760" w:hanging="360"/>
      </w:pPr>
      <w:rPr>
        <w:rFonts w:ascii="Courier New" w:hAnsi="Courier New" w:hint="default"/>
      </w:rPr>
    </w:lvl>
    <w:lvl w:ilvl="8" w:tplc="37F06D54">
      <w:start w:val="1"/>
      <w:numFmt w:val="bullet"/>
      <w:lvlText w:val=""/>
      <w:lvlJc w:val="left"/>
      <w:pPr>
        <w:ind w:left="6480" w:hanging="360"/>
      </w:pPr>
      <w:rPr>
        <w:rFonts w:ascii="Wingdings" w:hAnsi="Wingdings" w:hint="default"/>
      </w:rPr>
    </w:lvl>
  </w:abstractNum>
  <w:abstractNum w:abstractNumId="9" w15:restartNumberingAfterBreak="0">
    <w:nsid w:val="17D812EF"/>
    <w:multiLevelType w:val="hybridMultilevel"/>
    <w:tmpl w:val="547A20F0"/>
    <w:lvl w:ilvl="0" w:tplc="DC625566">
      <w:start w:val="1"/>
      <w:numFmt w:val="lowerLetter"/>
      <w:lvlText w:val="%1)"/>
      <w:lvlJc w:val="left"/>
      <w:pPr>
        <w:ind w:left="720" w:hanging="360"/>
      </w:pPr>
    </w:lvl>
    <w:lvl w:ilvl="1" w:tplc="C2246FBE">
      <w:start w:val="1"/>
      <w:numFmt w:val="lowerLetter"/>
      <w:lvlText w:val="%2."/>
      <w:lvlJc w:val="left"/>
      <w:pPr>
        <w:ind w:left="1440" w:hanging="360"/>
      </w:pPr>
    </w:lvl>
    <w:lvl w:ilvl="2" w:tplc="59C2C624">
      <w:start w:val="1"/>
      <w:numFmt w:val="lowerRoman"/>
      <w:lvlText w:val="%3."/>
      <w:lvlJc w:val="right"/>
      <w:pPr>
        <w:ind w:left="2160" w:hanging="180"/>
      </w:pPr>
    </w:lvl>
    <w:lvl w:ilvl="3" w:tplc="D2E4F4B8">
      <w:start w:val="1"/>
      <w:numFmt w:val="decimal"/>
      <w:lvlText w:val="%4."/>
      <w:lvlJc w:val="left"/>
      <w:pPr>
        <w:ind w:left="2880" w:hanging="360"/>
      </w:pPr>
    </w:lvl>
    <w:lvl w:ilvl="4" w:tplc="EE5CFFAA">
      <w:start w:val="1"/>
      <w:numFmt w:val="lowerLetter"/>
      <w:lvlText w:val="%5."/>
      <w:lvlJc w:val="left"/>
      <w:pPr>
        <w:ind w:left="3600" w:hanging="360"/>
      </w:pPr>
    </w:lvl>
    <w:lvl w:ilvl="5" w:tplc="D0E8FBCC">
      <w:start w:val="1"/>
      <w:numFmt w:val="lowerRoman"/>
      <w:lvlText w:val="%6."/>
      <w:lvlJc w:val="right"/>
      <w:pPr>
        <w:ind w:left="4320" w:hanging="180"/>
      </w:pPr>
    </w:lvl>
    <w:lvl w:ilvl="6" w:tplc="4BDA7B30">
      <w:start w:val="1"/>
      <w:numFmt w:val="decimal"/>
      <w:lvlText w:val="%7."/>
      <w:lvlJc w:val="left"/>
      <w:pPr>
        <w:ind w:left="5040" w:hanging="360"/>
      </w:pPr>
    </w:lvl>
    <w:lvl w:ilvl="7" w:tplc="3DA8D91A">
      <w:start w:val="1"/>
      <w:numFmt w:val="lowerLetter"/>
      <w:lvlText w:val="%8."/>
      <w:lvlJc w:val="left"/>
      <w:pPr>
        <w:ind w:left="5760" w:hanging="360"/>
      </w:pPr>
    </w:lvl>
    <w:lvl w:ilvl="8" w:tplc="3942066A">
      <w:start w:val="1"/>
      <w:numFmt w:val="lowerRoman"/>
      <w:lvlText w:val="%9."/>
      <w:lvlJc w:val="right"/>
      <w:pPr>
        <w:ind w:left="6480" w:hanging="180"/>
      </w:pPr>
    </w:lvl>
  </w:abstractNum>
  <w:abstractNum w:abstractNumId="10" w15:restartNumberingAfterBreak="0">
    <w:nsid w:val="18ED6ABB"/>
    <w:multiLevelType w:val="hybridMultilevel"/>
    <w:tmpl w:val="DEDAF72C"/>
    <w:lvl w:ilvl="0" w:tplc="05481974">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D64CEA"/>
    <w:multiLevelType w:val="hybridMultilevel"/>
    <w:tmpl w:val="D4DC81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30A948"/>
    <w:multiLevelType w:val="hybridMultilevel"/>
    <w:tmpl w:val="7E0CF222"/>
    <w:lvl w:ilvl="0" w:tplc="86169278">
      <w:start w:val="2"/>
      <w:numFmt w:val="lowerLetter"/>
      <w:lvlText w:val="%1)"/>
      <w:lvlJc w:val="left"/>
      <w:pPr>
        <w:ind w:left="720" w:hanging="360"/>
      </w:pPr>
    </w:lvl>
    <w:lvl w:ilvl="1" w:tplc="9692FB96">
      <w:start w:val="1"/>
      <w:numFmt w:val="lowerLetter"/>
      <w:lvlText w:val="%2."/>
      <w:lvlJc w:val="left"/>
      <w:pPr>
        <w:ind w:left="1440" w:hanging="360"/>
      </w:pPr>
    </w:lvl>
    <w:lvl w:ilvl="2" w:tplc="5E9C0BB6">
      <w:start w:val="1"/>
      <w:numFmt w:val="lowerRoman"/>
      <w:lvlText w:val="%3."/>
      <w:lvlJc w:val="right"/>
      <w:pPr>
        <w:ind w:left="2160" w:hanging="180"/>
      </w:pPr>
    </w:lvl>
    <w:lvl w:ilvl="3" w:tplc="A00ED506">
      <w:start w:val="1"/>
      <w:numFmt w:val="decimal"/>
      <w:lvlText w:val="%4."/>
      <w:lvlJc w:val="left"/>
      <w:pPr>
        <w:ind w:left="2880" w:hanging="360"/>
      </w:pPr>
    </w:lvl>
    <w:lvl w:ilvl="4" w:tplc="C0B6AF0E">
      <w:start w:val="1"/>
      <w:numFmt w:val="lowerLetter"/>
      <w:lvlText w:val="%5."/>
      <w:lvlJc w:val="left"/>
      <w:pPr>
        <w:ind w:left="3600" w:hanging="360"/>
      </w:pPr>
    </w:lvl>
    <w:lvl w:ilvl="5" w:tplc="48E840D6">
      <w:start w:val="1"/>
      <w:numFmt w:val="lowerRoman"/>
      <w:lvlText w:val="%6."/>
      <w:lvlJc w:val="right"/>
      <w:pPr>
        <w:ind w:left="4320" w:hanging="180"/>
      </w:pPr>
    </w:lvl>
    <w:lvl w:ilvl="6" w:tplc="BAF6E18C">
      <w:start w:val="1"/>
      <w:numFmt w:val="decimal"/>
      <w:lvlText w:val="%7."/>
      <w:lvlJc w:val="left"/>
      <w:pPr>
        <w:ind w:left="5040" w:hanging="360"/>
      </w:pPr>
    </w:lvl>
    <w:lvl w:ilvl="7" w:tplc="36C238C2">
      <w:start w:val="1"/>
      <w:numFmt w:val="lowerLetter"/>
      <w:lvlText w:val="%8."/>
      <w:lvlJc w:val="left"/>
      <w:pPr>
        <w:ind w:left="5760" w:hanging="360"/>
      </w:pPr>
    </w:lvl>
    <w:lvl w:ilvl="8" w:tplc="CBF2A3D6">
      <w:start w:val="1"/>
      <w:numFmt w:val="lowerRoman"/>
      <w:lvlText w:val="%9."/>
      <w:lvlJc w:val="right"/>
      <w:pPr>
        <w:ind w:left="6480" w:hanging="180"/>
      </w:pPr>
    </w:lvl>
  </w:abstractNum>
  <w:abstractNum w:abstractNumId="13" w15:restartNumberingAfterBreak="0">
    <w:nsid w:val="1AD9210B"/>
    <w:multiLevelType w:val="hybridMultilevel"/>
    <w:tmpl w:val="D4DC81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C90F0E"/>
    <w:multiLevelType w:val="hybridMultilevel"/>
    <w:tmpl w:val="E5823284"/>
    <w:lvl w:ilvl="0" w:tplc="4C2CC4F8">
      <w:start w:val="1"/>
      <w:numFmt w:val="lowerLetter"/>
      <w:lvlText w:val="%1)"/>
      <w:lvlJc w:val="left"/>
      <w:pPr>
        <w:ind w:left="720" w:hanging="360"/>
      </w:pPr>
    </w:lvl>
    <w:lvl w:ilvl="1" w:tplc="D0F4994A">
      <w:start w:val="1"/>
      <w:numFmt w:val="lowerLetter"/>
      <w:lvlText w:val="%2."/>
      <w:lvlJc w:val="left"/>
      <w:pPr>
        <w:ind w:left="1440" w:hanging="360"/>
      </w:pPr>
    </w:lvl>
    <w:lvl w:ilvl="2" w:tplc="45BA83F4">
      <w:start w:val="1"/>
      <w:numFmt w:val="lowerRoman"/>
      <w:lvlText w:val="%3."/>
      <w:lvlJc w:val="right"/>
      <w:pPr>
        <w:ind w:left="2160" w:hanging="180"/>
      </w:pPr>
    </w:lvl>
    <w:lvl w:ilvl="3" w:tplc="95EA9560">
      <w:start w:val="1"/>
      <w:numFmt w:val="decimal"/>
      <w:lvlText w:val="%4."/>
      <w:lvlJc w:val="left"/>
      <w:pPr>
        <w:ind w:left="2880" w:hanging="360"/>
      </w:pPr>
    </w:lvl>
    <w:lvl w:ilvl="4" w:tplc="284EC1FA">
      <w:start w:val="1"/>
      <w:numFmt w:val="lowerLetter"/>
      <w:lvlText w:val="%5."/>
      <w:lvlJc w:val="left"/>
      <w:pPr>
        <w:ind w:left="3600" w:hanging="360"/>
      </w:pPr>
    </w:lvl>
    <w:lvl w:ilvl="5" w:tplc="4E766FC6">
      <w:start w:val="1"/>
      <w:numFmt w:val="lowerRoman"/>
      <w:lvlText w:val="%6."/>
      <w:lvlJc w:val="right"/>
      <w:pPr>
        <w:ind w:left="4320" w:hanging="180"/>
      </w:pPr>
    </w:lvl>
    <w:lvl w:ilvl="6" w:tplc="8E5ABA0A">
      <w:start w:val="1"/>
      <w:numFmt w:val="decimal"/>
      <w:lvlText w:val="%7."/>
      <w:lvlJc w:val="left"/>
      <w:pPr>
        <w:ind w:left="5040" w:hanging="360"/>
      </w:pPr>
    </w:lvl>
    <w:lvl w:ilvl="7" w:tplc="821CD206">
      <w:start w:val="1"/>
      <w:numFmt w:val="lowerLetter"/>
      <w:lvlText w:val="%8."/>
      <w:lvlJc w:val="left"/>
      <w:pPr>
        <w:ind w:left="5760" w:hanging="360"/>
      </w:pPr>
    </w:lvl>
    <w:lvl w:ilvl="8" w:tplc="E4FA0F2E">
      <w:start w:val="1"/>
      <w:numFmt w:val="lowerRoman"/>
      <w:lvlText w:val="%9."/>
      <w:lvlJc w:val="right"/>
      <w:pPr>
        <w:ind w:left="6480" w:hanging="180"/>
      </w:pPr>
    </w:lvl>
  </w:abstractNum>
  <w:abstractNum w:abstractNumId="15" w15:restartNumberingAfterBreak="0">
    <w:nsid w:val="1D0206F6"/>
    <w:multiLevelType w:val="hybridMultilevel"/>
    <w:tmpl w:val="40BCE93E"/>
    <w:lvl w:ilvl="0" w:tplc="8C32D1D8">
      <w:start w:val="4"/>
      <w:numFmt w:val="lowerLetter"/>
      <w:lvlText w:val="%1)"/>
      <w:lvlJc w:val="left"/>
      <w:pPr>
        <w:ind w:left="720" w:hanging="360"/>
      </w:pPr>
    </w:lvl>
    <w:lvl w:ilvl="1" w:tplc="F81E3B92">
      <w:start w:val="1"/>
      <w:numFmt w:val="lowerLetter"/>
      <w:lvlText w:val="%2."/>
      <w:lvlJc w:val="left"/>
      <w:pPr>
        <w:ind w:left="1440" w:hanging="360"/>
      </w:pPr>
    </w:lvl>
    <w:lvl w:ilvl="2" w:tplc="D2AA508A">
      <w:start w:val="1"/>
      <w:numFmt w:val="lowerRoman"/>
      <w:lvlText w:val="%3."/>
      <w:lvlJc w:val="right"/>
      <w:pPr>
        <w:ind w:left="2160" w:hanging="180"/>
      </w:pPr>
    </w:lvl>
    <w:lvl w:ilvl="3" w:tplc="571AF76C">
      <w:start w:val="1"/>
      <w:numFmt w:val="decimal"/>
      <w:lvlText w:val="%4."/>
      <w:lvlJc w:val="left"/>
      <w:pPr>
        <w:ind w:left="2880" w:hanging="360"/>
      </w:pPr>
    </w:lvl>
    <w:lvl w:ilvl="4" w:tplc="7B109A10">
      <w:start w:val="1"/>
      <w:numFmt w:val="lowerLetter"/>
      <w:lvlText w:val="%5."/>
      <w:lvlJc w:val="left"/>
      <w:pPr>
        <w:ind w:left="3600" w:hanging="360"/>
      </w:pPr>
    </w:lvl>
    <w:lvl w:ilvl="5" w:tplc="E2382072">
      <w:start w:val="1"/>
      <w:numFmt w:val="lowerRoman"/>
      <w:lvlText w:val="%6."/>
      <w:lvlJc w:val="right"/>
      <w:pPr>
        <w:ind w:left="4320" w:hanging="180"/>
      </w:pPr>
    </w:lvl>
    <w:lvl w:ilvl="6" w:tplc="05D29B2A">
      <w:start w:val="1"/>
      <w:numFmt w:val="decimal"/>
      <w:lvlText w:val="%7."/>
      <w:lvlJc w:val="left"/>
      <w:pPr>
        <w:ind w:left="5040" w:hanging="360"/>
      </w:pPr>
    </w:lvl>
    <w:lvl w:ilvl="7" w:tplc="482C265C">
      <w:start w:val="1"/>
      <w:numFmt w:val="lowerLetter"/>
      <w:lvlText w:val="%8."/>
      <w:lvlJc w:val="left"/>
      <w:pPr>
        <w:ind w:left="5760" w:hanging="360"/>
      </w:pPr>
    </w:lvl>
    <w:lvl w:ilvl="8" w:tplc="F412184E">
      <w:start w:val="1"/>
      <w:numFmt w:val="lowerRoman"/>
      <w:lvlText w:val="%9."/>
      <w:lvlJc w:val="right"/>
      <w:pPr>
        <w:ind w:left="6480" w:hanging="180"/>
      </w:pPr>
    </w:lvl>
  </w:abstractNum>
  <w:abstractNum w:abstractNumId="16" w15:restartNumberingAfterBreak="0">
    <w:nsid w:val="1D4C1CBE"/>
    <w:multiLevelType w:val="hybridMultilevel"/>
    <w:tmpl w:val="DEDAF72C"/>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D647504"/>
    <w:multiLevelType w:val="hybridMultilevel"/>
    <w:tmpl w:val="ACCC94D8"/>
    <w:lvl w:ilvl="0" w:tplc="A26A289E">
      <w:start w:val="1"/>
      <w:numFmt w:val="lowerLetter"/>
      <w:lvlText w:val="%1)"/>
      <w:lvlJc w:val="left"/>
      <w:pPr>
        <w:ind w:left="720" w:hanging="360"/>
      </w:pPr>
    </w:lvl>
    <w:lvl w:ilvl="1" w:tplc="9E8609BA">
      <w:start w:val="1"/>
      <w:numFmt w:val="lowerLetter"/>
      <w:lvlText w:val="%2."/>
      <w:lvlJc w:val="left"/>
      <w:pPr>
        <w:ind w:left="1440" w:hanging="360"/>
      </w:pPr>
    </w:lvl>
    <w:lvl w:ilvl="2" w:tplc="6EBCA1A4">
      <w:start w:val="1"/>
      <w:numFmt w:val="lowerRoman"/>
      <w:lvlText w:val="%3."/>
      <w:lvlJc w:val="right"/>
      <w:pPr>
        <w:ind w:left="2160" w:hanging="180"/>
      </w:pPr>
    </w:lvl>
    <w:lvl w:ilvl="3" w:tplc="B88AFD16">
      <w:start w:val="1"/>
      <w:numFmt w:val="decimal"/>
      <w:lvlText w:val="%4."/>
      <w:lvlJc w:val="left"/>
      <w:pPr>
        <w:ind w:left="2880" w:hanging="360"/>
      </w:pPr>
    </w:lvl>
    <w:lvl w:ilvl="4" w:tplc="C1427EFC">
      <w:start w:val="1"/>
      <w:numFmt w:val="lowerLetter"/>
      <w:lvlText w:val="%5."/>
      <w:lvlJc w:val="left"/>
      <w:pPr>
        <w:ind w:left="3600" w:hanging="360"/>
      </w:pPr>
    </w:lvl>
    <w:lvl w:ilvl="5" w:tplc="28966DA0">
      <w:start w:val="1"/>
      <w:numFmt w:val="lowerRoman"/>
      <w:lvlText w:val="%6."/>
      <w:lvlJc w:val="right"/>
      <w:pPr>
        <w:ind w:left="4320" w:hanging="180"/>
      </w:pPr>
    </w:lvl>
    <w:lvl w:ilvl="6" w:tplc="1416CF7E">
      <w:start w:val="1"/>
      <w:numFmt w:val="decimal"/>
      <w:lvlText w:val="%7."/>
      <w:lvlJc w:val="left"/>
      <w:pPr>
        <w:ind w:left="5040" w:hanging="360"/>
      </w:pPr>
    </w:lvl>
    <w:lvl w:ilvl="7" w:tplc="D422AAE2">
      <w:start w:val="1"/>
      <w:numFmt w:val="lowerLetter"/>
      <w:lvlText w:val="%8."/>
      <w:lvlJc w:val="left"/>
      <w:pPr>
        <w:ind w:left="5760" w:hanging="360"/>
      </w:pPr>
    </w:lvl>
    <w:lvl w:ilvl="8" w:tplc="3516F7D2">
      <w:start w:val="1"/>
      <w:numFmt w:val="lowerRoman"/>
      <w:lvlText w:val="%9."/>
      <w:lvlJc w:val="right"/>
      <w:pPr>
        <w:ind w:left="6480" w:hanging="180"/>
      </w:pPr>
    </w:lvl>
  </w:abstractNum>
  <w:abstractNum w:abstractNumId="18" w15:restartNumberingAfterBreak="0">
    <w:nsid w:val="206B6967"/>
    <w:multiLevelType w:val="hybridMultilevel"/>
    <w:tmpl w:val="4F84ECEE"/>
    <w:lvl w:ilvl="0" w:tplc="E9421430">
      <w:start w:val="1"/>
      <w:numFmt w:val="lowerLetter"/>
      <w:lvlText w:val="%1)"/>
      <w:lvlJc w:val="left"/>
      <w:pPr>
        <w:ind w:left="720" w:hanging="360"/>
      </w:pPr>
    </w:lvl>
    <w:lvl w:ilvl="1" w:tplc="D024B504">
      <w:start w:val="1"/>
      <w:numFmt w:val="lowerLetter"/>
      <w:lvlText w:val="%2."/>
      <w:lvlJc w:val="left"/>
      <w:pPr>
        <w:ind w:left="1440" w:hanging="360"/>
      </w:pPr>
    </w:lvl>
    <w:lvl w:ilvl="2" w:tplc="C818FD4C">
      <w:start w:val="1"/>
      <w:numFmt w:val="lowerRoman"/>
      <w:lvlText w:val="%3."/>
      <w:lvlJc w:val="right"/>
      <w:pPr>
        <w:ind w:left="2160" w:hanging="180"/>
      </w:pPr>
    </w:lvl>
    <w:lvl w:ilvl="3" w:tplc="07F6E608">
      <w:start w:val="1"/>
      <w:numFmt w:val="decimal"/>
      <w:lvlText w:val="%4."/>
      <w:lvlJc w:val="left"/>
      <w:pPr>
        <w:ind w:left="2880" w:hanging="360"/>
      </w:pPr>
    </w:lvl>
    <w:lvl w:ilvl="4" w:tplc="647E94C0">
      <w:start w:val="1"/>
      <w:numFmt w:val="lowerLetter"/>
      <w:lvlText w:val="%5."/>
      <w:lvlJc w:val="left"/>
      <w:pPr>
        <w:ind w:left="3600" w:hanging="360"/>
      </w:pPr>
    </w:lvl>
    <w:lvl w:ilvl="5" w:tplc="F71E0686">
      <w:start w:val="1"/>
      <w:numFmt w:val="lowerRoman"/>
      <w:lvlText w:val="%6."/>
      <w:lvlJc w:val="right"/>
      <w:pPr>
        <w:ind w:left="4320" w:hanging="180"/>
      </w:pPr>
    </w:lvl>
    <w:lvl w:ilvl="6" w:tplc="851E6C52">
      <w:start w:val="1"/>
      <w:numFmt w:val="decimal"/>
      <w:lvlText w:val="%7."/>
      <w:lvlJc w:val="left"/>
      <w:pPr>
        <w:ind w:left="5040" w:hanging="360"/>
      </w:pPr>
    </w:lvl>
    <w:lvl w:ilvl="7" w:tplc="1910BA34">
      <w:start w:val="1"/>
      <w:numFmt w:val="lowerLetter"/>
      <w:lvlText w:val="%8."/>
      <w:lvlJc w:val="left"/>
      <w:pPr>
        <w:ind w:left="5760" w:hanging="360"/>
      </w:pPr>
    </w:lvl>
    <w:lvl w:ilvl="8" w:tplc="D1069036">
      <w:start w:val="1"/>
      <w:numFmt w:val="lowerRoman"/>
      <w:lvlText w:val="%9."/>
      <w:lvlJc w:val="right"/>
      <w:pPr>
        <w:ind w:left="6480" w:hanging="180"/>
      </w:pPr>
    </w:lvl>
  </w:abstractNum>
  <w:abstractNum w:abstractNumId="19" w15:restartNumberingAfterBreak="0">
    <w:nsid w:val="22D2083B"/>
    <w:multiLevelType w:val="hybridMultilevel"/>
    <w:tmpl w:val="9AF64F8E"/>
    <w:lvl w:ilvl="0" w:tplc="59241D62">
      <w:start w:val="1"/>
      <w:numFmt w:val="lowerLetter"/>
      <w:lvlText w:val="%1)"/>
      <w:lvlJc w:val="left"/>
      <w:pPr>
        <w:ind w:left="720" w:hanging="360"/>
      </w:pPr>
      <w:rPr>
        <w:rFonts w:ascii="Calibri,Arial,MS Mincho" w:hAnsi="Calibri,Arial,MS Mincho" w:hint="default"/>
      </w:rPr>
    </w:lvl>
    <w:lvl w:ilvl="1" w:tplc="96607F6C">
      <w:start w:val="1"/>
      <w:numFmt w:val="lowerLetter"/>
      <w:lvlText w:val="%2."/>
      <w:lvlJc w:val="left"/>
      <w:pPr>
        <w:ind w:left="1440" w:hanging="360"/>
      </w:pPr>
    </w:lvl>
    <w:lvl w:ilvl="2" w:tplc="B14E7566">
      <w:start w:val="1"/>
      <w:numFmt w:val="lowerRoman"/>
      <w:lvlText w:val="%3."/>
      <w:lvlJc w:val="right"/>
      <w:pPr>
        <w:ind w:left="2160" w:hanging="180"/>
      </w:pPr>
    </w:lvl>
    <w:lvl w:ilvl="3" w:tplc="30D6ECB8">
      <w:start w:val="1"/>
      <w:numFmt w:val="decimal"/>
      <w:lvlText w:val="%4."/>
      <w:lvlJc w:val="left"/>
      <w:pPr>
        <w:ind w:left="2880" w:hanging="360"/>
      </w:pPr>
    </w:lvl>
    <w:lvl w:ilvl="4" w:tplc="DAFA5CD2">
      <w:start w:val="1"/>
      <w:numFmt w:val="lowerLetter"/>
      <w:lvlText w:val="%5."/>
      <w:lvlJc w:val="left"/>
      <w:pPr>
        <w:ind w:left="3600" w:hanging="360"/>
      </w:pPr>
    </w:lvl>
    <w:lvl w:ilvl="5" w:tplc="79F658EA">
      <w:start w:val="1"/>
      <w:numFmt w:val="lowerRoman"/>
      <w:lvlText w:val="%6."/>
      <w:lvlJc w:val="right"/>
      <w:pPr>
        <w:ind w:left="4320" w:hanging="180"/>
      </w:pPr>
    </w:lvl>
    <w:lvl w:ilvl="6" w:tplc="9B5A5556">
      <w:start w:val="1"/>
      <w:numFmt w:val="decimal"/>
      <w:lvlText w:val="%7."/>
      <w:lvlJc w:val="left"/>
      <w:pPr>
        <w:ind w:left="5040" w:hanging="360"/>
      </w:pPr>
    </w:lvl>
    <w:lvl w:ilvl="7" w:tplc="5318164E">
      <w:start w:val="1"/>
      <w:numFmt w:val="lowerLetter"/>
      <w:lvlText w:val="%8."/>
      <w:lvlJc w:val="left"/>
      <w:pPr>
        <w:ind w:left="5760" w:hanging="360"/>
      </w:pPr>
    </w:lvl>
    <w:lvl w:ilvl="8" w:tplc="109211D6">
      <w:start w:val="1"/>
      <w:numFmt w:val="lowerRoman"/>
      <w:lvlText w:val="%9."/>
      <w:lvlJc w:val="right"/>
      <w:pPr>
        <w:ind w:left="6480" w:hanging="180"/>
      </w:pPr>
    </w:lvl>
  </w:abstractNum>
  <w:abstractNum w:abstractNumId="20" w15:restartNumberingAfterBreak="0">
    <w:nsid w:val="240B1876"/>
    <w:multiLevelType w:val="hybridMultilevel"/>
    <w:tmpl w:val="A1B419E2"/>
    <w:lvl w:ilvl="0" w:tplc="43C2BCA6">
      <w:start w:val="2"/>
      <w:numFmt w:val="lowerLetter"/>
      <w:lvlText w:val="%1)"/>
      <w:lvlJc w:val="left"/>
      <w:pPr>
        <w:ind w:left="720" w:hanging="360"/>
      </w:pPr>
    </w:lvl>
    <w:lvl w:ilvl="1" w:tplc="E2F46A40">
      <w:start w:val="1"/>
      <w:numFmt w:val="lowerLetter"/>
      <w:lvlText w:val="%2."/>
      <w:lvlJc w:val="left"/>
      <w:pPr>
        <w:ind w:left="1440" w:hanging="360"/>
      </w:pPr>
    </w:lvl>
    <w:lvl w:ilvl="2" w:tplc="A516A818">
      <w:start w:val="1"/>
      <w:numFmt w:val="lowerRoman"/>
      <w:lvlText w:val="%3."/>
      <w:lvlJc w:val="right"/>
      <w:pPr>
        <w:ind w:left="2160" w:hanging="180"/>
      </w:pPr>
    </w:lvl>
    <w:lvl w:ilvl="3" w:tplc="2B0CE9A2">
      <w:start w:val="1"/>
      <w:numFmt w:val="decimal"/>
      <w:lvlText w:val="%4."/>
      <w:lvlJc w:val="left"/>
      <w:pPr>
        <w:ind w:left="2880" w:hanging="360"/>
      </w:pPr>
    </w:lvl>
    <w:lvl w:ilvl="4" w:tplc="979CD90E">
      <w:start w:val="1"/>
      <w:numFmt w:val="lowerLetter"/>
      <w:lvlText w:val="%5."/>
      <w:lvlJc w:val="left"/>
      <w:pPr>
        <w:ind w:left="3600" w:hanging="360"/>
      </w:pPr>
    </w:lvl>
    <w:lvl w:ilvl="5" w:tplc="74C2B106">
      <w:start w:val="1"/>
      <w:numFmt w:val="lowerRoman"/>
      <w:lvlText w:val="%6."/>
      <w:lvlJc w:val="right"/>
      <w:pPr>
        <w:ind w:left="4320" w:hanging="180"/>
      </w:pPr>
    </w:lvl>
    <w:lvl w:ilvl="6" w:tplc="C9D0D972">
      <w:start w:val="1"/>
      <w:numFmt w:val="decimal"/>
      <w:lvlText w:val="%7."/>
      <w:lvlJc w:val="left"/>
      <w:pPr>
        <w:ind w:left="5040" w:hanging="360"/>
      </w:pPr>
    </w:lvl>
    <w:lvl w:ilvl="7" w:tplc="A75884A6">
      <w:start w:val="1"/>
      <w:numFmt w:val="lowerLetter"/>
      <w:lvlText w:val="%8."/>
      <w:lvlJc w:val="left"/>
      <w:pPr>
        <w:ind w:left="5760" w:hanging="360"/>
      </w:pPr>
    </w:lvl>
    <w:lvl w:ilvl="8" w:tplc="3D16FF52">
      <w:start w:val="1"/>
      <w:numFmt w:val="lowerRoman"/>
      <w:lvlText w:val="%9."/>
      <w:lvlJc w:val="right"/>
      <w:pPr>
        <w:ind w:left="6480" w:hanging="180"/>
      </w:pPr>
    </w:lvl>
  </w:abstractNum>
  <w:abstractNum w:abstractNumId="21" w15:restartNumberingAfterBreak="0">
    <w:nsid w:val="24E65588"/>
    <w:multiLevelType w:val="multilevel"/>
    <w:tmpl w:val="CF0EDBBC"/>
    <w:lvl w:ilvl="0">
      <w:start w:val="1"/>
      <w:numFmt w:val="decimal"/>
      <w:lvlText w:val="%1."/>
      <w:lvlJc w:val="left"/>
      <w:pPr>
        <w:ind w:left="1400" w:hanging="721"/>
      </w:pPr>
      <w:rPr>
        <w:rFonts w:ascii="Kaleko 105 Round" w:eastAsia="Kaleko105Round-Book" w:hAnsi="Kaleko 105 Round" w:cs="Kaleko105Round-Book" w:hint="default"/>
        <w:b w:val="0"/>
        <w:bCs w:val="0"/>
        <w:i w:val="0"/>
        <w:iCs w:val="0"/>
        <w:color w:val="0B1F2C"/>
        <w:spacing w:val="0"/>
        <w:w w:val="100"/>
        <w:sz w:val="56"/>
        <w:szCs w:val="56"/>
        <w:lang w:val="en-US" w:eastAsia="en-US" w:bidi="ar-SA"/>
      </w:rPr>
    </w:lvl>
    <w:lvl w:ilvl="1">
      <w:start w:val="1"/>
      <w:numFmt w:val="decimal"/>
      <w:lvlText w:val="%1.%2."/>
      <w:lvlJc w:val="left"/>
      <w:pPr>
        <w:ind w:left="1102" w:hanging="422"/>
      </w:pPr>
      <w:rPr>
        <w:rFonts w:ascii="Kaleko 105 Round" w:eastAsia="Kaleko105Round-Book" w:hAnsi="Kaleko 105 Round" w:cs="Kaleko105Round-Book" w:hint="default"/>
        <w:b w:val="0"/>
        <w:bCs w:val="0"/>
        <w:i w:val="0"/>
        <w:iCs w:val="0"/>
        <w:color w:val="009FE3"/>
        <w:spacing w:val="0"/>
        <w:w w:val="100"/>
        <w:sz w:val="32"/>
        <w:szCs w:val="32"/>
        <w:lang w:val="en-US" w:eastAsia="en-US" w:bidi="ar-SA"/>
      </w:rPr>
    </w:lvl>
    <w:lvl w:ilvl="2">
      <w:numFmt w:val="bullet"/>
      <w:pStyle w:val="ListBullet"/>
      <w:lvlText w:val="•"/>
      <w:lvlJc w:val="left"/>
      <w:pPr>
        <w:ind w:left="963" w:hanging="284"/>
      </w:pPr>
      <w:rPr>
        <w:rFonts w:ascii="Kaleko105Round-Book" w:eastAsia="Kaleko105Round-Book" w:hAnsi="Kaleko105Round-Book" w:cs="Kaleko105Round-Book" w:hint="default"/>
        <w:b w:val="0"/>
        <w:bCs w:val="0"/>
        <w:i w:val="0"/>
        <w:iCs w:val="0"/>
        <w:color w:val="009FE3"/>
        <w:spacing w:val="0"/>
        <w:w w:val="100"/>
        <w:sz w:val="20"/>
        <w:szCs w:val="20"/>
        <w:lang w:val="en-US" w:eastAsia="en-US" w:bidi="ar-SA"/>
      </w:rPr>
    </w:lvl>
    <w:lvl w:ilvl="3">
      <w:numFmt w:val="bullet"/>
      <w:lvlText w:val="•"/>
      <w:lvlJc w:val="left"/>
      <w:pPr>
        <w:ind w:left="1400" w:hanging="284"/>
      </w:pPr>
      <w:rPr>
        <w:rFonts w:hint="default"/>
        <w:lang w:val="en-US" w:eastAsia="en-US" w:bidi="ar-SA"/>
      </w:rPr>
    </w:lvl>
    <w:lvl w:ilvl="4">
      <w:numFmt w:val="bullet"/>
      <w:lvlText w:val="•"/>
      <w:lvlJc w:val="left"/>
      <w:pPr>
        <w:ind w:left="2900" w:hanging="284"/>
      </w:pPr>
      <w:rPr>
        <w:rFonts w:hint="default"/>
        <w:lang w:val="en-US" w:eastAsia="en-US" w:bidi="ar-SA"/>
      </w:rPr>
    </w:lvl>
    <w:lvl w:ilvl="5">
      <w:numFmt w:val="bullet"/>
      <w:lvlText w:val="•"/>
      <w:lvlJc w:val="left"/>
      <w:pPr>
        <w:ind w:left="4401" w:hanging="284"/>
      </w:pPr>
      <w:rPr>
        <w:rFonts w:hint="default"/>
        <w:lang w:val="en-US" w:eastAsia="en-US" w:bidi="ar-SA"/>
      </w:rPr>
    </w:lvl>
    <w:lvl w:ilvl="6">
      <w:numFmt w:val="bullet"/>
      <w:lvlText w:val="•"/>
      <w:lvlJc w:val="left"/>
      <w:pPr>
        <w:ind w:left="5902" w:hanging="284"/>
      </w:pPr>
      <w:rPr>
        <w:rFonts w:hint="default"/>
        <w:lang w:val="en-US" w:eastAsia="en-US" w:bidi="ar-SA"/>
      </w:rPr>
    </w:lvl>
    <w:lvl w:ilvl="7">
      <w:numFmt w:val="bullet"/>
      <w:lvlText w:val="•"/>
      <w:lvlJc w:val="left"/>
      <w:pPr>
        <w:ind w:left="7403" w:hanging="284"/>
      </w:pPr>
      <w:rPr>
        <w:rFonts w:hint="default"/>
        <w:lang w:val="en-US" w:eastAsia="en-US" w:bidi="ar-SA"/>
      </w:rPr>
    </w:lvl>
    <w:lvl w:ilvl="8">
      <w:numFmt w:val="bullet"/>
      <w:lvlText w:val="•"/>
      <w:lvlJc w:val="left"/>
      <w:pPr>
        <w:ind w:left="8903" w:hanging="284"/>
      </w:pPr>
      <w:rPr>
        <w:rFonts w:hint="default"/>
        <w:lang w:val="en-US" w:eastAsia="en-US" w:bidi="ar-SA"/>
      </w:rPr>
    </w:lvl>
  </w:abstractNum>
  <w:abstractNum w:abstractNumId="22" w15:restartNumberingAfterBreak="0">
    <w:nsid w:val="25E2A9D4"/>
    <w:multiLevelType w:val="hybridMultilevel"/>
    <w:tmpl w:val="FFFFFFFF"/>
    <w:lvl w:ilvl="0" w:tplc="0AD0510E">
      <w:start w:val="1"/>
      <w:numFmt w:val="bullet"/>
      <w:lvlText w:val=""/>
      <w:lvlJc w:val="left"/>
      <w:pPr>
        <w:ind w:left="720" w:hanging="360"/>
      </w:pPr>
      <w:rPr>
        <w:rFonts w:ascii="Wingdings" w:hAnsi="Wingdings" w:hint="default"/>
      </w:rPr>
    </w:lvl>
    <w:lvl w:ilvl="1" w:tplc="19EE3C18">
      <w:start w:val="1"/>
      <w:numFmt w:val="bullet"/>
      <w:lvlText w:val="o"/>
      <w:lvlJc w:val="left"/>
      <w:pPr>
        <w:ind w:left="1440" w:hanging="360"/>
      </w:pPr>
      <w:rPr>
        <w:rFonts w:ascii="Courier New" w:hAnsi="Courier New" w:hint="default"/>
      </w:rPr>
    </w:lvl>
    <w:lvl w:ilvl="2" w:tplc="EC02A85E">
      <w:start w:val="1"/>
      <w:numFmt w:val="bullet"/>
      <w:lvlText w:val=""/>
      <w:lvlJc w:val="left"/>
      <w:pPr>
        <w:ind w:left="2160" w:hanging="360"/>
      </w:pPr>
      <w:rPr>
        <w:rFonts w:ascii="Wingdings" w:hAnsi="Wingdings" w:hint="default"/>
      </w:rPr>
    </w:lvl>
    <w:lvl w:ilvl="3" w:tplc="8998EDDE">
      <w:start w:val="1"/>
      <w:numFmt w:val="bullet"/>
      <w:lvlText w:val=""/>
      <w:lvlJc w:val="left"/>
      <w:pPr>
        <w:ind w:left="2880" w:hanging="360"/>
      </w:pPr>
      <w:rPr>
        <w:rFonts w:ascii="Symbol" w:hAnsi="Symbol" w:hint="default"/>
      </w:rPr>
    </w:lvl>
    <w:lvl w:ilvl="4" w:tplc="E3500A12">
      <w:start w:val="1"/>
      <w:numFmt w:val="bullet"/>
      <w:lvlText w:val="o"/>
      <w:lvlJc w:val="left"/>
      <w:pPr>
        <w:ind w:left="3600" w:hanging="360"/>
      </w:pPr>
      <w:rPr>
        <w:rFonts w:ascii="Courier New" w:hAnsi="Courier New" w:hint="default"/>
      </w:rPr>
    </w:lvl>
    <w:lvl w:ilvl="5" w:tplc="97A291AA">
      <w:start w:val="1"/>
      <w:numFmt w:val="bullet"/>
      <w:lvlText w:val=""/>
      <w:lvlJc w:val="left"/>
      <w:pPr>
        <w:ind w:left="4320" w:hanging="360"/>
      </w:pPr>
      <w:rPr>
        <w:rFonts w:ascii="Wingdings" w:hAnsi="Wingdings" w:hint="default"/>
      </w:rPr>
    </w:lvl>
    <w:lvl w:ilvl="6" w:tplc="BB8C8DB0">
      <w:start w:val="1"/>
      <w:numFmt w:val="bullet"/>
      <w:lvlText w:val=""/>
      <w:lvlJc w:val="left"/>
      <w:pPr>
        <w:ind w:left="5040" w:hanging="360"/>
      </w:pPr>
      <w:rPr>
        <w:rFonts w:ascii="Symbol" w:hAnsi="Symbol" w:hint="default"/>
      </w:rPr>
    </w:lvl>
    <w:lvl w:ilvl="7" w:tplc="21FC318A">
      <w:start w:val="1"/>
      <w:numFmt w:val="bullet"/>
      <w:lvlText w:val="o"/>
      <w:lvlJc w:val="left"/>
      <w:pPr>
        <w:ind w:left="5760" w:hanging="360"/>
      </w:pPr>
      <w:rPr>
        <w:rFonts w:ascii="Courier New" w:hAnsi="Courier New" w:hint="default"/>
      </w:rPr>
    </w:lvl>
    <w:lvl w:ilvl="8" w:tplc="0922B692">
      <w:start w:val="1"/>
      <w:numFmt w:val="bullet"/>
      <w:lvlText w:val=""/>
      <w:lvlJc w:val="left"/>
      <w:pPr>
        <w:ind w:left="6480" w:hanging="360"/>
      </w:pPr>
      <w:rPr>
        <w:rFonts w:ascii="Wingdings" w:hAnsi="Wingdings" w:hint="default"/>
      </w:rPr>
    </w:lvl>
  </w:abstractNum>
  <w:abstractNum w:abstractNumId="23" w15:restartNumberingAfterBreak="0">
    <w:nsid w:val="28F740AF"/>
    <w:multiLevelType w:val="multilevel"/>
    <w:tmpl w:val="87F077D8"/>
    <w:lvl w:ilvl="0">
      <w:start w:val="1"/>
      <w:numFmt w:val="bullet"/>
      <w:lvlText w:val="-"/>
      <w:lvlJc w:val="left"/>
      <w:pPr>
        <w:ind w:left="5760" w:hanging="360"/>
      </w:pPr>
      <w:rPr>
        <w:rFonts w:ascii="Calibri" w:hAnsi="Calibri" w:hint="default"/>
        <w:sz w:val="20"/>
      </w:rPr>
    </w:lvl>
    <w:lvl w:ilvl="1" w:tentative="1">
      <w:start w:val="1"/>
      <w:numFmt w:val="bullet"/>
      <w:lvlText w:val=""/>
      <w:lvlJc w:val="left"/>
      <w:pPr>
        <w:tabs>
          <w:tab w:val="num" w:pos="6120"/>
        </w:tabs>
        <w:ind w:left="6120" w:hanging="360"/>
      </w:pPr>
      <w:rPr>
        <w:rFonts w:ascii="Symbol" w:hAnsi="Symbol" w:hint="default"/>
        <w:sz w:val="20"/>
      </w:rPr>
    </w:lvl>
    <w:lvl w:ilvl="2" w:tentative="1">
      <w:start w:val="1"/>
      <w:numFmt w:val="bullet"/>
      <w:lvlText w:val=""/>
      <w:lvlJc w:val="left"/>
      <w:pPr>
        <w:tabs>
          <w:tab w:val="num" w:pos="6840"/>
        </w:tabs>
        <w:ind w:left="6840" w:hanging="360"/>
      </w:pPr>
      <w:rPr>
        <w:rFonts w:ascii="Symbol" w:hAnsi="Symbol" w:hint="default"/>
        <w:sz w:val="20"/>
      </w:rPr>
    </w:lvl>
    <w:lvl w:ilvl="3" w:tentative="1">
      <w:start w:val="1"/>
      <w:numFmt w:val="bullet"/>
      <w:lvlText w:val=""/>
      <w:lvlJc w:val="left"/>
      <w:pPr>
        <w:tabs>
          <w:tab w:val="num" w:pos="7560"/>
        </w:tabs>
        <w:ind w:left="7560" w:hanging="360"/>
      </w:pPr>
      <w:rPr>
        <w:rFonts w:ascii="Symbol" w:hAnsi="Symbol" w:hint="default"/>
        <w:sz w:val="20"/>
      </w:rPr>
    </w:lvl>
    <w:lvl w:ilvl="4" w:tentative="1">
      <w:start w:val="1"/>
      <w:numFmt w:val="bullet"/>
      <w:lvlText w:val=""/>
      <w:lvlJc w:val="left"/>
      <w:pPr>
        <w:tabs>
          <w:tab w:val="num" w:pos="8280"/>
        </w:tabs>
        <w:ind w:left="8280" w:hanging="360"/>
      </w:pPr>
      <w:rPr>
        <w:rFonts w:ascii="Symbol" w:hAnsi="Symbol" w:hint="default"/>
        <w:sz w:val="20"/>
      </w:rPr>
    </w:lvl>
    <w:lvl w:ilvl="5" w:tentative="1">
      <w:start w:val="1"/>
      <w:numFmt w:val="bullet"/>
      <w:lvlText w:val=""/>
      <w:lvlJc w:val="left"/>
      <w:pPr>
        <w:tabs>
          <w:tab w:val="num" w:pos="9000"/>
        </w:tabs>
        <w:ind w:left="9000" w:hanging="360"/>
      </w:pPr>
      <w:rPr>
        <w:rFonts w:ascii="Symbol" w:hAnsi="Symbol" w:hint="default"/>
        <w:sz w:val="20"/>
      </w:rPr>
    </w:lvl>
    <w:lvl w:ilvl="6" w:tentative="1">
      <w:start w:val="1"/>
      <w:numFmt w:val="bullet"/>
      <w:lvlText w:val=""/>
      <w:lvlJc w:val="left"/>
      <w:pPr>
        <w:tabs>
          <w:tab w:val="num" w:pos="9720"/>
        </w:tabs>
        <w:ind w:left="9720" w:hanging="360"/>
      </w:pPr>
      <w:rPr>
        <w:rFonts w:ascii="Symbol" w:hAnsi="Symbol" w:hint="default"/>
        <w:sz w:val="20"/>
      </w:rPr>
    </w:lvl>
    <w:lvl w:ilvl="7" w:tentative="1">
      <w:start w:val="1"/>
      <w:numFmt w:val="bullet"/>
      <w:lvlText w:val=""/>
      <w:lvlJc w:val="left"/>
      <w:pPr>
        <w:tabs>
          <w:tab w:val="num" w:pos="10440"/>
        </w:tabs>
        <w:ind w:left="10440" w:hanging="360"/>
      </w:pPr>
      <w:rPr>
        <w:rFonts w:ascii="Symbol" w:hAnsi="Symbol" w:hint="default"/>
        <w:sz w:val="20"/>
      </w:rPr>
    </w:lvl>
    <w:lvl w:ilvl="8" w:tentative="1">
      <w:start w:val="1"/>
      <w:numFmt w:val="bullet"/>
      <w:lvlText w:val=""/>
      <w:lvlJc w:val="left"/>
      <w:pPr>
        <w:tabs>
          <w:tab w:val="num" w:pos="11160"/>
        </w:tabs>
        <w:ind w:left="11160" w:hanging="360"/>
      </w:pPr>
      <w:rPr>
        <w:rFonts w:ascii="Symbol" w:hAnsi="Symbol" w:hint="default"/>
        <w:sz w:val="20"/>
      </w:rPr>
    </w:lvl>
  </w:abstractNum>
  <w:abstractNum w:abstractNumId="24" w15:restartNumberingAfterBreak="0">
    <w:nsid w:val="2C9F7A1F"/>
    <w:multiLevelType w:val="hybridMultilevel"/>
    <w:tmpl w:val="2AFC59FE"/>
    <w:lvl w:ilvl="0" w:tplc="EA30C586">
      <w:start w:val="1"/>
      <w:numFmt w:val="lowerLetter"/>
      <w:lvlText w:val="%1)"/>
      <w:lvlJc w:val="left"/>
      <w:pPr>
        <w:ind w:left="720" w:hanging="360"/>
      </w:pPr>
    </w:lvl>
    <w:lvl w:ilvl="1" w:tplc="24E02640">
      <w:start w:val="1"/>
      <w:numFmt w:val="lowerLetter"/>
      <w:lvlText w:val="%2."/>
      <w:lvlJc w:val="left"/>
      <w:pPr>
        <w:ind w:left="1440" w:hanging="360"/>
      </w:pPr>
    </w:lvl>
    <w:lvl w:ilvl="2" w:tplc="C3226606">
      <w:start w:val="1"/>
      <w:numFmt w:val="lowerRoman"/>
      <w:lvlText w:val="%3."/>
      <w:lvlJc w:val="right"/>
      <w:pPr>
        <w:ind w:left="2160" w:hanging="180"/>
      </w:pPr>
    </w:lvl>
    <w:lvl w:ilvl="3" w:tplc="81E6BDB6">
      <w:start w:val="1"/>
      <w:numFmt w:val="decimal"/>
      <w:lvlText w:val="%4."/>
      <w:lvlJc w:val="left"/>
      <w:pPr>
        <w:ind w:left="2880" w:hanging="360"/>
      </w:pPr>
    </w:lvl>
    <w:lvl w:ilvl="4" w:tplc="6C52F61C">
      <w:start w:val="1"/>
      <w:numFmt w:val="lowerLetter"/>
      <w:lvlText w:val="%5."/>
      <w:lvlJc w:val="left"/>
      <w:pPr>
        <w:ind w:left="3600" w:hanging="360"/>
      </w:pPr>
    </w:lvl>
    <w:lvl w:ilvl="5" w:tplc="27B0CECC">
      <w:start w:val="1"/>
      <w:numFmt w:val="lowerRoman"/>
      <w:lvlText w:val="%6."/>
      <w:lvlJc w:val="right"/>
      <w:pPr>
        <w:ind w:left="4320" w:hanging="180"/>
      </w:pPr>
    </w:lvl>
    <w:lvl w:ilvl="6" w:tplc="E0CC7F72">
      <w:start w:val="1"/>
      <w:numFmt w:val="decimal"/>
      <w:lvlText w:val="%7."/>
      <w:lvlJc w:val="left"/>
      <w:pPr>
        <w:ind w:left="5040" w:hanging="360"/>
      </w:pPr>
    </w:lvl>
    <w:lvl w:ilvl="7" w:tplc="C43A8C0A">
      <w:start w:val="1"/>
      <w:numFmt w:val="lowerLetter"/>
      <w:lvlText w:val="%8."/>
      <w:lvlJc w:val="left"/>
      <w:pPr>
        <w:ind w:left="5760" w:hanging="360"/>
      </w:pPr>
    </w:lvl>
    <w:lvl w:ilvl="8" w:tplc="D904EBE4">
      <w:start w:val="1"/>
      <w:numFmt w:val="lowerRoman"/>
      <w:lvlText w:val="%9."/>
      <w:lvlJc w:val="right"/>
      <w:pPr>
        <w:ind w:left="6480" w:hanging="180"/>
      </w:pPr>
    </w:lvl>
  </w:abstractNum>
  <w:abstractNum w:abstractNumId="25" w15:restartNumberingAfterBreak="0">
    <w:nsid w:val="31C342B0"/>
    <w:multiLevelType w:val="hybridMultilevel"/>
    <w:tmpl w:val="438A62C0"/>
    <w:lvl w:ilvl="0" w:tplc="0809000F">
      <w:start w:val="1"/>
      <w:numFmt w:val="decimal"/>
      <w:lvlText w:val="%1."/>
      <w:lvlJc w:val="left"/>
      <w:pPr>
        <w:ind w:left="720" w:hanging="360"/>
      </w:pPr>
      <w:rPr>
        <w:rFonts w:hint="default"/>
      </w:rPr>
    </w:lvl>
    <w:lvl w:ilvl="1" w:tplc="7D2C9B2E">
      <w:start w:val="1"/>
      <w:numFmt w:val="bullet"/>
      <w:lvlText w:val="-"/>
      <w:lvlJc w:val="left"/>
      <w:pPr>
        <w:ind w:left="1440" w:hanging="360"/>
      </w:pPr>
      <w:rPr>
        <w:rFonts w:ascii="Calibri" w:hAnsi="Calibri"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25526DA"/>
    <w:multiLevelType w:val="hybridMultilevel"/>
    <w:tmpl w:val="651A0112"/>
    <w:lvl w:ilvl="0" w:tplc="60AAB73E">
      <w:start w:val="3"/>
      <w:numFmt w:val="lowerLetter"/>
      <w:lvlText w:val="%1)"/>
      <w:lvlJc w:val="left"/>
      <w:pPr>
        <w:ind w:left="720" w:hanging="360"/>
      </w:pPr>
    </w:lvl>
    <w:lvl w:ilvl="1" w:tplc="490A51AA">
      <w:start w:val="1"/>
      <w:numFmt w:val="lowerLetter"/>
      <w:lvlText w:val="%2."/>
      <w:lvlJc w:val="left"/>
      <w:pPr>
        <w:ind w:left="1440" w:hanging="360"/>
      </w:pPr>
    </w:lvl>
    <w:lvl w:ilvl="2" w:tplc="5816BC02">
      <w:start w:val="1"/>
      <w:numFmt w:val="lowerRoman"/>
      <w:lvlText w:val="%3."/>
      <w:lvlJc w:val="right"/>
      <w:pPr>
        <w:ind w:left="2160" w:hanging="180"/>
      </w:pPr>
    </w:lvl>
    <w:lvl w:ilvl="3" w:tplc="10C4B478">
      <w:start w:val="1"/>
      <w:numFmt w:val="decimal"/>
      <w:lvlText w:val="%4."/>
      <w:lvlJc w:val="left"/>
      <w:pPr>
        <w:ind w:left="2880" w:hanging="360"/>
      </w:pPr>
    </w:lvl>
    <w:lvl w:ilvl="4" w:tplc="16B0E68A">
      <w:start w:val="1"/>
      <w:numFmt w:val="lowerLetter"/>
      <w:lvlText w:val="%5."/>
      <w:lvlJc w:val="left"/>
      <w:pPr>
        <w:ind w:left="3600" w:hanging="360"/>
      </w:pPr>
    </w:lvl>
    <w:lvl w:ilvl="5" w:tplc="00064588">
      <w:start w:val="1"/>
      <w:numFmt w:val="lowerRoman"/>
      <w:lvlText w:val="%6."/>
      <w:lvlJc w:val="right"/>
      <w:pPr>
        <w:ind w:left="4320" w:hanging="180"/>
      </w:pPr>
    </w:lvl>
    <w:lvl w:ilvl="6" w:tplc="C310C068">
      <w:start w:val="1"/>
      <w:numFmt w:val="decimal"/>
      <w:lvlText w:val="%7."/>
      <w:lvlJc w:val="left"/>
      <w:pPr>
        <w:ind w:left="5040" w:hanging="360"/>
      </w:pPr>
    </w:lvl>
    <w:lvl w:ilvl="7" w:tplc="E36057AA">
      <w:start w:val="1"/>
      <w:numFmt w:val="lowerLetter"/>
      <w:lvlText w:val="%8."/>
      <w:lvlJc w:val="left"/>
      <w:pPr>
        <w:ind w:left="5760" w:hanging="360"/>
      </w:pPr>
    </w:lvl>
    <w:lvl w:ilvl="8" w:tplc="6DA85050">
      <w:start w:val="1"/>
      <w:numFmt w:val="lowerRoman"/>
      <w:lvlText w:val="%9."/>
      <w:lvlJc w:val="right"/>
      <w:pPr>
        <w:ind w:left="6480" w:hanging="180"/>
      </w:pPr>
    </w:lvl>
  </w:abstractNum>
  <w:abstractNum w:abstractNumId="27" w15:restartNumberingAfterBreak="0">
    <w:nsid w:val="33057132"/>
    <w:multiLevelType w:val="hybridMultilevel"/>
    <w:tmpl w:val="F96EA6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66A2F1B"/>
    <w:multiLevelType w:val="multilevel"/>
    <w:tmpl w:val="A5D8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F6E567"/>
    <w:multiLevelType w:val="hybridMultilevel"/>
    <w:tmpl w:val="FFFFFFFF"/>
    <w:lvl w:ilvl="0" w:tplc="67F20CCC">
      <w:start w:val="1"/>
      <w:numFmt w:val="bullet"/>
      <w:lvlText w:val="-"/>
      <w:lvlJc w:val="left"/>
      <w:pPr>
        <w:ind w:left="720" w:hanging="360"/>
      </w:pPr>
      <w:rPr>
        <w:rFonts w:ascii="Calibri" w:hAnsi="Calibri" w:hint="default"/>
      </w:rPr>
    </w:lvl>
    <w:lvl w:ilvl="1" w:tplc="4C62CEAE">
      <w:start w:val="1"/>
      <w:numFmt w:val="bullet"/>
      <w:lvlText w:val="o"/>
      <w:lvlJc w:val="left"/>
      <w:pPr>
        <w:ind w:left="1440" w:hanging="360"/>
      </w:pPr>
      <w:rPr>
        <w:rFonts w:ascii="Courier New" w:hAnsi="Courier New" w:hint="default"/>
      </w:rPr>
    </w:lvl>
    <w:lvl w:ilvl="2" w:tplc="7F44B2D8">
      <w:start w:val="1"/>
      <w:numFmt w:val="bullet"/>
      <w:lvlText w:val=""/>
      <w:lvlJc w:val="left"/>
      <w:pPr>
        <w:ind w:left="2160" w:hanging="360"/>
      </w:pPr>
      <w:rPr>
        <w:rFonts w:ascii="Wingdings" w:hAnsi="Wingdings" w:hint="default"/>
      </w:rPr>
    </w:lvl>
    <w:lvl w:ilvl="3" w:tplc="74764BE0">
      <w:start w:val="1"/>
      <w:numFmt w:val="bullet"/>
      <w:lvlText w:val=""/>
      <w:lvlJc w:val="left"/>
      <w:pPr>
        <w:ind w:left="2880" w:hanging="360"/>
      </w:pPr>
      <w:rPr>
        <w:rFonts w:ascii="Symbol" w:hAnsi="Symbol" w:hint="default"/>
      </w:rPr>
    </w:lvl>
    <w:lvl w:ilvl="4" w:tplc="2864D184">
      <w:start w:val="1"/>
      <w:numFmt w:val="bullet"/>
      <w:lvlText w:val="o"/>
      <w:lvlJc w:val="left"/>
      <w:pPr>
        <w:ind w:left="3600" w:hanging="360"/>
      </w:pPr>
      <w:rPr>
        <w:rFonts w:ascii="Courier New" w:hAnsi="Courier New" w:hint="default"/>
      </w:rPr>
    </w:lvl>
    <w:lvl w:ilvl="5" w:tplc="61CA186E">
      <w:start w:val="1"/>
      <w:numFmt w:val="bullet"/>
      <w:lvlText w:val=""/>
      <w:lvlJc w:val="left"/>
      <w:pPr>
        <w:ind w:left="4320" w:hanging="360"/>
      </w:pPr>
      <w:rPr>
        <w:rFonts w:ascii="Wingdings" w:hAnsi="Wingdings" w:hint="default"/>
      </w:rPr>
    </w:lvl>
    <w:lvl w:ilvl="6" w:tplc="928A44D4">
      <w:start w:val="1"/>
      <w:numFmt w:val="bullet"/>
      <w:lvlText w:val=""/>
      <w:lvlJc w:val="left"/>
      <w:pPr>
        <w:ind w:left="5040" w:hanging="360"/>
      </w:pPr>
      <w:rPr>
        <w:rFonts w:ascii="Symbol" w:hAnsi="Symbol" w:hint="default"/>
      </w:rPr>
    </w:lvl>
    <w:lvl w:ilvl="7" w:tplc="EB30361C">
      <w:start w:val="1"/>
      <w:numFmt w:val="bullet"/>
      <w:lvlText w:val="o"/>
      <w:lvlJc w:val="left"/>
      <w:pPr>
        <w:ind w:left="5760" w:hanging="360"/>
      </w:pPr>
      <w:rPr>
        <w:rFonts w:ascii="Courier New" w:hAnsi="Courier New" w:hint="default"/>
      </w:rPr>
    </w:lvl>
    <w:lvl w:ilvl="8" w:tplc="606A2094">
      <w:start w:val="1"/>
      <w:numFmt w:val="bullet"/>
      <w:lvlText w:val=""/>
      <w:lvlJc w:val="left"/>
      <w:pPr>
        <w:ind w:left="6480" w:hanging="360"/>
      </w:pPr>
      <w:rPr>
        <w:rFonts w:ascii="Wingdings" w:hAnsi="Wingdings" w:hint="default"/>
      </w:rPr>
    </w:lvl>
  </w:abstractNum>
  <w:abstractNum w:abstractNumId="30" w15:restartNumberingAfterBreak="0">
    <w:nsid w:val="47825026"/>
    <w:multiLevelType w:val="hybridMultilevel"/>
    <w:tmpl w:val="3F24D522"/>
    <w:lvl w:ilvl="0" w:tplc="05F8718A">
      <w:start w:val="2"/>
      <w:numFmt w:val="lowerLetter"/>
      <w:lvlText w:val="%1)"/>
      <w:lvlJc w:val="left"/>
      <w:pPr>
        <w:ind w:left="720" w:hanging="360"/>
      </w:pPr>
    </w:lvl>
    <w:lvl w:ilvl="1" w:tplc="20AA7618">
      <w:start w:val="1"/>
      <w:numFmt w:val="lowerLetter"/>
      <w:lvlText w:val="%2."/>
      <w:lvlJc w:val="left"/>
      <w:pPr>
        <w:ind w:left="1440" w:hanging="360"/>
      </w:pPr>
    </w:lvl>
    <w:lvl w:ilvl="2" w:tplc="08E20762">
      <w:start w:val="1"/>
      <w:numFmt w:val="lowerRoman"/>
      <w:lvlText w:val="%3."/>
      <w:lvlJc w:val="right"/>
      <w:pPr>
        <w:ind w:left="2160" w:hanging="180"/>
      </w:pPr>
    </w:lvl>
    <w:lvl w:ilvl="3" w:tplc="BC129F82">
      <w:start w:val="1"/>
      <w:numFmt w:val="decimal"/>
      <w:lvlText w:val="%4."/>
      <w:lvlJc w:val="left"/>
      <w:pPr>
        <w:ind w:left="2880" w:hanging="360"/>
      </w:pPr>
    </w:lvl>
    <w:lvl w:ilvl="4" w:tplc="C37E40BC">
      <w:start w:val="1"/>
      <w:numFmt w:val="lowerLetter"/>
      <w:lvlText w:val="%5."/>
      <w:lvlJc w:val="left"/>
      <w:pPr>
        <w:ind w:left="3600" w:hanging="360"/>
      </w:pPr>
    </w:lvl>
    <w:lvl w:ilvl="5" w:tplc="C994E5B8">
      <w:start w:val="1"/>
      <w:numFmt w:val="lowerRoman"/>
      <w:lvlText w:val="%6."/>
      <w:lvlJc w:val="right"/>
      <w:pPr>
        <w:ind w:left="4320" w:hanging="180"/>
      </w:pPr>
    </w:lvl>
    <w:lvl w:ilvl="6" w:tplc="41E2D6AA">
      <w:start w:val="1"/>
      <w:numFmt w:val="decimal"/>
      <w:lvlText w:val="%7."/>
      <w:lvlJc w:val="left"/>
      <w:pPr>
        <w:ind w:left="5040" w:hanging="360"/>
      </w:pPr>
    </w:lvl>
    <w:lvl w:ilvl="7" w:tplc="E530E79E">
      <w:start w:val="1"/>
      <w:numFmt w:val="lowerLetter"/>
      <w:lvlText w:val="%8."/>
      <w:lvlJc w:val="left"/>
      <w:pPr>
        <w:ind w:left="5760" w:hanging="360"/>
      </w:pPr>
    </w:lvl>
    <w:lvl w:ilvl="8" w:tplc="5CEAF6FC">
      <w:start w:val="1"/>
      <w:numFmt w:val="lowerRoman"/>
      <w:lvlText w:val="%9."/>
      <w:lvlJc w:val="right"/>
      <w:pPr>
        <w:ind w:left="6480" w:hanging="180"/>
      </w:pPr>
    </w:lvl>
  </w:abstractNum>
  <w:abstractNum w:abstractNumId="31" w15:restartNumberingAfterBreak="0">
    <w:nsid w:val="4A572780"/>
    <w:multiLevelType w:val="hybridMultilevel"/>
    <w:tmpl w:val="F96EA6D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D5F78AB"/>
    <w:multiLevelType w:val="multilevel"/>
    <w:tmpl w:val="FBEA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7F14F2"/>
    <w:multiLevelType w:val="multilevel"/>
    <w:tmpl w:val="8960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61A828"/>
    <w:multiLevelType w:val="hybridMultilevel"/>
    <w:tmpl w:val="743813BA"/>
    <w:lvl w:ilvl="0" w:tplc="3C747E2E">
      <w:start w:val="1"/>
      <w:numFmt w:val="lowerLetter"/>
      <w:lvlText w:val="%1)"/>
      <w:lvlJc w:val="left"/>
      <w:pPr>
        <w:ind w:left="720" w:hanging="360"/>
      </w:pPr>
    </w:lvl>
    <w:lvl w:ilvl="1" w:tplc="40FA3B2E">
      <w:start w:val="1"/>
      <w:numFmt w:val="lowerLetter"/>
      <w:lvlText w:val="%2."/>
      <w:lvlJc w:val="left"/>
      <w:pPr>
        <w:ind w:left="1440" w:hanging="360"/>
      </w:pPr>
    </w:lvl>
    <w:lvl w:ilvl="2" w:tplc="B6009CE0">
      <w:start w:val="1"/>
      <w:numFmt w:val="lowerRoman"/>
      <w:lvlText w:val="%3."/>
      <w:lvlJc w:val="right"/>
      <w:pPr>
        <w:ind w:left="2160" w:hanging="180"/>
      </w:pPr>
    </w:lvl>
    <w:lvl w:ilvl="3" w:tplc="E640E254">
      <w:start w:val="1"/>
      <w:numFmt w:val="decimal"/>
      <w:lvlText w:val="%4."/>
      <w:lvlJc w:val="left"/>
      <w:pPr>
        <w:ind w:left="2880" w:hanging="360"/>
      </w:pPr>
    </w:lvl>
    <w:lvl w:ilvl="4" w:tplc="5818202A">
      <w:start w:val="1"/>
      <w:numFmt w:val="lowerLetter"/>
      <w:lvlText w:val="%5."/>
      <w:lvlJc w:val="left"/>
      <w:pPr>
        <w:ind w:left="3600" w:hanging="360"/>
      </w:pPr>
    </w:lvl>
    <w:lvl w:ilvl="5" w:tplc="495A6FDA">
      <w:start w:val="1"/>
      <w:numFmt w:val="lowerRoman"/>
      <w:lvlText w:val="%6."/>
      <w:lvlJc w:val="right"/>
      <w:pPr>
        <w:ind w:left="4320" w:hanging="180"/>
      </w:pPr>
    </w:lvl>
    <w:lvl w:ilvl="6" w:tplc="89340DD4">
      <w:start w:val="1"/>
      <w:numFmt w:val="decimal"/>
      <w:lvlText w:val="%7."/>
      <w:lvlJc w:val="left"/>
      <w:pPr>
        <w:ind w:left="5040" w:hanging="360"/>
      </w:pPr>
    </w:lvl>
    <w:lvl w:ilvl="7" w:tplc="EE0281A8">
      <w:start w:val="1"/>
      <w:numFmt w:val="lowerLetter"/>
      <w:lvlText w:val="%8."/>
      <w:lvlJc w:val="left"/>
      <w:pPr>
        <w:ind w:left="5760" w:hanging="360"/>
      </w:pPr>
    </w:lvl>
    <w:lvl w:ilvl="8" w:tplc="6922DBB0">
      <w:start w:val="1"/>
      <w:numFmt w:val="lowerRoman"/>
      <w:lvlText w:val="%9."/>
      <w:lvlJc w:val="right"/>
      <w:pPr>
        <w:ind w:left="6480" w:hanging="180"/>
      </w:pPr>
    </w:lvl>
  </w:abstractNum>
  <w:abstractNum w:abstractNumId="35" w15:restartNumberingAfterBreak="0">
    <w:nsid w:val="4F78FDC3"/>
    <w:multiLevelType w:val="hybridMultilevel"/>
    <w:tmpl w:val="FFFFFFFF"/>
    <w:lvl w:ilvl="0" w:tplc="DE7CC298">
      <w:start w:val="1"/>
      <w:numFmt w:val="bullet"/>
      <w:lvlText w:val="-"/>
      <w:lvlJc w:val="left"/>
      <w:pPr>
        <w:ind w:left="720" w:hanging="360"/>
      </w:pPr>
      <w:rPr>
        <w:rFonts w:ascii="Calibri" w:hAnsi="Calibri" w:hint="default"/>
      </w:rPr>
    </w:lvl>
    <w:lvl w:ilvl="1" w:tplc="E57C664C">
      <w:start w:val="1"/>
      <w:numFmt w:val="bullet"/>
      <w:lvlText w:val="o"/>
      <w:lvlJc w:val="left"/>
      <w:pPr>
        <w:ind w:left="1440" w:hanging="360"/>
      </w:pPr>
      <w:rPr>
        <w:rFonts w:ascii="Courier New" w:hAnsi="Courier New" w:hint="default"/>
      </w:rPr>
    </w:lvl>
    <w:lvl w:ilvl="2" w:tplc="04EC1E4A">
      <w:start w:val="1"/>
      <w:numFmt w:val="bullet"/>
      <w:lvlText w:val=""/>
      <w:lvlJc w:val="left"/>
      <w:pPr>
        <w:ind w:left="2160" w:hanging="360"/>
      </w:pPr>
      <w:rPr>
        <w:rFonts w:ascii="Wingdings" w:hAnsi="Wingdings" w:hint="default"/>
      </w:rPr>
    </w:lvl>
    <w:lvl w:ilvl="3" w:tplc="46C07F88">
      <w:start w:val="1"/>
      <w:numFmt w:val="bullet"/>
      <w:lvlText w:val=""/>
      <w:lvlJc w:val="left"/>
      <w:pPr>
        <w:ind w:left="2880" w:hanging="360"/>
      </w:pPr>
      <w:rPr>
        <w:rFonts w:ascii="Symbol" w:hAnsi="Symbol" w:hint="default"/>
      </w:rPr>
    </w:lvl>
    <w:lvl w:ilvl="4" w:tplc="1652C3BC">
      <w:start w:val="1"/>
      <w:numFmt w:val="bullet"/>
      <w:lvlText w:val="o"/>
      <w:lvlJc w:val="left"/>
      <w:pPr>
        <w:ind w:left="3600" w:hanging="360"/>
      </w:pPr>
      <w:rPr>
        <w:rFonts w:ascii="Courier New" w:hAnsi="Courier New" w:hint="default"/>
      </w:rPr>
    </w:lvl>
    <w:lvl w:ilvl="5" w:tplc="7472A056">
      <w:start w:val="1"/>
      <w:numFmt w:val="bullet"/>
      <w:lvlText w:val=""/>
      <w:lvlJc w:val="left"/>
      <w:pPr>
        <w:ind w:left="4320" w:hanging="360"/>
      </w:pPr>
      <w:rPr>
        <w:rFonts w:ascii="Wingdings" w:hAnsi="Wingdings" w:hint="default"/>
      </w:rPr>
    </w:lvl>
    <w:lvl w:ilvl="6" w:tplc="7804B110">
      <w:start w:val="1"/>
      <w:numFmt w:val="bullet"/>
      <w:lvlText w:val=""/>
      <w:lvlJc w:val="left"/>
      <w:pPr>
        <w:ind w:left="5040" w:hanging="360"/>
      </w:pPr>
      <w:rPr>
        <w:rFonts w:ascii="Symbol" w:hAnsi="Symbol" w:hint="default"/>
      </w:rPr>
    </w:lvl>
    <w:lvl w:ilvl="7" w:tplc="411E9DD8">
      <w:start w:val="1"/>
      <w:numFmt w:val="bullet"/>
      <w:lvlText w:val="o"/>
      <w:lvlJc w:val="left"/>
      <w:pPr>
        <w:ind w:left="5760" w:hanging="360"/>
      </w:pPr>
      <w:rPr>
        <w:rFonts w:ascii="Courier New" w:hAnsi="Courier New" w:hint="default"/>
      </w:rPr>
    </w:lvl>
    <w:lvl w:ilvl="8" w:tplc="00E23422">
      <w:start w:val="1"/>
      <w:numFmt w:val="bullet"/>
      <w:lvlText w:val=""/>
      <w:lvlJc w:val="left"/>
      <w:pPr>
        <w:ind w:left="6480" w:hanging="360"/>
      </w:pPr>
      <w:rPr>
        <w:rFonts w:ascii="Wingdings" w:hAnsi="Wingdings" w:hint="default"/>
      </w:rPr>
    </w:lvl>
  </w:abstractNum>
  <w:abstractNum w:abstractNumId="36" w15:restartNumberingAfterBreak="0">
    <w:nsid w:val="4FE3DC0E"/>
    <w:multiLevelType w:val="hybridMultilevel"/>
    <w:tmpl w:val="0AEEA338"/>
    <w:lvl w:ilvl="0" w:tplc="1618127C">
      <w:start w:val="2"/>
      <w:numFmt w:val="lowerLetter"/>
      <w:lvlText w:val="%1)"/>
      <w:lvlJc w:val="left"/>
      <w:pPr>
        <w:ind w:left="720" w:hanging="360"/>
      </w:pPr>
    </w:lvl>
    <w:lvl w:ilvl="1" w:tplc="96581976">
      <w:start w:val="1"/>
      <w:numFmt w:val="lowerLetter"/>
      <w:lvlText w:val="%2."/>
      <w:lvlJc w:val="left"/>
      <w:pPr>
        <w:ind w:left="1440" w:hanging="360"/>
      </w:pPr>
    </w:lvl>
    <w:lvl w:ilvl="2" w:tplc="3BA0D3AE">
      <w:start w:val="1"/>
      <w:numFmt w:val="lowerRoman"/>
      <w:lvlText w:val="%3."/>
      <w:lvlJc w:val="right"/>
      <w:pPr>
        <w:ind w:left="2160" w:hanging="180"/>
      </w:pPr>
    </w:lvl>
    <w:lvl w:ilvl="3" w:tplc="79E00444">
      <w:start w:val="1"/>
      <w:numFmt w:val="decimal"/>
      <w:lvlText w:val="%4."/>
      <w:lvlJc w:val="left"/>
      <w:pPr>
        <w:ind w:left="2880" w:hanging="360"/>
      </w:pPr>
    </w:lvl>
    <w:lvl w:ilvl="4" w:tplc="DE6EE6C4">
      <w:start w:val="1"/>
      <w:numFmt w:val="lowerLetter"/>
      <w:lvlText w:val="%5."/>
      <w:lvlJc w:val="left"/>
      <w:pPr>
        <w:ind w:left="3600" w:hanging="360"/>
      </w:pPr>
    </w:lvl>
    <w:lvl w:ilvl="5" w:tplc="A318562E">
      <w:start w:val="1"/>
      <w:numFmt w:val="lowerRoman"/>
      <w:lvlText w:val="%6."/>
      <w:lvlJc w:val="right"/>
      <w:pPr>
        <w:ind w:left="4320" w:hanging="180"/>
      </w:pPr>
    </w:lvl>
    <w:lvl w:ilvl="6" w:tplc="B4DE27F4">
      <w:start w:val="1"/>
      <w:numFmt w:val="decimal"/>
      <w:lvlText w:val="%7."/>
      <w:lvlJc w:val="left"/>
      <w:pPr>
        <w:ind w:left="5040" w:hanging="360"/>
      </w:pPr>
    </w:lvl>
    <w:lvl w:ilvl="7" w:tplc="00308AF6">
      <w:start w:val="1"/>
      <w:numFmt w:val="lowerLetter"/>
      <w:lvlText w:val="%8."/>
      <w:lvlJc w:val="left"/>
      <w:pPr>
        <w:ind w:left="5760" w:hanging="360"/>
      </w:pPr>
    </w:lvl>
    <w:lvl w:ilvl="8" w:tplc="74CE8796">
      <w:start w:val="1"/>
      <w:numFmt w:val="lowerRoman"/>
      <w:lvlText w:val="%9."/>
      <w:lvlJc w:val="right"/>
      <w:pPr>
        <w:ind w:left="6480" w:hanging="180"/>
      </w:pPr>
    </w:lvl>
  </w:abstractNum>
  <w:abstractNum w:abstractNumId="37" w15:restartNumberingAfterBreak="0">
    <w:nsid w:val="53A4553C"/>
    <w:multiLevelType w:val="hybridMultilevel"/>
    <w:tmpl w:val="B41C20D0"/>
    <w:lvl w:ilvl="0" w:tplc="2F367B06">
      <w:start w:val="2"/>
      <w:numFmt w:val="lowerLetter"/>
      <w:lvlText w:val="%1)"/>
      <w:lvlJc w:val="left"/>
      <w:pPr>
        <w:ind w:left="720" w:hanging="360"/>
      </w:pPr>
    </w:lvl>
    <w:lvl w:ilvl="1" w:tplc="0BFC0A60">
      <w:start w:val="1"/>
      <w:numFmt w:val="lowerLetter"/>
      <w:lvlText w:val="%2."/>
      <w:lvlJc w:val="left"/>
      <w:pPr>
        <w:ind w:left="1440" w:hanging="360"/>
      </w:pPr>
    </w:lvl>
    <w:lvl w:ilvl="2" w:tplc="6C86AA70">
      <w:start w:val="1"/>
      <w:numFmt w:val="lowerRoman"/>
      <w:lvlText w:val="%3."/>
      <w:lvlJc w:val="right"/>
      <w:pPr>
        <w:ind w:left="2160" w:hanging="180"/>
      </w:pPr>
    </w:lvl>
    <w:lvl w:ilvl="3" w:tplc="2DFC8968">
      <w:start w:val="1"/>
      <w:numFmt w:val="decimal"/>
      <w:lvlText w:val="%4."/>
      <w:lvlJc w:val="left"/>
      <w:pPr>
        <w:ind w:left="2880" w:hanging="360"/>
      </w:pPr>
    </w:lvl>
    <w:lvl w:ilvl="4" w:tplc="CBE82F0E">
      <w:start w:val="1"/>
      <w:numFmt w:val="lowerLetter"/>
      <w:lvlText w:val="%5."/>
      <w:lvlJc w:val="left"/>
      <w:pPr>
        <w:ind w:left="3600" w:hanging="360"/>
      </w:pPr>
    </w:lvl>
    <w:lvl w:ilvl="5" w:tplc="84682B68">
      <w:start w:val="1"/>
      <w:numFmt w:val="lowerRoman"/>
      <w:lvlText w:val="%6."/>
      <w:lvlJc w:val="right"/>
      <w:pPr>
        <w:ind w:left="4320" w:hanging="180"/>
      </w:pPr>
    </w:lvl>
    <w:lvl w:ilvl="6" w:tplc="8E22403A">
      <w:start w:val="1"/>
      <w:numFmt w:val="decimal"/>
      <w:lvlText w:val="%7."/>
      <w:lvlJc w:val="left"/>
      <w:pPr>
        <w:ind w:left="5040" w:hanging="360"/>
      </w:pPr>
    </w:lvl>
    <w:lvl w:ilvl="7" w:tplc="5F5CD584">
      <w:start w:val="1"/>
      <w:numFmt w:val="lowerLetter"/>
      <w:lvlText w:val="%8."/>
      <w:lvlJc w:val="left"/>
      <w:pPr>
        <w:ind w:left="5760" w:hanging="360"/>
      </w:pPr>
    </w:lvl>
    <w:lvl w:ilvl="8" w:tplc="ACBAFA8E">
      <w:start w:val="1"/>
      <w:numFmt w:val="lowerRoman"/>
      <w:lvlText w:val="%9."/>
      <w:lvlJc w:val="right"/>
      <w:pPr>
        <w:ind w:left="6480" w:hanging="180"/>
      </w:pPr>
    </w:lvl>
  </w:abstractNum>
  <w:abstractNum w:abstractNumId="38" w15:restartNumberingAfterBreak="0">
    <w:nsid w:val="53F07383"/>
    <w:multiLevelType w:val="hybridMultilevel"/>
    <w:tmpl w:val="021A122C"/>
    <w:lvl w:ilvl="0" w:tplc="672686B6">
      <w:start w:val="1"/>
      <w:numFmt w:val="lowerLetter"/>
      <w:lvlText w:val="%1)"/>
      <w:lvlJc w:val="left"/>
      <w:pPr>
        <w:ind w:left="720" w:hanging="360"/>
      </w:pPr>
    </w:lvl>
    <w:lvl w:ilvl="1" w:tplc="78BAF742">
      <w:start w:val="1"/>
      <w:numFmt w:val="lowerLetter"/>
      <w:lvlText w:val="%2."/>
      <w:lvlJc w:val="left"/>
      <w:pPr>
        <w:ind w:left="1440" w:hanging="360"/>
      </w:pPr>
    </w:lvl>
    <w:lvl w:ilvl="2" w:tplc="47A0359E">
      <w:start w:val="1"/>
      <w:numFmt w:val="lowerRoman"/>
      <w:lvlText w:val="%3."/>
      <w:lvlJc w:val="right"/>
      <w:pPr>
        <w:ind w:left="2160" w:hanging="180"/>
      </w:pPr>
    </w:lvl>
    <w:lvl w:ilvl="3" w:tplc="5E845B30">
      <w:start w:val="1"/>
      <w:numFmt w:val="decimal"/>
      <w:lvlText w:val="%4."/>
      <w:lvlJc w:val="left"/>
      <w:pPr>
        <w:ind w:left="2880" w:hanging="360"/>
      </w:pPr>
    </w:lvl>
    <w:lvl w:ilvl="4" w:tplc="D6EA6C5A">
      <w:start w:val="1"/>
      <w:numFmt w:val="lowerLetter"/>
      <w:lvlText w:val="%5."/>
      <w:lvlJc w:val="left"/>
      <w:pPr>
        <w:ind w:left="3600" w:hanging="360"/>
      </w:pPr>
    </w:lvl>
    <w:lvl w:ilvl="5" w:tplc="518A6D24">
      <w:start w:val="1"/>
      <w:numFmt w:val="lowerRoman"/>
      <w:lvlText w:val="%6."/>
      <w:lvlJc w:val="right"/>
      <w:pPr>
        <w:ind w:left="4320" w:hanging="180"/>
      </w:pPr>
    </w:lvl>
    <w:lvl w:ilvl="6" w:tplc="648809CC">
      <w:start w:val="1"/>
      <w:numFmt w:val="decimal"/>
      <w:lvlText w:val="%7."/>
      <w:lvlJc w:val="left"/>
      <w:pPr>
        <w:ind w:left="5040" w:hanging="360"/>
      </w:pPr>
    </w:lvl>
    <w:lvl w:ilvl="7" w:tplc="59A6BE98">
      <w:start w:val="1"/>
      <w:numFmt w:val="lowerLetter"/>
      <w:lvlText w:val="%8."/>
      <w:lvlJc w:val="left"/>
      <w:pPr>
        <w:ind w:left="5760" w:hanging="360"/>
      </w:pPr>
    </w:lvl>
    <w:lvl w:ilvl="8" w:tplc="7E504B78">
      <w:start w:val="1"/>
      <w:numFmt w:val="lowerRoman"/>
      <w:lvlText w:val="%9."/>
      <w:lvlJc w:val="right"/>
      <w:pPr>
        <w:ind w:left="6480" w:hanging="180"/>
      </w:pPr>
    </w:lvl>
  </w:abstractNum>
  <w:abstractNum w:abstractNumId="39" w15:restartNumberingAfterBreak="0">
    <w:nsid w:val="57DB394B"/>
    <w:multiLevelType w:val="multilevel"/>
    <w:tmpl w:val="6B68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E50B4F"/>
    <w:multiLevelType w:val="hybridMultilevel"/>
    <w:tmpl w:val="DCB834CC"/>
    <w:lvl w:ilvl="0" w:tplc="FB84ACD6">
      <w:start w:val="5"/>
      <w:numFmt w:val="lowerLetter"/>
      <w:lvlText w:val="%1)"/>
      <w:lvlJc w:val="left"/>
      <w:pPr>
        <w:ind w:left="720" w:hanging="360"/>
      </w:pPr>
    </w:lvl>
    <w:lvl w:ilvl="1" w:tplc="3000D9E8">
      <w:start w:val="1"/>
      <w:numFmt w:val="lowerLetter"/>
      <w:lvlText w:val="%2."/>
      <w:lvlJc w:val="left"/>
      <w:pPr>
        <w:ind w:left="1440" w:hanging="360"/>
      </w:pPr>
    </w:lvl>
    <w:lvl w:ilvl="2" w:tplc="57085944">
      <w:start w:val="1"/>
      <w:numFmt w:val="lowerRoman"/>
      <w:lvlText w:val="%3."/>
      <w:lvlJc w:val="right"/>
      <w:pPr>
        <w:ind w:left="2160" w:hanging="180"/>
      </w:pPr>
    </w:lvl>
    <w:lvl w:ilvl="3" w:tplc="07A47110">
      <w:start w:val="1"/>
      <w:numFmt w:val="decimal"/>
      <w:lvlText w:val="%4."/>
      <w:lvlJc w:val="left"/>
      <w:pPr>
        <w:ind w:left="2880" w:hanging="360"/>
      </w:pPr>
    </w:lvl>
    <w:lvl w:ilvl="4" w:tplc="D7ECFCA6">
      <w:start w:val="1"/>
      <w:numFmt w:val="lowerLetter"/>
      <w:lvlText w:val="%5."/>
      <w:lvlJc w:val="left"/>
      <w:pPr>
        <w:ind w:left="3600" w:hanging="360"/>
      </w:pPr>
    </w:lvl>
    <w:lvl w:ilvl="5" w:tplc="FC6EAB5A">
      <w:start w:val="1"/>
      <w:numFmt w:val="lowerRoman"/>
      <w:lvlText w:val="%6."/>
      <w:lvlJc w:val="right"/>
      <w:pPr>
        <w:ind w:left="4320" w:hanging="180"/>
      </w:pPr>
    </w:lvl>
    <w:lvl w:ilvl="6" w:tplc="0C264BBA">
      <w:start w:val="1"/>
      <w:numFmt w:val="decimal"/>
      <w:lvlText w:val="%7."/>
      <w:lvlJc w:val="left"/>
      <w:pPr>
        <w:ind w:left="5040" w:hanging="360"/>
      </w:pPr>
    </w:lvl>
    <w:lvl w:ilvl="7" w:tplc="B2DC566C">
      <w:start w:val="1"/>
      <w:numFmt w:val="lowerLetter"/>
      <w:lvlText w:val="%8."/>
      <w:lvlJc w:val="left"/>
      <w:pPr>
        <w:ind w:left="5760" w:hanging="360"/>
      </w:pPr>
    </w:lvl>
    <w:lvl w:ilvl="8" w:tplc="FD14853A">
      <w:start w:val="1"/>
      <w:numFmt w:val="lowerRoman"/>
      <w:lvlText w:val="%9."/>
      <w:lvlJc w:val="right"/>
      <w:pPr>
        <w:ind w:left="6480" w:hanging="180"/>
      </w:pPr>
    </w:lvl>
  </w:abstractNum>
  <w:abstractNum w:abstractNumId="41" w15:restartNumberingAfterBreak="0">
    <w:nsid w:val="5ABD3BBF"/>
    <w:multiLevelType w:val="multilevel"/>
    <w:tmpl w:val="89EE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810946"/>
    <w:multiLevelType w:val="hybridMultilevel"/>
    <w:tmpl w:val="32041558"/>
    <w:lvl w:ilvl="0" w:tplc="56742006">
      <w:start w:val="3"/>
      <w:numFmt w:val="lowerLetter"/>
      <w:lvlText w:val="%1)"/>
      <w:lvlJc w:val="left"/>
      <w:pPr>
        <w:ind w:left="720" w:hanging="360"/>
      </w:pPr>
    </w:lvl>
    <w:lvl w:ilvl="1" w:tplc="CEAADE0A">
      <w:start w:val="1"/>
      <w:numFmt w:val="lowerLetter"/>
      <w:lvlText w:val="%2."/>
      <w:lvlJc w:val="left"/>
      <w:pPr>
        <w:ind w:left="1440" w:hanging="360"/>
      </w:pPr>
    </w:lvl>
    <w:lvl w:ilvl="2" w:tplc="BAA4B556">
      <w:start w:val="1"/>
      <w:numFmt w:val="lowerRoman"/>
      <w:lvlText w:val="%3."/>
      <w:lvlJc w:val="right"/>
      <w:pPr>
        <w:ind w:left="2160" w:hanging="180"/>
      </w:pPr>
    </w:lvl>
    <w:lvl w:ilvl="3" w:tplc="1A0ECD42">
      <w:start w:val="1"/>
      <w:numFmt w:val="decimal"/>
      <w:lvlText w:val="%4."/>
      <w:lvlJc w:val="left"/>
      <w:pPr>
        <w:ind w:left="2880" w:hanging="360"/>
      </w:pPr>
    </w:lvl>
    <w:lvl w:ilvl="4" w:tplc="DDD4B89A">
      <w:start w:val="1"/>
      <w:numFmt w:val="lowerLetter"/>
      <w:lvlText w:val="%5."/>
      <w:lvlJc w:val="left"/>
      <w:pPr>
        <w:ind w:left="3600" w:hanging="360"/>
      </w:pPr>
    </w:lvl>
    <w:lvl w:ilvl="5" w:tplc="98825184">
      <w:start w:val="1"/>
      <w:numFmt w:val="lowerRoman"/>
      <w:lvlText w:val="%6."/>
      <w:lvlJc w:val="right"/>
      <w:pPr>
        <w:ind w:left="4320" w:hanging="180"/>
      </w:pPr>
    </w:lvl>
    <w:lvl w:ilvl="6" w:tplc="919210B0">
      <w:start w:val="1"/>
      <w:numFmt w:val="decimal"/>
      <w:lvlText w:val="%7."/>
      <w:lvlJc w:val="left"/>
      <w:pPr>
        <w:ind w:left="5040" w:hanging="360"/>
      </w:pPr>
    </w:lvl>
    <w:lvl w:ilvl="7" w:tplc="B184BD30">
      <w:start w:val="1"/>
      <w:numFmt w:val="lowerLetter"/>
      <w:lvlText w:val="%8."/>
      <w:lvlJc w:val="left"/>
      <w:pPr>
        <w:ind w:left="5760" w:hanging="360"/>
      </w:pPr>
    </w:lvl>
    <w:lvl w:ilvl="8" w:tplc="6CF209E8">
      <w:start w:val="1"/>
      <w:numFmt w:val="lowerRoman"/>
      <w:lvlText w:val="%9."/>
      <w:lvlJc w:val="right"/>
      <w:pPr>
        <w:ind w:left="6480" w:hanging="180"/>
      </w:pPr>
    </w:lvl>
  </w:abstractNum>
  <w:abstractNum w:abstractNumId="43" w15:restartNumberingAfterBreak="0">
    <w:nsid w:val="64110D62"/>
    <w:multiLevelType w:val="hybridMultilevel"/>
    <w:tmpl w:val="F118BCCA"/>
    <w:lvl w:ilvl="0" w:tplc="44B412D6">
      <w:start w:val="1"/>
      <w:numFmt w:val="lowerLetter"/>
      <w:lvlText w:val="%1)"/>
      <w:lvlJc w:val="left"/>
      <w:pPr>
        <w:ind w:left="720" w:hanging="360"/>
      </w:pPr>
    </w:lvl>
    <w:lvl w:ilvl="1" w:tplc="E87688D4">
      <w:start w:val="1"/>
      <w:numFmt w:val="lowerLetter"/>
      <w:lvlText w:val="%2."/>
      <w:lvlJc w:val="left"/>
      <w:pPr>
        <w:ind w:left="1440" w:hanging="360"/>
      </w:pPr>
    </w:lvl>
    <w:lvl w:ilvl="2" w:tplc="8C8AFDD6">
      <w:start w:val="1"/>
      <w:numFmt w:val="lowerRoman"/>
      <w:lvlText w:val="%3."/>
      <w:lvlJc w:val="right"/>
      <w:pPr>
        <w:ind w:left="2160" w:hanging="180"/>
      </w:pPr>
    </w:lvl>
    <w:lvl w:ilvl="3" w:tplc="A3E86544">
      <w:start w:val="1"/>
      <w:numFmt w:val="decimal"/>
      <w:lvlText w:val="%4."/>
      <w:lvlJc w:val="left"/>
      <w:pPr>
        <w:ind w:left="2880" w:hanging="360"/>
      </w:pPr>
    </w:lvl>
    <w:lvl w:ilvl="4" w:tplc="76B2054C">
      <w:start w:val="1"/>
      <w:numFmt w:val="lowerLetter"/>
      <w:lvlText w:val="%5."/>
      <w:lvlJc w:val="left"/>
      <w:pPr>
        <w:ind w:left="3600" w:hanging="360"/>
      </w:pPr>
    </w:lvl>
    <w:lvl w:ilvl="5" w:tplc="919C81AC">
      <w:start w:val="1"/>
      <w:numFmt w:val="lowerRoman"/>
      <w:lvlText w:val="%6."/>
      <w:lvlJc w:val="right"/>
      <w:pPr>
        <w:ind w:left="4320" w:hanging="180"/>
      </w:pPr>
    </w:lvl>
    <w:lvl w:ilvl="6" w:tplc="08BED6DE">
      <w:start w:val="1"/>
      <w:numFmt w:val="decimal"/>
      <w:lvlText w:val="%7."/>
      <w:lvlJc w:val="left"/>
      <w:pPr>
        <w:ind w:left="5040" w:hanging="360"/>
      </w:pPr>
    </w:lvl>
    <w:lvl w:ilvl="7" w:tplc="B1467DA2">
      <w:start w:val="1"/>
      <w:numFmt w:val="lowerLetter"/>
      <w:lvlText w:val="%8."/>
      <w:lvlJc w:val="left"/>
      <w:pPr>
        <w:ind w:left="5760" w:hanging="360"/>
      </w:pPr>
    </w:lvl>
    <w:lvl w:ilvl="8" w:tplc="3BCED5E8">
      <w:start w:val="1"/>
      <w:numFmt w:val="lowerRoman"/>
      <w:lvlText w:val="%9."/>
      <w:lvlJc w:val="right"/>
      <w:pPr>
        <w:ind w:left="6480" w:hanging="180"/>
      </w:pPr>
    </w:lvl>
  </w:abstractNum>
  <w:abstractNum w:abstractNumId="44" w15:restartNumberingAfterBreak="0">
    <w:nsid w:val="64B109FF"/>
    <w:multiLevelType w:val="hybridMultilevel"/>
    <w:tmpl w:val="80748764"/>
    <w:lvl w:ilvl="0" w:tplc="A44A15D0">
      <w:start w:val="2"/>
      <w:numFmt w:val="lowerLetter"/>
      <w:lvlText w:val="%1)"/>
      <w:lvlJc w:val="left"/>
      <w:pPr>
        <w:ind w:left="720" w:hanging="360"/>
      </w:pPr>
    </w:lvl>
    <w:lvl w:ilvl="1" w:tplc="138C5F20">
      <w:start w:val="1"/>
      <w:numFmt w:val="lowerLetter"/>
      <w:lvlText w:val="%2."/>
      <w:lvlJc w:val="left"/>
      <w:pPr>
        <w:ind w:left="1440" w:hanging="360"/>
      </w:pPr>
    </w:lvl>
    <w:lvl w:ilvl="2" w:tplc="DBE0B176">
      <w:start w:val="1"/>
      <w:numFmt w:val="lowerRoman"/>
      <w:lvlText w:val="%3."/>
      <w:lvlJc w:val="right"/>
      <w:pPr>
        <w:ind w:left="2160" w:hanging="180"/>
      </w:pPr>
    </w:lvl>
    <w:lvl w:ilvl="3" w:tplc="72489842">
      <w:start w:val="1"/>
      <w:numFmt w:val="decimal"/>
      <w:lvlText w:val="%4."/>
      <w:lvlJc w:val="left"/>
      <w:pPr>
        <w:ind w:left="2880" w:hanging="360"/>
      </w:pPr>
    </w:lvl>
    <w:lvl w:ilvl="4" w:tplc="8698F00E">
      <w:start w:val="1"/>
      <w:numFmt w:val="lowerLetter"/>
      <w:lvlText w:val="%5."/>
      <w:lvlJc w:val="left"/>
      <w:pPr>
        <w:ind w:left="3600" w:hanging="360"/>
      </w:pPr>
    </w:lvl>
    <w:lvl w:ilvl="5" w:tplc="D968F936">
      <w:start w:val="1"/>
      <w:numFmt w:val="lowerRoman"/>
      <w:lvlText w:val="%6."/>
      <w:lvlJc w:val="right"/>
      <w:pPr>
        <w:ind w:left="4320" w:hanging="180"/>
      </w:pPr>
    </w:lvl>
    <w:lvl w:ilvl="6" w:tplc="4F46A79A">
      <w:start w:val="1"/>
      <w:numFmt w:val="decimal"/>
      <w:lvlText w:val="%7."/>
      <w:lvlJc w:val="left"/>
      <w:pPr>
        <w:ind w:left="5040" w:hanging="360"/>
      </w:pPr>
    </w:lvl>
    <w:lvl w:ilvl="7" w:tplc="2FEE3E38">
      <w:start w:val="1"/>
      <w:numFmt w:val="lowerLetter"/>
      <w:lvlText w:val="%8."/>
      <w:lvlJc w:val="left"/>
      <w:pPr>
        <w:ind w:left="5760" w:hanging="360"/>
      </w:pPr>
    </w:lvl>
    <w:lvl w:ilvl="8" w:tplc="7EEEFCF2">
      <w:start w:val="1"/>
      <w:numFmt w:val="lowerRoman"/>
      <w:lvlText w:val="%9."/>
      <w:lvlJc w:val="right"/>
      <w:pPr>
        <w:ind w:left="6480" w:hanging="180"/>
      </w:pPr>
    </w:lvl>
  </w:abstractNum>
  <w:abstractNum w:abstractNumId="45" w15:restartNumberingAfterBreak="0">
    <w:nsid w:val="65703A3B"/>
    <w:multiLevelType w:val="hybridMultilevel"/>
    <w:tmpl w:val="D4DC81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A42E44F"/>
    <w:multiLevelType w:val="hybridMultilevel"/>
    <w:tmpl w:val="F242755E"/>
    <w:lvl w:ilvl="0" w:tplc="2B24547C">
      <w:start w:val="3"/>
      <w:numFmt w:val="lowerLetter"/>
      <w:lvlText w:val="%1)"/>
      <w:lvlJc w:val="left"/>
      <w:pPr>
        <w:ind w:left="720" w:hanging="360"/>
      </w:pPr>
    </w:lvl>
    <w:lvl w:ilvl="1" w:tplc="9C9461EE">
      <w:start w:val="1"/>
      <w:numFmt w:val="lowerLetter"/>
      <w:lvlText w:val="%2."/>
      <w:lvlJc w:val="left"/>
      <w:pPr>
        <w:ind w:left="1440" w:hanging="360"/>
      </w:pPr>
    </w:lvl>
    <w:lvl w:ilvl="2" w:tplc="77DE0A42">
      <w:start w:val="1"/>
      <w:numFmt w:val="lowerRoman"/>
      <w:lvlText w:val="%3."/>
      <w:lvlJc w:val="right"/>
      <w:pPr>
        <w:ind w:left="2160" w:hanging="180"/>
      </w:pPr>
    </w:lvl>
    <w:lvl w:ilvl="3" w:tplc="DD36DBD8">
      <w:start w:val="1"/>
      <w:numFmt w:val="decimal"/>
      <w:lvlText w:val="%4."/>
      <w:lvlJc w:val="left"/>
      <w:pPr>
        <w:ind w:left="2880" w:hanging="360"/>
      </w:pPr>
    </w:lvl>
    <w:lvl w:ilvl="4" w:tplc="8C066DC4">
      <w:start w:val="1"/>
      <w:numFmt w:val="lowerLetter"/>
      <w:lvlText w:val="%5."/>
      <w:lvlJc w:val="left"/>
      <w:pPr>
        <w:ind w:left="3600" w:hanging="360"/>
      </w:pPr>
    </w:lvl>
    <w:lvl w:ilvl="5" w:tplc="9AB0E0CE">
      <w:start w:val="1"/>
      <w:numFmt w:val="lowerRoman"/>
      <w:lvlText w:val="%6."/>
      <w:lvlJc w:val="right"/>
      <w:pPr>
        <w:ind w:left="4320" w:hanging="180"/>
      </w:pPr>
    </w:lvl>
    <w:lvl w:ilvl="6" w:tplc="C242FCC2">
      <w:start w:val="1"/>
      <w:numFmt w:val="decimal"/>
      <w:lvlText w:val="%7."/>
      <w:lvlJc w:val="left"/>
      <w:pPr>
        <w:ind w:left="5040" w:hanging="360"/>
      </w:pPr>
    </w:lvl>
    <w:lvl w:ilvl="7" w:tplc="6ABC1440">
      <w:start w:val="1"/>
      <w:numFmt w:val="lowerLetter"/>
      <w:lvlText w:val="%8."/>
      <w:lvlJc w:val="left"/>
      <w:pPr>
        <w:ind w:left="5760" w:hanging="360"/>
      </w:pPr>
    </w:lvl>
    <w:lvl w:ilvl="8" w:tplc="3A2AB7AC">
      <w:start w:val="1"/>
      <w:numFmt w:val="lowerRoman"/>
      <w:lvlText w:val="%9."/>
      <w:lvlJc w:val="right"/>
      <w:pPr>
        <w:ind w:left="6480" w:hanging="180"/>
      </w:pPr>
    </w:lvl>
  </w:abstractNum>
  <w:abstractNum w:abstractNumId="47" w15:restartNumberingAfterBreak="0">
    <w:nsid w:val="6B4A55F3"/>
    <w:multiLevelType w:val="hybridMultilevel"/>
    <w:tmpl w:val="D4DC81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EB6E865"/>
    <w:multiLevelType w:val="hybridMultilevel"/>
    <w:tmpl w:val="A30EDA72"/>
    <w:lvl w:ilvl="0" w:tplc="D5E4495A">
      <w:start w:val="4"/>
      <w:numFmt w:val="lowerLetter"/>
      <w:lvlText w:val="%1)"/>
      <w:lvlJc w:val="left"/>
      <w:pPr>
        <w:ind w:left="720" w:hanging="360"/>
      </w:pPr>
    </w:lvl>
    <w:lvl w:ilvl="1" w:tplc="70083B2A">
      <w:start w:val="1"/>
      <w:numFmt w:val="lowerLetter"/>
      <w:lvlText w:val="%2."/>
      <w:lvlJc w:val="left"/>
      <w:pPr>
        <w:ind w:left="1440" w:hanging="360"/>
      </w:pPr>
    </w:lvl>
    <w:lvl w:ilvl="2" w:tplc="470E7902">
      <w:start w:val="1"/>
      <w:numFmt w:val="lowerRoman"/>
      <w:lvlText w:val="%3."/>
      <w:lvlJc w:val="right"/>
      <w:pPr>
        <w:ind w:left="2160" w:hanging="180"/>
      </w:pPr>
    </w:lvl>
    <w:lvl w:ilvl="3" w:tplc="B9C8B810">
      <w:start w:val="1"/>
      <w:numFmt w:val="decimal"/>
      <w:lvlText w:val="%4."/>
      <w:lvlJc w:val="left"/>
      <w:pPr>
        <w:ind w:left="2880" w:hanging="360"/>
      </w:pPr>
    </w:lvl>
    <w:lvl w:ilvl="4" w:tplc="DC8A29E6">
      <w:start w:val="1"/>
      <w:numFmt w:val="lowerLetter"/>
      <w:lvlText w:val="%5."/>
      <w:lvlJc w:val="left"/>
      <w:pPr>
        <w:ind w:left="3600" w:hanging="360"/>
      </w:pPr>
    </w:lvl>
    <w:lvl w:ilvl="5" w:tplc="AAF0247A">
      <w:start w:val="1"/>
      <w:numFmt w:val="lowerRoman"/>
      <w:lvlText w:val="%6."/>
      <w:lvlJc w:val="right"/>
      <w:pPr>
        <w:ind w:left="4320" w:hanging="180"/>
      </w:pPr>
    </w:lvl>
    <w:lvl w:ilvl="6" w:tplc="E0E405B4">
      <w:start w:val="1"/>
      <w:numFmt w:val="decimal"/>
      <w:lvlText w:val="%7."/>
      <w:lvlJc w:val="left"/>
      <w:pPr>
        <w:ind w:left="5040" w:hanging="360"/>
      </w:pPr>
    </w:lvl>
    <w:lvl w:ilvl="7" w:tplc="46FA3EA2">
      <w:start w:val="1"/>
      <w:numFmt w:val="lowerLetter"/>
      <w:lvlText w:val="%8."/>
      <w:lvlJc w:val="left"/>
      <w:pPr>
        <w:ind w:left="5760" w:hanging="360"/>
      </w:pPr>
    </w:lvl>
    <w:lvl w:ilvl="8" w:tplc="201653C8">
      <w:start w:val="1"/>
      <w:numFmt w:val="lowerRoman"/>
      <w:lvlText w:val="%9."/>
      <w:lvlJc w:val="right"/>
      <w:pPr>
        <w:ind w:left="6480" w:hanging="180"/>
      </w:pPr>
    </w:lvl>
  </w:abstractNum>
  <w:abstractNum w:abstractNumId="49" w15:restartNumberingAfterBreak="0">
    <w:nsid w:val="6FD34CB9"/>
    <w:multiLevelType w:val="hybridMultilevel"/>
    <w:tmpl w:val="21787E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3341E9"/>
    <w:multiLevelType w:val="multilevel"/>
    <w:tmpl w:val="86BA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4726BB"/>
    <w:multiLevelType w:val="multilevel"/>
    <w:tmpl w:val="1DDA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0D6313"/>
    <w:multiLevelType w:val="hybridMultilevel"/>
    <w:tmpl w:val="CB7CE1E4"/>
    <w:lvl w:ilvl="0" w:tplc="6D9A3C96">
      <w:start w:val="5"/>
      <w:numFmt w:val="lowerLetter"/>
      <w:lvlText w:val="%1)"/>
      <w:lvlJc w:val="left"/>
      <w:pPr>
        <w:ind w:left="720" w:hanging="360"/>
      </w:pPr>
    </w:lvl>
    <w:lvl w:ilvl="1" w:tplc="A4C83BB2">
      <w:start w:val="1"/>
      <w:numFmt w:val="lowerLetter"/>
      <w:lvlText w:val="%2."/>
      <w:lvlJc w:val="left"/>
      <w:pPr>
        <w:ind w:left="1440" w:hanging="360"/>
      </w:pPr>
    </w:lvl>
    <w:lvl w:ilvl="2" w:tplc="77ECFCA0">
      <w:start w:val="1"/>
      <w:numFmt w:val="lowerRoman"/>
      <w:lvlText w:val="%3."/>
      <w:lvlJc w:val="right"/>
      <w:pPr>
        <w:ind w:left="2160" w:hanging="180"/>
      </w:pPr>
    </w:lvl>
    <w:lvl w:ilvl="3" w:tplc="3E629BC0">
      <w:start w:val="1"/>
      <w:numFmt w:val="decimal"/>
      <w:lvlText w:val="%4."/>
      <w:lvlJc w:val="left"/>
      <w:pPr>
        <w:ind w:left="2880" w:hanging="360"/>
      </w:pPr>
    </w:lvl>
    <w:lvl w:ilvl="4" w:tplc="9D5C72D0">
      <w:start w:val="1"/>
      <w:numFmt w:val="lowerLetter"/>
      <w:lvlText w:val="%5."/>
      <w:lvlJc w:val="left"/>
      <w:pPr>
        <w:ind w:left="3600" w:hanging="360"/>
      </w:pPr>
    </w:lvl>
    <w:lvl w:ilvl="5" w:tplc="20D623BA">
      <w:start w:val="1"/>
      <w:numFmt w:val="lowerRoman"/>
      <w:lvlText w:val="%6."/>
      <w:lvlJc w:val="right"/>
      <w:pPr>
        <w:ind w:left="4320" w:hanging="180"/>
      </w:pPr>
    </w:lvl>
    <w:lvl w:ilvl="6" w:tplc="E6BC5202">
      <w:start w:val="1"/>
      <w:numFmt w:val="decimal"/>
      <w:lvlText w:val="%7."/>
      <w:lvlJc w:val="left"/>
      <w:pPr>
        <w:ind w:left="5040" w:hanging="360"/>
      </w:pPr>
    </w:lvl>
    <w:lvl w:ilvl="7" w:tplc="A2E0E210">
      <w:start w:val="1"/>
      <w:numFmt w:val="lowerLetter"/>
      <w:lvlText w:val="%8."/>
      <w:lvlJc w:val="left"/>
      <w:pPr>
        <w:ind w:left="5760" w:hanging="360"/>
      </w:pPr>
    </w:lvl>
    <w:lvl w:ilvl="8" w:tplc="1974CF68">
      <w:start w:val="1"/>
      <w:numFmt w:val="lowerRoman"/>
      <w:lvlText w:val="%9."/>
      <w:lvlJc w:val="right"/>
      <w:pPr>
        <w:ind w:left="6480" w:hanging="180"/>
      </w:pPr>
    </w:lvl>
  </w:abstractNum>
  <w:num w:numId="1" w16cid:durableId="1255163825">
    <w:abstractNumId w:val="38"/>
  </w:num>
  <w:num w:numId="2" w16cid:durableId="1085110110">
    <w:abstractNumId w:val="43"/>
  </w:num>
  <w:num w:numId="3" w16cid:durableId="1190920407">
    <w:abstractNumId w:val="0"/>
  </w:num>
  <w:num w:numId="4" w16cid:durableId="781876153">
    <w:abstractNumId w:val="17"/>
  </w:num>
  <w:num w:numId="5" w16cid:durableId="111557890">
    <w:abstractNumId w:val="24"/>
  </w:num>
  <w:num w:numId="6" w16cid:durableId="1867675635">
    <w:abstractNumId w:val="53"/>
  </w:num>
  <w:num w:numId="7" w16cid:durableId="795173582">
    <w:abstractNumId w:val="48"/>
  </w:num>
  <w:num w:numId="8" w16cid:durableId="226765311">
    <w:abstractNumId w:val="46"/>
  </w:num>
  <w:num w:numId="9" w16cid:durableId="1394281698">
    <w:abstractNumId w:val="44"/>
  </w:num>
  <w:num w:numId="10" w16cid:durableId="615791302">
    <w:abstractNumId w:val="2"/>
  </w:num>
  <w:num w:numId="11" w16cid:durableId="1561669806">
    <w:abstractNumId w:val="20"/>
  </w:num>
  <w:num w:numId="12" w16cid:durableId="769082956">
    <w:abstractNumId w:val="18"/>
  </w:num>
  <w:num w:numId="13" w16cid:durableId="1296444973">
    <w:abstractNumId w:val="14"/>
  </w:num>
  <w:num w:numId="14" w16cid:durableId="773482867">
    <w:abstractNumId w:val="26"/>
  </w:num>
  <w:num w:numId="15" w16cid:durableId="1718355756">
    <w:abstractNumId w:val="36"/>
  </w:num>
  <w:num w:numId="16" w16cid:durableId="21983502">
    <w:abstractNumId w:val="3"/>
  </w:num>
  <w:num w:numId="17" w16cid:durableId="578565413">
    <w:abstractNumId w:val="4"/>
  </w:num>
  <w:num w:numId="18" w16cid:durableId="842280993">
    <w:abstractNumId w:val="19"/>
  </w:num>
  <w:num w:numId="19" w16cid:durableId="1357807368">
    <w:abstractNumId w:val="40"/>
  </w:num>
  <w:num w:numId="20" w16cid:durableId="689993300">
    <w:abstractNumId w:val="15"/>
  </w:num>
  <w:num w:numId="21" w16cid:durableId="2076081329">
    <w:abstractNumId w:val="42"/>
  </w:num>
  <w:num w:numId="22" w16cid:durableId="925118320">
    <w:abstractNumId w:val="12"/>
  </w:num>
  <w:num w:numId="23" w16cid:durableId="1669165894">
    <w:abstractNumId w:val="9"/>
  </w:num>
  <w:num w:numId="24" w16cid:durableId="965239128">
    <w:abstractNumId w:val="30"/>
  </w:num>
  <w:num w:numId="25" w16cid:durableId="206531704">
    <w:abstractNumId w:val="5"/>
  </w:num>
  <w:num w:numId="26" w16cid:durableId="857736991">
    <w:abstractNumId w:val="6"/>
  </w:num>
  <w:num w:numId="27" w16cid:durableId="1632780586">
    <w:abstractNumId w:val="37"/>
  </w:num>
  <w:num w:numId="28" w16cid:durableId="1231235102">
    <w:abstractNumId w:val="34"/>
  </w:num>
  <w:num w:numId="29" w16cid:durableId="574165625">
    <w:abstractNumId w:val="50"/>
  </w:num>
  <w:num w:numId="30" w16cid:durableId="1903984215">
    <w:abstractNumId w:val="22"/>
  </w:num>
  <w:num w:numId="31" w16cid:durableId="890385073">
    <w:abstractNumId w:val="1"/>
  </w:num>
  <w:num w:numId="32" w16cid:durableId="971786534">
    <w:abstractNumId w:val="21"/>
  </w:num>
  <w:num w:numId="33" w16cid:durableId="641891247">
    <w:abstractNumId w:val="29"/>
  </w:num>
  <w:num w:numId="34" w16cid:durableId="1127819696">
    <w:abstractNumId w:val="35"/>
  </w:num>
  <w:num w:numId="35" w16cid:durableId="1069186949">
    <w:abstractNumId w:val="8"/>
  </w:num>
  <w:num w:numId="36" w16cid:durableId="1077441101">
    <w:abstractNumId w:val="25"/>
  </w:num>
  <w:num w:numId="37" w16cid:durableId="1239440354">
    <w:abstractNumId w:val="23"/>
  </w:num>
  <w:num w:numId="38" w16cid:durableId="815416458">
    <w:abstractNumId w:val="27"/>
  </w:num>
  <w:num w:numId="39" w16cid:durableId="1721393568">
    <w:abstractNumId w:val="11"/>
  </w:num>
  <w:num w:numId="40" w16cid:durableId="1698694475">
    <w:abstractNumId w:val="13"/>
  </w:num>
  <w:num w:numId="41" w16cid:durableId="525557523">
    <w:abstractNumId w:val="10"/>
  </w:num>
  <w:num w:numId="42" w16cid:durableId="1448744337">
    <w:abstractNumId w:val="16"/>
  </w:num>
  <w:num w:numId="43" w16cid:durableId="706684339">
    <w:abstractNumId w:val="49"/>
  </w:num>
  <w:num w:numId="44" w16cid:durableId="635449254">
    <w:abstractNumId w:val="31"/>
  </w:num>
  <w:num w:numId="45" w16cid:durableId="414671971">
    <w:abstractNumId w:val="47"/>
  </w:num>
  <w:num w:numId="46" w16cid:durableId="570770789">
    <w:abstractNumId w:val="45"/>
  </w:num>
  <w:num w:numId="47" w16cid:durableId="1926107066">
    <w:abstractNumId w:val="41"/>
  </w:num>
  <w:num w:numId="48" w16cid:durableId="1931353358">
    <w:abstractNumId w:val="32"/>
  </w:num>
  <w:num w:numId="49" w16cid:durableId="2081587071">
    <w:abstractNumId w:val="7"/>
  </w:num>
  <w:num w:numId="50" w16cid:durableId="1290818646">
    <w:abstractNumId w:val="51"/>
  </w:num>
  <w:num w:numId="51" w16cid:durableId="923145058">
    <w:abstractNumId w:val="39"/>
  </w:num>
  <w:num w:numId="52" w16cid:durableId="1832595990">
    <w:abstractNumId w:val="33"/>
  </w:num>
  <w:num w:numId="53" w16cid:durableId="1035934390">
    <w:abstractNumId w:val="52"/>
  </w:num>
  <w:num w:numId="54" w16cid:durableId="83738227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84D"/>
    <w:rsid w:val="0000605A"/>
    <w:rsid w:val="000145A0"/>
    <w:rsid w:val="000241EB"/>
    <w:rsid w:val="000258FB"/>
    <w:rsid w:val="00040D5F"/>
    <w:rsid w:val="000423E1"/>
    <w:rsid w:val="00075BEF"/>
    <w:rsid w:val="00093A8C"/>
    <w:rsid w:val="0009495B"/>
    <w:rsid w:val="000B69D3"/>
    <w:rsid w:val="000C2CF6"/>
    <w:rsid w:val="000C3DEB"/>
    <w:rsid w:val="000D58BD"/>
    <w:rsid w:val="000F41F9"/>
    <w:rsid w:val="001053E5"/>
    <w:rsid w:val="00113D8A"/>
    <w:rsid w:val="001144C4"/>
    <w:rsid w:val="00122671"/>
    <w:rsid w:val="0013056D"/>
    <w:rsid w:val="00135F1F"/>
    <w:rsid w:val="0014103B"/>
    <w:rsid w:val="0016058C"/>
    <w:rsid w:val="00173AEF"/>
    <w:rsid w:val="001828DF"/>
    <w:rsid w:val="00186188"/>
    <w:rsid w:val="00190C47"/>
    <w:rsid w:val="001A48EC"/>
    <w:rsid w:val="001B3999"/>
    <w:rsid w:val="001C32A2"/>
    <w:rsid w:val="001C3951"/>
    <w:rsid w:val="001C4D61"/>
    <w:rsid w:val="0026528A"/>
    <w:rsid w:val="00270C04"/>
    <w:rsid w:val="002905C3"/>
    <w:rsid w:val="002A5683"/>
    <w:rsid w:val="002C3BD3"/>
    <w:rsid w:val="002E0356"/>
    <w:rsid w:val="00314F2E"/>
    <w:rsid w:val="0031756C"/>
    <w:rsid w:val="003205F1"/>
    <w:rsid w:val="003275A1"/>
    <w:rsid w:val="00335470"/>
    <w:rsid w:val="0033771A"/>
    <w:rsid w:val="00341FD0"/>
    <w:rsid w:val="00346C98"/>
    <w:rsid w:val="003565D5"/>
    <w:rsid w:val="003B105B"/>
    <w:rsid w:val="003C208F"/>
    <w:rsid w:val="003C2A1E"/>
    <w:rsid w:val="003E484D"/>
    <w:rsid w:val="003F2124"/>
    <w:rsid w:val="003F748E"/>
    <w:rsid w:val="004109BC"/>
    <w:rsid w:val="0041462A"/>
    <w:rsid w:val="004177E5"/>
    <w:rsid w:val="00426C1B"/>
    <w:rsid w:val="00463A94"/>
    <w:rsid w:val="004967EB"/>
    <w:rsid w:val="004A6778"/>
    <w:rsid w:val="004C0C5F"/>
    <w:rsid w:val="004D465C"/>
    <w:rsid w:val="004D60E1"/>
    <w:rsid w:val="004E3F10"/>
    <w:rsid w:val="004E616E"/>
    <w:rsid w:val="00507AF4"/>
    <w:rsid w:val="00534EF4"/>
    <w:rsid w:val="00542663"/>
    <w:rsid w:val="00552CD7"/>
    <w:rsid w:val="00584288"/>
    <w:rsid w:val="005B6662"/>
    <w:rsid w:val="005E1038"/>
    <w:rsid w:val="005E4A81"/>
    <w:rsid w:val="005F0343"/>
    <w:rsid w:val="0063791D"/>
    <w:rsid w:val="00657B50"/>
    <w:rsid w:val="006D0F8E"/>
    <w:rsid w:val="006F2BD8"/>
    <w:rsid w:val="006F5818"/>
    <w:rsid w:val="00735260"/>
    <w:rsid w:val="0076053E"/>
    <w:rsid w:val="00787D80"/>
    <w:rsid w:val="007D7975"/>
    <w:rsid w:val="007E7EA7"/>
    <w:rsid w:val="007F4ACE"/>
    <w:rsid w:val="008332D3"/>
    <w:rsid w:val="00844C8B"/>
    <w:rsid w:val="00851710"/>
    <w:rsid w:val="0087219A"/>
    <w:rsid w:val="0088354B"/>
    <w:rsid w:val="008A064E"/>
    <w:rsid w:val="008D3FEC"/>
    <w:rsid w:val="008D62DD"/>
    <w:rsid w:val="008F5812"/>
    <w:rsid w:val="00975B83"/>
    <w:rsid w:val="00983A7F"/>
    <w:rsid w:val="009B26A9"/>
    <w:rsid w:val="009C6F2F"/>
    <w:rsid w:val="009E1711"/>
    <w:rsid w:val="009E7892"/>
    <w:rsid w:val="00A26C85"/>
    <w:rsid w:val="00A675F1"/>
    <w:rsid w:val="00A77C0E"/>
    <w:rsid w:val="00A95C3A"/>
    <w:rsid w:val="00AD1A91"/>
    <w:rsid w:val="00AD301C"/>
    <w:rsid w:val="00B05906"/>
    <w:rsid w:val="00B10591"/>
    <w:rsid w:val="00B16B6C"/>
    <w:rsid w:val="00B17A63"/>
    <w:rsid w:val="00B3741B"/>
    <w:rsid w:val="00B40992"/>
    <w:rsid w:val="00B457EB"/>
    <w:rsid w:val="00B54293"/>
    <w:rsid w:val="00B64EB0"/>
    <w:rsid w:val="00B710AC"/>
    <w:rsid w:val="00B776E0"/>
    <w:rsid w:val="00B9046B"/>
    <w:rsid w:val="00BE6685"/>
    <w:rsid w:val="00BF66F1"/>
    <w:rsid w:val="00C171C7"/>
    <w:rsid w:val="00C35472"/>
    <w:rsid w:val="00C76F13"/>
    <w:rsid w:val="00CA537D"/>
    <w:rsid w:val="00CB4A2A"/>
    <w:rsid w:val="00CC41E5"/>
    <w:rsid w:val="00CD14CC"/>
    <w:rsid w:val="00CD60DB"/>
    <w:rsid w:val="00CE1084"/>
    <w:rsid w:val="00CF2CEA"/>
    <w:rsid w:val="00D158E9"/>
    <w:rsid w:val="00D825CB"/>
    <w:rsid w:val="00D925EC"/>
    <w:rsid w:val="00DA586C"/>
    <w:rsid w:val="00DB24C9"/>
    <w:rsid w:val="00DE210D"/>
    <w:rsid w:val="00E3320C"/>
    <w:rsid w:val="00E55B7B"/>
    <w:rsid w:val="00E749C7"/>
    <w:rsid w:val="00E92190"/>
    <w:rsid w:val="00F46F0A"/>
    <w:rsid w:val="00F60442"/>
    <w:rsid w:val="00F932E9"/>
    <w:rsid w:val="00F935AC"/>
    <w:rsid w:val="00F96131"/>
    <w:rsid w:val="00FB398D"/>
    <w:rsid w:val="00FC2B6F"/>
    <w:rsid w:val="00FE7FD5"/>
    <w:rsid w:val="00FF245B"/>
    <w:rsid w:val="0140E516"/>
    <w:rsid w:val="02759214"/>
    <w:rsid w:val="62C69177"/>
    <w:rsid w:val="6DB6C2CC"/>
    <w:rsid w:val="73AF5D67"/>
    <w:rsid w:val="7AB7C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3A6B05"/>
  <w15:chartTrackingRefBased/>
  <w15:docId w15:val="{72131F1E-0F59-3242-9183-74C5B83F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56C"/>
    <w:rPr>
      <w:sz w:val="24"/>
    </w:rPr>
  </w:style>
  <w:style w:type="paragraph" w:styleId="Heading1">
    <w:name w:val="heading 1"/>
    <w:basedOn w:val="Normal"/>
    <w:next w:val="Normal"/>
    <w:link w:val="Heading1Char"/>
    <w:uiPriority w:val="9"/>
    <w:qFormat/>
    <w:rsid w:val="00DB24C9"/>
    <w:pPr>
      <w:keepNext/>
      <w:keepLines/>
      <w:spacing w:before="480" w:after="0"/>
      <w:outlineLvl w:val="0"/>
    </w:pPr>
    <w:rPr>
      <w:rFonts w:eastAsiaTheme="majorEastAsia" w:cstheme="majorBidi"/>
      <w:b/>
      <w:bCs/>
      <w:color w:val="241A40" w:themeColor="text1"/>
      <w:sz w:val="56"/>
      <w:szCs w:val="28"/>
    </w:rPr>
  </w:style>
  <w:style w:type="paragraph" w:styleId="Heading2">
    <w:name w:val="heading 2"/>
    <w:basedOn w:val="Normal"/>
    <w:next w:val="Normal"/>
    <w:link w:val="Heading2Char"/>
    <w:uiPriority w:val="9"/>
    <w:unhideWhenUsed/>
    <w:qFormat/>
    <w:rsid w:val="00DB24C9"/>
    <w:pPr>
      <w:keepNext/>
      <w:keepLines/>
      <w:spacing w:before="200" w:after="0"/>
      <w:outlineLvl w:val="1"/>
    </w:pPr>
    <w:rPr>
      <w:rFonts w:asciiTheme="majorHAnsi" w:eastAsiaTheme="majorEastAsia" w:hAnsiTheme="majorHAnsi" w:cstheme="majorBidi"/>
      <w:b/>
      <w:bCs/>
      <w:color w:val="241A40" w:themeColor="text1"/>
      <w:sz w:val="36"/>
      <w:szCs w:val="26"/>
    </w:rPr>
  </w:style>
  <w:style w:type="paragraph" w:styleId="Heading3">
    <w:name w:val="heading 3"/>
    <w:basedOn w:val="Normal"/>
    <w:next w:val="Normal"/>
    <w:link w:val="Heading3Char"/>
    <w:uiPriority w:val="9"/>
    <w:unhideWhenUsed/>
    <w:qFormat/>
    <w:rsid w:val="001B3999"/>
    <w:pPr>
      <w:keepNext/>
      <w:keepLines/>
      <w:spacing w:before="200" w:after="0"/>
      <w:outlineLvl w:val="2"/>
    </w:pPr>
    <w:rPr>
      <w:rFonts w:asciiTheme="majorHAnsi" w:eastAsiaTheme="majorEastAsia" w:hAnsiTheme="majorHAnsi" w:cstheme="majorBidi"/>
      <w:b/>
      <w:bCs/>
      <w:color w:val="85BAC8" w:themeColor="accent1"/>
    </w:rPr>
  </w:style>
  <w:style w:type="paragraph" w:styleId="Heading4">
    <w:name w:val="heading 4"/>
    <w:basedOn w:val="Normal"/>
    <w:next w:val="Normal"/>
    <w:link w:val="Heading4Char"/>
    <w:uiPriority w:val="9"/>
    <w:unhideWhenUsed/>
    <w:qFormat/>
    <w:rsid w:val="001B3999"/>
    <w:pPr>
      <w:keepNext/>
      <w:keepLines/>
      <w:spacing w:before="200" w:after="0"/>
      <w:outlineLvl w:val="3"/>
    </w:pPr>
    <w:rPr>
      <w:rFonts w:asciiTheme="majorHAnsi" w:eastAsiaTheme="majorEastAsia" w:hAnsiTheme="majorHAnsi" w:cstheme="majorBidi"/>
      <w:b/>
      <w:bCs/>
      <w:i/>
      <w:iCs/>
      <w:color w:val="85BAC8" w:themeColor="accent1"/>
    </w:rPr>
  </w:style>
  <w:style w:type="paragraph" w:styleId="Heading5">
    <w:name w:val="heading 5"/>
    <w:basedOn w:val="Normal"/>
    <w:next w:val="Normal"/>
    <w:link w:val="Heading5Char"/>
    <w:uiPriority w:val="9"/>
    <w:semiHidden/>
    <w:unhideWhenUsed/>
    <w:qFormat/>
    <w:rsid w:val="001B3999"/>
    <w:pPr>
      <w:keepNext/>
      <w:keepLines/>
      <w:spacing w:before="200" w:after="0"/>
      <w:outlineLvl w:val="4"/>
    </w:pPr>
    <w:rPr>
      <w:rFonts w:asciiTheme="majorHAnsi" w:eastAsiaTheme="majorEastAsia" w:hAnsiTheme="majorHAnsi" w:cstheme="majorBidi"/>
      <w:color w:val="336472" w:themeColor="accent1" w:themeShade="7F"/>
    </w:rPr>
  </w:style>
  <w:style w:type="paragraph" w:styleId="Heading6">
    <w:name w:val="heading 6"/>
    <w:basedOn w:val="Normal"/>
    <w:next w:val="Normal"/>
    <w:link w:val="Heading6Char"/>
    <w:uiPriority w:val="9"/>
    <w:semiHidden/>
    <w:unhideWhenUsed/>
    <w:qFormat/>
    <w:rsid w:val="001B3999"/>
    <w:pPr>
      <w:keepNext/>
      <w:keepLines/>
      <w:spacing w:before="200" w:after="0"/>
      <w:outlineLvl w:val="5"/>
    </w:pPr>
    <w:rPr>
      <w:rFonts w:asciiTheme="majorHAnsi" w:eastAsiaTheme="majorEastAsia" w:hAnsiTheme="majorHAnsi" w:cstheme="majorBidi"/>
      <w:i/>
      <w:iCs/>
      <w:color w:val="336472" w:themeColor="accent1" w:themeShade="7F"/>
    </w:rPr>
  </w:style>
  <w:style w:type="paragraph" w:styleId="Heading7">
    <w:name w:val="heading 7"/>
    <w:basedOn w:val="Normal"/>
    <w:next w:val="Normal"/>
    <w:link w:val="Heading7Char"/>
    <w:uiPriority w:val="9"/>
    <w:semiHidden/>
    <w:unhideWhenUsed/>
    <w:qFormat/>
    <w:rsid w:val="001B3999"/>
    <w:pPr>
      <w:keepNext/>
      <w:keepLines/>
      <w:spacing w:before="200" w:after="0"/>
      <w:outlineLvl w:val="6"/>
    </w:pPr>
    <w:rPr>
      <w:rFonts w:asciiTheme="majorHAnsi" w:eastAsiaTheme="majorEastAsia" w:hAnsiTheme="majorHAnsi" w:cstheme="majorBidi"/>
      <w:i/>
      <w:iCs/>
      <w:color w:val="4E388A" w:themeColor="text1" w:themeTint="BF"/>
    </w:rPr>
  </w:style>
  <w:style w:type="paragraph" w:styleId="Heading8">
    <w:name w:val="heading 8"/>
    <w:basedOn w:val="Normal"/>
    <w:next w:val="Normal"/>
    <w:link w:val="Heading8Char"/>
    <w:uiPriority w:val="9"/>
    <w:semiHidden/>
    <w:unhideWhenUsed/>
    <w:qFormat/>
    <w:rsid w:val="001B3999"/>
    <w:pPr>
      <w:keepNext/>
      <w:keepLines/>
      <w:spacing w:before="200" w:after="0"/>
      <w:outlineLvl w:val="7"/>
    </w:pPr>
    <w:rPr>
      <w:rFonts w:asciiTheme="majorHAnsi" w:eastAsiaTheme="majorEastAsia" w:hAnsiTheme="majorHAnsi" w:cstheme="majorBidi"/>
      <w:color w:val="85BAC8" w:themeColor="accent1"/>
      <w:sz w:val="20"/>
      <w:szCs w:val="20"/>
    </w:rPr>
  </w:style>
  <w:style w:type="paragraph" w:styleId="Heading9">
    <w:name w:val="heading 9"/>
    <w:basedOn w:val="Normal"/>
    <w:next w:val="Normal"/>
    <w:link w:val="Heading9Char"/>
    <w:uiPriority w:val="9"/>
    <w:semiHidden/>
    <w:unhideWhenUsed/>
    <w:qFormat/>
    <w:rsid w:val="001B3999"/>
    <w:pPr>
      <w:keepNext/>
      <w:keepLines/>
      <w:spacing w:before="200" w:after="0"/>
      <w:outlineLvl w:val="8"/>
    </w:pPr>
    <w:rPr>
      <w:rFonts w:asciiTheme="majorHAnsi" w:eastAsiaTheme="majorEastAsia" w:hAnsiTheme="majorHAnsi" w:cstheme="majorBidi"/>
      <w:i/>
      <w:iCs/>
      <w:color w:val="4E388A"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4C9"/>
    <w:rPr>
      <w:rFonts w:eastAsiaTheme="majorEastAsia" w:cstheme="majorBidi"/>
      <w:b/>
      <w:bCs/>
      <w:color w:val="241A40" w:themeColor="text1"/>
      <w:sz w:val="56"/>
      <w:szCs w:val="28"/>
    </w:rPr>
  </w:style>
  <w:style w:type="character" w:customStyle="1" w:styleId="Heading2Char">
    <w:name w:val="Heading 2 Char"/>
    <w:basedOn w:val="DefaultParagraphFont"/>
    <w:link w:val="Heading2"/>
    <w:uiPriority w:val="9"/>
    <w:rsid w:val="00DB24C9"/>
    <w:rPr>
      <w:rFonts w:asciiTheme="majorHAnsi" w:eastAsiaTheme="majorEastAsia" w:hAnsiTheme="majorHAnsi" w:cstheme="majorBidi"/>
      <w:b/>
      <w:bCs/>
      <w:color w:val="241A40" w:themeColor="text1"/>
      <w:sz w:val="36"/>
      <w:szCs w:val="26"/>
    </w:rPr>
  </w:style>
  <w:style w:type="character" w:customStyle="1" w:styleId="Heading3Char">
    <w:name w:val="Heading 3 Char"/>
    <w:basedOn w:val="DefaultParagraphFont"/>
    <w:link w:val="Heading3"/>
    <w:uiPriority w:val="9"/>
    <w:rsid w:val="001B3999"/>
    <w:rPr>
      <w:rFonts w:asciiTheme="majorHAnsi" w:eastAsiaTheme="majorEastAsia" w:hAnsiTheme="majorHAnsi" w:cstheme="majorBidi"/>
      <w:b/>
      <w:bCs/>
      <w:color w:val="85BAC8" w:themeColor="accent1"/>
    </w:rPr>
  </w:style>
  <w:style w:type="character" w:customStyle="1" w:styleId="Heading4Char">
    <w:name w:val="Heading 4 Char"/>
    <w:basedOn w:val="DefaultParagraphFont"/>
    <w:link w:val="Heading4"/>
    <w:uiPriority w:val="9"/>
    <w:rsid w:val="001B3999"/>
    <w:rPr>
      <w:rFonts w:asciiTheme="majorHAnsi" w:eastAsiaTheme="majorEastAsia" w:hAnsiTheme="majorHAnsi" w:cstheme="majorBidi"/>
      <w:b/>
      <w:bCs/>
      <w:i/>
      <w:iCs/>
      <w:color w:val="85BAC8" w:themeColor="accent1"/>
    </w:rPr>
  </w:style>
  <w:style w:type="character" w:customStyle="1" w:styleId="Heading5Char">
    <w:name w:val="Heading 5 Char"/>
    <w:basedOn w:val="DefaultParagraphFont"/>
    <w:link w:val="Heading5"/>
    <w:uiPriority w:val="9"/>
    <w:semiHidden/>
    <w:rsid w:val="001B3999"/>
    <w:rPr>
      <w:rFonts w:asciiTheme="majorHAnsi" w:eastAsiaTheme="majorEastAsia" w:hAnsiTheme="majorHAnsi" w:cstheme="majorBidi"/>
      <w:color w:val="336472" w:themeColor="accent1" w:themeShade="7F"/>
    </w:rPr>
  </w:style>
  <w:style w:type="character" w:customStyle="1" w:styleId="Heading6Char">
    <w:name w:val="Heading 6 Char"/>
    <w:basedOn w:val="DefaultParagraphFont"/>
    <w:link w:val="Heading6"/>
    <w:uiPriority w:val="9"/>
    <w:semiHidden/>
    <w:rsid w:val="001B3999"/>
    <w:rPr>
      <w:rFonts w:asciiTheme="majorHAnsi" w:eastAsiaTheme="majorEastAsia" w:hAnsiTheme="majorHAnsi" w:cstheme="majorBidi"/>
      <w:i/>
      <w:iCs/>
      <w:color w:val="336472" w:themeColor="accent1" w:themeShade="7F"/>
    </w:rPr>
  </w:style>
  <w:style w:type="character" w:customStyle="1" w:styleId="Heading7Char">
    <w:name w:val="Heading 7 Char"/>
    <w:basedOn w:val="DefaultParagraphFont"/>
    <w:link w:val="Heading7"/>
    <w:uiPriority w:val="9"/>
    <w:semiHidden/>
    <w:rsid w:val="001B3999"/>
    <w:rPr>
      <w:rFonts w:asciiTheme="majorHAnsi" w:eastAsiaTheme="majorEastAsia" w:hAnsiTheme="majorHAnsi" w:cstheme="majorBidi"/>
      <w:i/>
      <w:iCs/>
      <w:color w:val="4E388A" w:themeColor="text1" w:themeTint="BF"/>
    </w:rPr>
  </w:style>
  <w:style w:type="character" w:customStyle="1" w:styleId="Heading8Char">
    <w:name w:val="Heading 8 Char"/>
    <w:basedOn w:val="DefaultParagraphFont"/>
    <w:link w:val="Heading8"/>
    <w:uiPriority w:val="9"/>
    <w:semiHidden/>
    <w:rsid w:val="001B3999"/>
    <w:rPr>
      <w:rFonts w:asciiTheme="majorHAnsi" w:eastAsiaTheme="majorEastAsia" w:hAnsiTheme="majorHAnsi" w:cstheme="majorBidi"/>
      <w:color w:val="85BAC8" w:themeColor="accent1"/>
      <w:sz w:val="20"/>
      <w:szCs w:val="20"/>
    </w:rPr>
  </w:style>
  <w:style w:type="character" w:customStyle="1" w:styleId="Heading9Char">
    <w:name w:val="Heading 9 Char"/>
    <w:basedOn w:val="DefaultParagraphFont"/>
    <w:link w:val="Heading9"/>
    <w:uiPriority w:val="9"/>
    <w:semiHidden/>
    <w:rsid w:val="001B3999"/>
    <w:rPr>
      <w:rFonts w:asciiTheme="majorHAnsi" w:eastAsiaTheme="majorEastAsia" w:hAnsiTheme="majorHAnsi" w:cstheme="majorBidi"/>
      <w:i/>
      <w:iCs/>
      <w:color w:val="4E388A" w:themeColor="text1" w:themeTint="BF"/>
      <w:sz w:val="20"/>
      <w:szCs w:val="20"/>
    </w:rPr>
  </w:style>
  <w:style w:type="paragraph" w:styleId="Caption">
    <w:name w:val="caption"/>
    <w:basedOn w:val="Normal"/>
    <w:next w:val="Normal"/>
    <w:uiPriority w:val="35"/>
    <w:semiHidden/>
    <w:unhideWhenUsed/>
    <w:qFormat/>
    <w:rsid w:val="001B3999"/>
    <w:pPr>
      <w:spacing w:line="240" w:lineRule="auto"/>
    </w:pPr>
    <w:rPr>
      <w:b/>
      <w:bCs/>
      <w:color w:val="85BAC8" w:themeColor="accent1"/>
      <w:sz w:val="18"/>
      <w:szCs w:val="18"/>
    </w:rPr>
  </w:style>
  <w:style w:type="paragraph" w:styleId="Title">
    <w:name w:val="Title"/>
    <w:basedOn w:val="Normal"/>
    <w:next w:val="Normal"/>
    <w:link w:val="TitleChar"/>
    <w:uiPriority w:val="10"/>
    <w:qFormat/>
    <w:rsid w:val="000F41F9"/>
    <w:pPr>
      <w:pBdr>
        <w:bottom w:val="single" w:sz="8" w:space="4" w:color="85BAC8" w:themeColor="accent1"/>
      </w:pBdr>
      <w:spacing w:after="300" w:line="240" w:lineRule="auto"/>
      <w:contextualSpacing/>
    </w:pPr>
    <w:rPr>
      <w:rFonts w:eastAsiaTheme="majorEastAsia" w:cstheme="majorBidi"/>
      <w:b/>
      <w:color w:val="241A40" w:themeColor="text1"/>
      <w:spacing w:val="5"/>
      <w:kern w:val="28"/>
      <w:sz w:val="72"/>
      <w:szCs w:val="52"/>
    </w:rPr>
  </w:style>
  <w:style w:type="character" w:customStyle="1" w:styleId="TitleChar">
    <w:name w:val="Title Char"/>
    <w:basedOn w:val="DefaultParagraphFont"/>
    <w:link w:val="Title"/>
    <w:uiPriority w:val="10"/>
    <w:rsid w:val="000F41F9"/>
    <w:rPr>
      <w:rFonts w:eastAsiaTheme="majorEastAsia" w:cstheme="majorBidi"/>
      <w:b/>
      <w:color w:val="241A40" w:themeColor="text1"/>
      <w:spacing w:val="5"/>
      <w:kern w:val="28"/>
      <w:sz w:val="72"/>
      <w:szCs w:val="52"/>
    </w:rPr>
  </w:style>
  <w:style w:type="paragraph" w:styleId="Subtitle">
    <w:name w:val="Subtitle"/>
    <w:basedOn w:val="Normal"/>
    <w:next w:val="Normal"/>
    <w:link w:val="SubtitleChar"/>
    <w:uiPriority w:val="11"/>
    <w:qFormat/>
    <w:rsid w:val="00314F2E"/>
    <w:pPr>
      <w:numPr>
        <w:ilvl w:val="1"/>
      </w:numPr>
      <w:spacing w:line="240" w:lineRule="auto"/>
    </w:pPr>
    <w:rPr>
      <w:rFonts w:asciiTheme="majorHAnsi" w:eastAsiaTheme="majorEastAsia" w:hAnsiTheme="majorHAnsi" w:cstheme="majorBidi"/>
      <w:b/>
      <w:iCs/>
      <w:color w:val="241A40" w:themeColor="accent5"/>
      <w:spacing w:val="15"/>
      <w:sz w:val="28"/>
      <w:szCs w:val="24"/>
    </w:rPr>
  </w:style>
  <w:style w:type="character" w:customStyle="1" w:styleId="SubtitleChar">
    <w:name w:val="Subtitle Char"/>
    <w:basedOn w:val="DefaultParagraphFont"/>
    <w:link w:val="Subtitle"/>
    <w:uiPriority w:val="11"/>
    <w:rsid w:val="00314F2E"/>
    <w:rPr>
      <w:rFonts w:asciiTheme="majorHAnsi" w:eastAsiaTheme="majorEastAsia" w:hAnsiTheme="majorHAnsi" w:cstheme="majorBidi"/>
      <w:b/>
      <w:iCs/>
      <w:color w:val="241A40" w:themeColor="accent5"/>
      <w:spacing w:val="15"/>
      <w:sz w:val="28"/>
      <w:szCs w:val="24"/>
    </w:rPr>
  </w:style>
  <w:style w:type="character" w:styleId="Strong">
    <w:name w:val="Strong"/>
    <w:basedOn w:val="DefaultParagraphFont"/>
    <w:uiPriority w:val="22"/>
    <w:qFormat/>
    <w:rsid w:val="0076053E"/>
    <w:rPr>
      <w:rFonts w:ascii="Calibri" w:hAnsi="Calibri"/>
      <w:b/>
      <w:bCs/>
      <w:sz w:val="24"/>
    </w:rPr>
  </w:style>
  <w:style w:type="character" w:styleId="Emphasis">
    <w:name w:val="Emphasis"/>
    <w:basedOn w:val="DefaultParagraphFont"/>
    <w:uiPriority w:val="20"/>
    <w:qFormat/>
    <w:rsid w:val="001B3999"/>
    <w:rPr>
      <w:i/>
      <w:iCs/>
    </w:rPr>
  </w:style>
  <w:style w:type="paragraph" w:styleId="NoSpacing">
    <w:name w:val="No Spacing"/>
    <w:link w:val="NoSpacingChar"/>
    <w:uiPriority w:val="1"/>
    <w:qFormat/>
    <w:rsid w:val="001B3999"/>
    <w:pPr>
      <w:spacing w:after="0" w:line="240" w:lineRule="auto"/>
    </w:pPr>
  </w:style>
  <w:style w:type="paragraph" w:styleId="ListParagraph">
    <w:name w:val="List Paragraph"/>
    <w:basedOn w:val="Normal"/>
    <w:uiPriority w:val="34"/>
    <w:qFormat/>
    <w:rsid w:val="001B3999"/>
    <w:pPr>
      <w:ind w:left="720"/>
      <w:contextualSpacing/>
    </w:pPr>
  </w:style>
  <w:style w:type="paragraph" w:styleId="Quote">
    <w:name w:val="Quote"/>
    <w:basedOn w:val="Normal"/>
    <w:next w:val="Normal"/>
    <w:link w:val="QuoteChar"/>
    <w:uiPriority w:val="29"/>
    <w:qFormat/>
    <w:rsid w:val="001B3999"/>
    <w:rPr>
      <w:i/>
      <w:iCs/>
      <w:color w:val="241A40" w:themeColor="text1"/>
    </w:rPr>
  </w:style>
  <w:style w:type="character" w:customStyle="1" w:styleId="QuoteChar">
    <w:name w:val="Quote Char"/>
    <w:basedOn w:val="DefaultParagraphFont"/>
    <w:link w:val="Quote"/>
    <w:uiPriority w:val="29"/>
    <w:rsid w:val="001B3999"/>
    <w:rPr>
      <w:i/>
      <w:iCs/>
      <w:color w:val="241A40" w:themeColor="text1"/>
    </w:rPr>
  </w:style>
  <w:style w:type="paragraph" w:styleId="IntenseQuote">
    <w:name w:val="Intense Quote"/>
    <w:basedOn w:val="Normal"/>
    <w:next w:val="Normal"/>
    <w:link w:val="IntenseQuoteChar"/>
    <w:uiPriority w:val="30"/>
    <w:qFormat/>
    <w:rsid w:val="001B3999"/>
    <w:pPr>
      <w:pBdr>
        <w:bottom w:val="single" w:sz="4" w:space="4" w:color="85BAC8" w:themeColor="accent1"/>
      </w:pBdr>
      <w:spacing w:before="200" w:after="280"/>
      <w:ind w:left="936" w:right="936"/>
    </w:pPr>
    <w:rPr>
      <w:b/>
      <w:bCs/>
      <w:i/>
      <w:iCs/>
      <w:color w:val="85BAC8" w:themeColor="accent1"/>
    </w:rPr>
  </w:style>
  <w:style w:type="character" w:customStyle="1" w:styleId="IntenseQuoteChar">
    <w:name w:val="Intense Quote Char"/>
    <w:basedOn w:val="DefaultParagraphFont"/>
    <w:link w:val="IntenseQuote"/>
    <w:uiPriority w:val="30"/>
    <w:rsid w:val="001B3999"/>
    <w:rPr>
      <w:b/>
      <w:bCs/>
      <w:i/>
      <w:iCs/>
      <w:color w:val="85BAC8" w:themeColor="accent1"/>
    </w:rPr>
  </w:style>
  <w:style w:type="character" w:styleId="SubtleEmphasis">
    <w:name w:val="Subtle Emphasis"/>
    <w:basedOn w:val="DefaultParagraphFont"/>
    <w:uiPriority w:val="19"/>
    <w:qFormat/>
    <w:rsid w:val="001B3999"/>
    <w:rPr>
      <w:i/>
      <w:iCs/>
      <w:color w:val="816AC2" w:themeColor="text1" w:themeTint="7F"/>
    </w:rPr>
  </w:style>
  <w:style w:type="character" w:styleId="IntenseEmphasis">
    <w:name w:val="Intense Emphasis"/>
    <w:basedOn w:val="DefaultParagraphFont"/>
    <w:uiPriority w:val="21"/>
    <w:qFormat/>
    <w:rsid w:val="001B3999"/>
    <w:rPr>
      <w:b/>
      <w:bCs/>
      <w:i/>
      <w:iCs/>
      <w:color w:val="85BAC8" w:themeColor="accent1"/>
    </w:rPr>
  </w:style>
  <w:style w:type="character" w:styleId="SubtleReference">
    <w:name w:val="Subtle Reference"/>
    <w:basedOn w:val="DefaultParagraphFont"/>
    <w:uiPriority w:val="31"/>
    <w:qFormat/>
    <w:rsid w:val="001B3999"/>
    <w:rPr>
      <w:smallCaps/>
      <w:color w:val="1B708C" w:themeColor="accent2"/>
      <w:u w:val="single"/>
    </w:rPr>
  </w:style>
  <w:style w:type="character" w:styleId="IntenseReference">
    <w:name w:val="Intense Reference"/>
    <w:basedOn w:val="DefaultParagraphFont"/>
    <w:uiPriority w:val="32"/>
    <w:qFormat/>
    <w:rsid w:val="001B3999"/>
    <w:rPr>
      <w:b/>
      <w:bCs/>
      <w:smallCaps/>
      <w:color w:val="1B708C" w:themeColor="accent2"/>
      <w:spacing w:val="5"/>
      <w:u w:val="single"/>
    </w:rPr>
  </w:style>
  <w:style w:type="character" w:styleId="BookTitle">
    <w:name w:val="Book Title"/>
    <w:basedOn w:val="DefaultParagraphFont"/>
    <w:uiPriority w:val="33"/>
    <w:qFormat/>
    <w:rsid w:val="001B3999"/>
    <w:rPr>
      <w:b/>
      <w:bCs/>
      <w:smallCaps/>
      <w:spacing w:val="5"/>
    </w:rPr>
  </w:style>
  <w:style w:type="paragraph" w:styleId="TOCHeading">
    <w:name w:val="TOC Heading"/>
    <w:basedOn w:val="Heading1"/>
    <w:next w:val="Normal"/>
    <w:uiPriority w:val="39"/>
    <w:unhideWhenUsed/>
    <w:qFormat/>
    <w:rsid w:val="001B3999"/>
    <w:pPr>
      <w:outlineLvl w:val="9"/>
    </w:pPr>
  </w:style>
  <w:style w:type="paragraph" w:styleId="Footer">
    <w:name w:val="footer"/>
    <w:basedOn w:val="Normal"/>
    <w:link w:val="FooterChar"/>
    <w:uiPriority w:val="99"/>
    <w:unhideWhenUsed/>
    <w:rsid w:val="001B3999"/>
    <w:pPr>
      <w:tabs>
        <w:tab w:val="center" w:pos="4680"/>
        <w:tab w:val="right" w:pos="9360"/>
      </w:tabs>
      <w:spacing w:after="0" w:line="240" w:lineRule="auto"/>
    </w:pPr>
  </w:style>
  <w:style w:type="table" w:styleId="TableSubtle2">
    <w:name w:val="Table Subtle 2"/>
    <w:basedOn w:val="TableNormal"/>
    <w:uiPriority w:val="99"/>
    <w:semiHidden/>
    <w:unhideWhenUsed/>
    <w:rsid w:val="003E484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1B3999"/>
  </w:style>
  <w:style w:type="character" w:styleId="PageNumber">
    <w:name w:val="page number"/>
    <w:basedOn w:val="DefaultParagraphFont"/>
    <w:uiPriority w:val="99"/>
    <w:semiHidden/>
    <w:unhideWhenUsed/>
    <w:rsid w:val="001B3999"/>
  </w:style>
  <w:style w:type="paragraph" w:customStyle="1" w:styleId="PersonalName">
    <w:name w:val="Personal Name"/>
    <w:basedOn w:val="Title"/>
    <w:rsid w:val="001B3999"/>
    <w:rPr>
      <w:b w:val="0"/>
      <w:caps/>
      <w:color w:val="000000"/>
      <w:sz w:val="28"/>
      <w:szCs w:val="28"/>
    </w:rPr>
  </w:style>
  <w:style w:type="character" w:customStyle="1" w:styleId="NoSpacingChar">
    <w:name w:val="No Spacing Char"/>
    <w:basedOn w:val="DefaultParagraphFont"/>
    <w:link w:val="NoSpacing"/>
    <w:uiPriority w:val="1"/>
    <w:rsid w:val="001B3999"/>
  </w:style>
  <w:style w:type="paragraph" w:styleId="NormalWeb">
    <w:name w:val="Normal (Web)"/>
    <w:basedOn w:val="Normal"/>
    <w:uiPriority w:val="99"/>
    <w:semiHidden/>
    <w:unhideWhenUsed/>
    <w:rsid w:val="001B3999"/>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5E4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A81"/>
  </w:style>
  <w:style w:type="table" w:styleId="TableGrid">
    <w:name w:val="Table Grid"/>
    <w:basedOn w:val="TableNormal"/>
    <w:uiPriority w:val="39"/>
    <w:rsid w:val="005E4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urfulAccent5">
    <w:name w:val="List Table 7 Colorful Accent 5"/>
    <w:basedOn w:val="TableNormal"/>
    <w:uiPriority w:val="52"/>
    <w:rsid w:val="005E4A81"/>
    <w:pPr>
      <w:spacing w:after="0" w:line="240" w:lineRule="auto"/>
    </w:pPr>
    <w:rPr>
      <w:color w:val="1A132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1A4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1A4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1A4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1A40" w:themeColor="accent5"/>
        </w:tcBorders>
        <w:shd w:val="clear" w:color="auto" w:fill="FFFFFF" w:themeFill="background1"/>
      </w:tcPr>
    </w:tblStylePr>
    <w:tblStylePr w:type="band1Vert">
      <w:tblPr/>
      <w:tcPr>
        <w:shd w:val="clear" w:color="auto" w:fill="CCC3E6" w:themeFill="accent5" w:themeFillTint="33"/>
      </w:tcPr>
    </w:tblStylePr>
    <w:tblStylePr w:type="band1Horz">
      <w:tblPr/>
      <w:tcPr>
        <w:shd w:val="clear" w:color="auto" w:fill="CCC3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5E4A81"/>
    <w:pPr>
      <w:spacing w:after="0" w:line="240" w:lineRule="auto"/>
    </w:pPr>
    <w:rPr>
      <w:color w:val="14536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708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708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708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708C" w:themeColor="accent2"/>
        </w:tcBorders>
        <w:shd w:val="clear" w:color="auto" w:fill="FFFFFF" w:themeFill="background1"/>
      </w:tcPr>
    </w:tblStylePr>
    <w:tblStylePr w:type="band1Vert">
      <w:tblPr/>
      <w:tcPr>
        <w:shd w:val="clear" w:color="auto" w:fill="C5E8F4" w:themeFill="accent2" w:themeFillTint="33"/>
      </w:tcPr>
    </w:tblStylePr>
    <w:tblStylePr w:type="band1Horz">
      <w:tblPr/>
      <w:tcPr>
        <w:shd w:val="clear" w:color="auto" w:fill="C5E8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5E4A81"/>
    <w:pPr>
      <w:spacing w:after="0" w:line="240" w:lineRule="auto"/>
    </w:pPr>
    <w:rPr>
      <w:color w:val="56515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6D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6D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6D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6D73" w:themeColor="accent6"/>
        </w:tcBorders>
        <w:shd w:val="clear" w:color="auto" w:fill="FFFFFF" w:themeFill="background1"/>
      </w:tcPr>
    </w:tblStylePr>
    <w:tblStylePr w:type="band1Vert">
      <w:tblPr/>
      <w:tcPr>
        <w:shd w:val="clear" w:color="auto" w:fill="E3E1E3" w:themeFill="accent6" w:themeFillTint="33"/>
      </w:tcPr>
    </w:tblStylePr>
    <w:tblStylePr w:type="band1Horz">
      <w:tblPr/>
      <w:tcPr>
        <w:shd w:val="clear" w:color="auto" w:fill="E3E1E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5E4A81"/>
    <w:pPr>
      <w:spacing w:after="0" w:line="240" w:lineRule="auto"/>
    </w:pPr>
    <w:tblPr>
      <w:tblStyleRowBandSize w:val="1"/>
      <w:tblStyleColBandSize w:val="1"/>
      <w:tblBorders>
        <w:top w:val="single" w:sz="4" w:space="0" w:color="1DA2A9" w:themeColor="accent3"/>
        <w:left w:val="single" w:sz="4" w:space="0" w:color="1DA2A9" w:themeColor="accent3"/>
        <w:bottom w:val="single" w:sz="4" w:space="0" w:color="1DA2A9" w:themeColor="accent3"/>
        <w:right w:val="single" w:sz="4" w:space="0" w:color="1DA2A9" w:themeColor="accent3"/>
      </w:tblBorders>
    </w:tblPr>
    <w:tblStylePr w:type="firstRow">
      <w:rPr>
        <w:b/>
        <w:bCs/>
        <w:color w:val="FFFFFF" w:themeColor="background1"/>
      </w:rPr>
      <w:tblPr/>
      <w:tcPr>
        <w:shd w:val="clear" w:color="auto" w:fill="1DA2A9" w:themeFill="accent3"/>
      </w:tcPr>
    </w:tblStylePr>
    <w:tblStylePr w:type="lastRow">
      <w:rPr>
        <w:b/>
        <w:bCs/>
      </w:rPr>
      <w:tblPr/>
      <w:tcPr>
        <w:tcBorders>
          <w:top w:val="double" w:sz="4" w:space="0" w:color="1DA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A2A9" w:themeColor="accent3"/>
          <w:right w:val="single" w:sz="4" w:space="0" w:color="1DA2A9" w:themeColor="accent3"/>
        </w:tcBorders>
      </w:tcPr>
    </w:tblStylePr>
    <w:tblStylePr w:type="band1Horz">
      <w:tblPr/>
      <w:tcPr>
        <w:tcBorders>
          <w:top w:val="single" w:sz="4" w:space="0" w:color="1DA2A9" w:themeColor="accent3"/>
          <w:bottom w:val="single" w:sz="4" w:space="0" w:color="1DA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A2A9" w:themeColor="accent3"/>
          <w:left w:val="nil"/>
        </w:tcBorders>
      </w:tcPr>
    </w:tblStylePr>
    <w:tblStylePr w:type="swCell">
      <w:tblPr/>
      <w:tcPr>
        <w:tcBorders>
          <w:top w:val="double" w:sz="4" w:space="0" w:color="1DA2A9" w:themeColor="accent3"/>
          <w:right w:val="nil"/>
        </w:tcBorders>
      </w:tcPr>
    </w:tblStylePr>
  </w:style>
  <w:style w:type="table" w:styleId="ListTable1Light-Accent6">
    <w:name w:val="List Table 1 Light Accent 6"/>
    <w:basedOn w:val="TableNormal"/>
    <w:uiPriority w:val="46"/>
    <w:rsid w:val="005E4A81"/>
    <w:pPr>
      <w:spacing w:after="0" w:line="240" w:lineRule="auto"/>
    </w:pPr>
    <w:tblPr>
      <w:tblStyleRowBandSize w:val="1"/>
      <w:tblStyleColBandSize w:val="1"/>
    </w:tblPr>
    <w:tblStylePr w:type="firstRow">
      <w:rPr>
        <w:b/>
        <w:bCs/>
      </w:rPr>
      <w:tblPr/>
      <w:tcPr>
        <w:tcBorders>
          <w:bottom w:val="single" w:sz="4" w:space="0" w:color="ABA6AB" w:themeColor="accent6" w:themeTint="99"/>
        </w:tcBorders>
      </w:tcPr>
    </w:tblStylePr>
    <w:tblStylePr w:type="lastRow">
      <w:rPr>
        <w:b/>
        <w:bCs/>
      </w:rPr>
      <w:tblPr/>
      <w:tcPr>
        <w:tcBorders>
          <w:top w:val="single" w:sz="4" w:space="0" w:color="ABA6AB" w:themeColor="accent6" w:themeTint="99"/>
        </w:tcBorders>
      </w:tcPr>
    </w:tblStylePr>
    <w:tblStylePr w:type="firstCol">
      <w:rPr>
        <w:b/>
        <w:bCs/>
      </w:rPr>
    </w:tblStylePr>
    <w:tblStylePr w:type="lastCol">
      <w:rPr>
        <w:b/>
        <w:bCs/>
      </w:rPr>
    </w:tblStylePr>
    <w:tblStylePr w:type="band1Vert">
      <w:tblPr/>
      <w:tcPr>
        <w:shd w:val="clear" w:color="auto" w:fill="E3E1E3" w:themeFill="accent6" w:themeFillTint="33"/>
      </w:tcPr>
    </w:tblStylePr>
    <w:tblStylePr w:type="band1Horz">
      <w:tblPr/>
      <w:tcPr>
        <w:shd w:val="clear" w:color="auto" w:fill="E3E1E3" w:themeFill="accent6" w:themeFillTint="33"/>
      </w:tcPr>
    </w:tblStylePr>
  </w:style>
  <w:style w:type="table" w:styleId="ListTable1Light-Accent5">
    <w:name w:val="List Table 1 Light Accent 5"/>
    <w:basedOn w:val="TableNormal"/>
    <w:uiPriority w:val="46"/>
    <w:rsid w:val="005E4A81"/>
    <w:pPr>
      <w:spacing w:after="0" w:line="240" w:lineRule="auto"/>
    </w:pPr>
    <w:tblPr>
      <w:tblStyleRowBandSize w:val="1"/>
      <w:tblStyleColBandSize w:val="1"/>
    </w:tblPr>
    <w:tblStylePr w:type="firstRow">
      <w:rPr>
        <w:b/>
        <w:bCs/>
      </w:rPr>
      <w:tblPr/>
      <w:tcPr>
        <w:tcBorders>
          <w:bottom w:val="single" w:sz="4" w:space="0" w:color="674BB6" w:themeColor="accent5" w:themeTint="99"/>
        </w:tcBorders>
      </w:tcPr>
    </w:tblStylePr>
    <w:tblStylePr w:type="lastRow">
      <w:rPr>
        <w:b/>
        <w:bCs/>
      </w:rPr>
      <w:tblPr/>
      <w:tcPr>
        <w:tcBorders>
          <w:top w:val="single" w:sz="4" w:space="0" w:color="674BB6" w:themeColor="accent5" w:themeTint="99"/>
        </w:tcBorders>
      </w:tcPr>
    </w:tblStylePr>
    <w:tblStylePr w:type="firstCol">
      <w:rPr>
        <w:b/>
        <w:bCs/>
      </w:rPr>
    </w:tblStylePr>
    <w:tblStylePr w:type="lastCol">
      <w:rPr>
        <w:b/>
        <w:bCs/>
      </w:rPr>
    </w:tblStylePr>
    <w:tblStylePr w:type="band1Vert">
      <w:tblPr/>
      <w:tcPr>
        <w:shd w:val="clear" w:color="auto" w:fill="CCC3E6" w:themeFill="accent5" w:themeFillTint="33"/>
      </w:tcPr>
    </w:tblStylePr>
    <w:tblStylePr w:type="band1Horz">
      <w:tblPr/>
      <w:tcPr>
        <w:shd w:val="clear" w:color="auto" w:fill="CCC3E6" w:themeFill="accent5" w:themeFillTint="33"/>
      </w:tcPr>
    </w:tblStylePr>
  </w:style>
  <w:style w:type="table" w:styleId="GridTable2-Accent6">
    <w:name w:val="Grid Table 2 Accent 6"/>
    <w:basedOn w:val="TableNormal"/>
    <w:uiPriority w:val="47"/>
    <w:rsid w:val="005E4A81"/>
    <w:pPr>
      <w:spacing w:after="0" w:line="240" w:lineRule="auto"/>
    </w:pPr>
    <w:tblPr>
      <w:tblStyleRowBandSize w:val="1"/>
      <w:tblStyleColBandSize w:val="1"/>
      <w:tblBorders>
        <w:top w:val="single" w:sz="2" w:space="0" w:color="ABA6AB" w:themeColor="accent6" w:themeTint="99"/>
        <w:bottom w:val="single" w:sz="2" w:space="0" w:color="ABA6AB" w:themeColor="accent6" w:themeTint="99"/>
        <w:insideH w:val="single" w:sz="2" w:space="0" w:color="ABA6AB" w:themeColor="accent6" w:themeTint="99"/>
        <w:insideV w:val="single" w:sz="2" w:space="0" w:color="ABA6AB" w:themeColor="accent6" w:themeTint="99"/>
      </w:tblBorders>
    </w:tblPr>
    <w:tblStylePr w:type="firstRow">
      <w:rPr>
        <w:b/>
        <w:bCs/>
      </w:rPr>
      <w:tblPr/>
      <w:tcPr>
        <w:tcBorders>
          <w:top w:val="nil"/>
          <w:bottom w:val="single" w:sz="12" w:space="0" w:color="ABA6AB" w:themeColor="accent6" w:themeTint="99"/>
          <w:insideH w:val="nil"/>
          <w:insideV w:val="nil"/>
        </w:tcBorders>
        <w:shd w:val="clear" w:color="auto" w:fill="FFFFFF" w:themeFill="background1"/>
      </w:tcPr>
    </w:tblStylePr>
    <w:tblStylePr w:type="lastRow">
      <w:rPr>
        <w:b/>
        <w:bCs/>
      </w:rPr>
      <w:tblPr/>
      <w:tcPr>
        <w:tcBorders>
          <w:top w:val="double" w:sz="2" w:space="0" w:color="ABA6A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1E3" w:themeFill="accent6" w:themeFillTint="33"/>
      </w:tcPr>
    </w:tblStylePr>
    <w:tblStylePr w:type="band1Horz">
      <w:tblPr/>
      <w:tcPr>
        <w:shd w:val="clear" w:color="auto" w:fill="E3E1E3" w:themeFill="accent6" w:themeFillTint="33"/>
      </w:tcPr>
    </w:tblStylePr>
  </w:style>
  <w:style w:type="table" w:styleId="GridTable2-Accent1">
    <w:name w:val="Grid Table 2 Accent 1"/>
    <w:basedOn w:val="TableNormal"/>
    <w:uiPriority w:val="47"/>
    <w:rsid w:val="005E4A81"/>
    <w:pPr>
      <w:spacing w:after="0" w:line="240" w:lineRule="auto"/>
    </w:pPr>
    <w:tblPr>
      <w:tblStyleRowBandSize w:val="1"/>
      <w:tblStyleColBandSize w:val="1"/>
      <w:tblBorders>
        <w:top w:val="single" w:sz="2" w:space="0" w:color="B5D5DE" w:themeColor="accent1" w:themeTint="99"/>
        <w:bottom w:val="single" w:sz="2" w:space="0" w:color="B5D5DE" w:themeColor="accent1" w:themeTint="99"/>
        <w:insideH w:val="single" w:sz="2" w:space="0" w:color="B5D5DE" w:themeColor="accent1" w:themeTint="99"/>
        <w:insideV w:val="single" w:sz="2" w:space="0" w:color="B5D5DE" w:themeColor="accent1" w:themeTint="99"/>
      </w:tblBorders>
    </w:tblPr>
    <w:tblStylePr w:type="firstRow">
      <w:rPr>
        <w:b/>
        <w:bCs/>
      </w:rPr>
      <w:tblPr/>
      <w:tcPr>
        <w:tcBorders>
          <w:top w:val="nil"/>
          <w:bottom w:val="single" w:sz="12" w:space="0" w:color="B5D5DE" w:themeColor="accent1" w:themeTint="99"/>
          <w:insideH w:val="nil"/>
          <w:insideV w:val="nil"/>
        </w:tcBorders>
        <w:shd w:val="clear" w:color="auto" w:fill="FFFFFF" w:themeFill="background1"/>
      </w:tcPr>
    </w:tblStylePr>
    <w:tblStylePr w:type="lastRow">
      <w:rPr>
        <w:b/>
        <w:bCs/>
      </w:rPr>
      <w:tblPr/>
      <w:tcPr>
        <w:tcBorders>
          <w:top w:val="double" w:sz="2" w:space="0" w:color="B5D5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1F4" w:themeFill="accent1" w:themeFillTint="33"/>
      </w:tcPr>
    </w:tblStylePr>
    <w:tblStylePr w:type="band1Horz">
      <w:tblPr/>
      <w:tcPr>
        <w:shd w:val="clear" w:color="auto" w:fill="E6F1F4" w:themeFill="accent1" w:themeFillTint="33"/>
      </w:tcPr>
    </w:tblStylePr>
  </w:style>
  <w:style w:type="table" w:styleId="GridTable4-Accent1">
    <w:name w:val="Grid Table 4 Accent 1"/>
    <w:basedOn w:val="TableNormal"/>
    <w:uiPriority w:val="49"/>
    <w:rsid w:val="005E4A81"/>
    <w:pPr>
      <w:spacing w:after="0" w:line="240" w:lineRule="auto"/>
    </w:pPr>
    <w:tblPr>
      <w:tblStyleRowBandSize w:val="1"/>
      <w:tblStyleColBandSize w:val="1"/>
      <w:tblBorders>
        <w:top w:val="single" w:sz="4" w:space="0" w:color="B5D5DE" w:themeColor="accent1" w:themeTint="99"/>
        <w:left w:val="single" w:sz="4" w:space="0" w:color="B5D5DE" w:themeColor="accent1" w:themeTint="99"/>
        <w:bottom w:val="single" w:sz="4" w:space="0" w:color="B5D5DE" w:themeColor="accent1" w:themeTint="99"/>
        <w:right w:val="single" w:sz="4" w:space="0" w:color="B5D5DE" w:themeColor="accent1" w:themeTint="99"/>
        <w:insideH w:val="single" w:sz="4" w:space="0" w:color="B5D5DE" w:themeColor="accent1" w:themeTint="99"/>
        <w:insideV w:val="single" w:sz="4" w:space="0" w:color="B5D5DE" w:themeColor="accent1" w:themeTint="99"/>
      </w:tblBorders>
    </w:tblPr>
    <w:tblStylePr w:type="firstRow">
      <w:rPr>
        <w:b/>
        <w:bCs/>
        <w:color w:val="FFFFFF" w:themeColor="background1"/>
      </w:rPr>
      <w:tblPr/>
      <w:tcPr>
        <w:tcBorders>
          <w:top w:val="single" w:sz="4" w:space="0" w:color="85BAC8" w:themeColor="accent1"/>
          <w:left w:val="single" w:sz="4" w:space="0" w:color="85BAC8" w:themeColor="accent1"/>
          <w:bottom w:val="single" w:sz="4" w:space="0" w:color="85BAC8" w:themeColor="accent1"/>
          <w:right w:val="single" w:sz="4" w:space="0" w:color="85BAC8" w:themeColor="accent1"/>
          <w:insideH w:val="nil"/>
          <w:insideV w:val="nil"/>
        </w:tcBorders>
        <w:shd w:val="clear" w:color="auto" w:fill="85BAC8" w:themeFill="accent1"/>
      </w:tcPr>
    </w:tblStylePr>
    <w:tblStylePr w:type="lastRow">
      <w:rPr>
        <w:b/>
        <w:bCs/>
      </w:rPr>
      <w:tblPr/>
      <w:tcPr>
        <w:tcBorders>
          <w:top w:val="double" w:sz="4" w:space="0" w:color="85BAC8" w:themeColor="accent1"/>
        </w:tcBorders>
      </w:tcPr>
    </w:tblStylePr>
    <w:tblStylePr w:type="firstCol">
      <w:rPr>
        <w:b/>
        <w:bCs/>
      </w:rPr>
    </w:tblStylePr>
    <w:tblStylePr w:type="lastCol">
      <w:rPr>
        <w:b/>
        <w:bCs/>
      </w:rPr>
    </w:tblStylePr>
    <w:tblStylePr w:type="band1Vert">
      <w:tblPr/>
      <w:tcPr>
        <w:shd w:val="clear" w:color="auto" w:fill="E6F1F4" w:themeFill="accent1" w:themeFillTint="33"/>
      </w:tcPr>
    </w:tblStylePr>
    <w:tblStylePr w:type="band1Horz">
      <w:tblPr/>
      <w:tcPr>
        <w:shd w:val="clear" w:color="auto" w:fill="E6F1F4" w:themeFill="accent1" w:themeFillTint="33"/>
      </w:tcPr>
    </w:tblStylePr>
  </w:style>
  <w:style w:type="paragraph" w:styleId="TOC1">
    <w:name w:val="toc 1"/>
    <w:basedOn w:val="Normal"/>
    <w:next w:val="Normal"/>
    <w:autoRedefine/>
    <w:uiPriority w:val="39"/>
    <w:unhideWhenUsed/>
    <w:rsid w:val="00DB24C9"/>
    <w:pPr>
      <w:spacing w:before="360" w:after="360"/>
    </w:pPr>
    <w:rPr>
      <w:rFonts w:cstheme="minorHAnsi"/>
      <w:b/>
      <w:bCs/>
      <w:caps/>
      <w:sz w:val="22"/>
      <w:u w:val="single"/>
    </w:rPr>
  </w:style>
  <w:style w:type="paragraph" w:styleId="TOC2">
    <w:name w:val="toc 2"/>
    <w:basedOn w:val="Normal"/>
    <w:next w:val="Normal"/>
    <w:autoRedefine/>
    <w:uiPriority w:val="39"/>
    <w:unhideWhenUsed/>
    <w:rsid w:val="00DB24C9"/>
    <w:pPr>
      <w:spacing w:after="0"/>
    </w:pPr>
    <w:rPr>
      <w:rFonts w:cstheme="minorHAnsi"/>
      <w:b/>
      <w:bCs/>
      <w:smallCaps/>
      <w:sz w:val="22"/>
    </w:rPr>
  </w:style>
  <w:style w:type="paragraph" w:styleId="TOC3">
    <w:name w:val="toc 3"/>
    <w:basedOn w:val="Normal"/>
    <w:next w:val="Normal"/>
    <w:autoRedefine/>
    <w:uiPriority w:val="39"/>
    <w:unhideWhenUsed/>
    <w:rsid w:val="00DB24C9"/>
    <w:pPr>
      <w:spacing w:after="0"/>
    </w:pPr>
    <w:rPr>
      <w:rFonts w:cstheme="minorHAnsi"/>
      <w:smallCaps/>
      <w:sz w:val="22"/>
    </w:rPr>
  </w:style>
  <w:style w:type="paragraph" w:styleId="TOC4">
    <w:name w:val="toc 4"/>
    <w:basedOn w:val="Normal"/>
    <w:next w:val="Normal"/>
    <w:autoRedefine/>
    <w:uiPriority w:val="39"/>
    <w:unhideWhenUsed/>
    <w:rsid w:val="00DB24C9"/>
    <w:pPr>
      <w:spacing w:after="0"/>
    </w:pPr>
    <w:rPr>
      <w:rFonts w:cstheme="minorHAnsi"/>
      <w:sz w:val="22"/>
    </w:rPr>
  </w:style>
  <w:style w:type="paragraph" w:styleId="TOC5">
    <w:name w:val="toc 5"/>
    <w:basedOn w:val="Normal"/>
    <w:next w:val="Normal"/>
    <w:autoRedefine/>
    <w:uiPriority w:val="39"/>
    <w:unhideWhenUsed/>
    <w:rsid w:val="00DB24C9"/>
    <w:pPr>
      <w:spacing w:after="0"/>
    </w:pPr>
    <w:rPr>
      <w:rFonts w:cstheme="minorHAnsi"/>
      <w:sz w:val="22"/>
    </w:rPr>
  </w:style>
  <w:style w:type="paragraph" w:styleId="TOC6">
    <w:name w:val="toc 6"/>
    <w:basedOn w:val="Normal"/>
    <w:next w:val="Normal"/>
    <w:autoRedefine/>
    <w:uiPriority w:val="39"/>
    <w:unhideWhenUsed/>
    <w:rsid w:val="00DB24C9"/>
    <w:pPr>
      <w:spacing w:after="0"/>
    </w:pPr>
    <w:rPr>
      <w:rFonts w:cstheme="minorHAnsi"/>
      <w:sz w:val="22"/>
    </w:rPr>
  </w:style>
  <w:style w:type="paragraph" w:styleId="TOC7">
    <w:name w:val="toc 7"/>
    <w:basedOn w:val="Normal"/>
    <w:next w:val="Normal"/>
    <w:autoRedefine/>
    <w:uiPriority w:val="39"/>
    <w:unhideWhenUsed/>
    <w:rsid w:val="00DB24C9"/>
    <w:pPr>
      <w:spacing w:after="0"/>
    </w:pPr>
    <w:rPr>
      <w:rFonts w:cstheme="minorHAnsi"/>
      <w:sz w:val="22"/>
    </w:rPr>
  </w:style>
  <w:style w:type="paragraph" w:styleId="TOC8">
    <w:name w:val="toc 8"/>
    <w:basedOn w:val="Normal"/>
    <w:next w:val="Normal"/>
    <w:autoRedefine/>
    <w:uiPriority w:val="39"/>
    <w:unhideWhenUsed/>
    <w:rsid w:val="00DB24C9"/>
    <w:pPr>
      <w:spacing w:after="0"/>
    </w:pPr>
    <w:rPr>
      <w:rFonts w:cstheme="minorHAnsi"/>
      <w:sz w:val="22"/>
    </w:rPr>
  </w:style>
  <w:style w:type="paragraph" w:styleId="TOC9">
    <w:name w:val="toc 9"/>
    <w:basedOn w:val="Normal"/>
    <w:next w:val="Normal"/>
    <w:autoRedefine/>
    <w:uiPriority w:val="39"/>
    <w:unhideWhenUsed/>
    <w:rsid w:val="00DB24C9"/>
    <w:pPr>
      <w:spacing w:after="0"/>
    </w:pPr>
    <w:rPr>
      <w:rFonts w:cstheme="minorHAnsi"/>
      <w:sz w:val="22"/>
    </w:rPr>
  </w:style>
  <w:style w:type="character" w:styleId="Hyperlink">
    <w:name w:val="Hyperlink"/>
    <w:basedOn w:val="DefaultParagraphFont"/>
    <w:uiPriority w:val="99"/>
    <w:unhideWhenUsed/>
    <w:rsid w:val="00DB24C9"/>
    <w:rPr>
      <w:color w:val="241A40" w:themeColor="hyperlink"/>
      <w:u w:val="single"/>
    </w:rPr>
  </w:style>
  <w:style w:type="character" w:styleId="FootnoteReference">
    <w:name w:val="footnote reference"/>
    <w:basedOn w:val="DefaultParagraphFont"/>
    <w:uiPriority w:val="99"/>
    <w:semiHidden/>
    <w:unhideWhenUsed/>
    <w:rsid w:val="00C171C7"/>
    <w:rPr>
      <w:vertAlign w:val="superscript"/>
    </w:rPr>
  </w:style>
  <w:style w:type="paragraph" w:styleId="FootnoteText">
    <w:name w:val="footnote text"/>
    <w:basedOn w:val="Normal"/>
    <w:link w:val="FootnoteTextChar"/>
    <w:uiPriority w:val="99"/>
    <w:semiHidden/>
    <w:unhideWhenUsed/>
    <w:rsid w:val="00C171C7"/>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C171C7"/>
    <w:rPr>
      <w:rFonts w:eastAsiaTheme="minorHAnsi"/>
      <w:sz w:val="20"/>
      <w:szCs w:val="20"/>
    </w:rPr>
  </w:style>
  <w:style w:type="paragraph" w:styleId="ListBullet">
    <w:name w:val="List Bullet"/>
    <w:basedOn w:val="ListParagraph"/>
    <w:uiPriority w:val="99"/>
    <w:rsid w:val="001C3951"/>
    <w:pPr>
      <w:widowControl w:val="0"/>
      <w:numPr>
        <w:ilvl w:val="2"/>
        <w:numId w:val="32"/>
      </w:numPr>
      <w:tabs>
        <w:tab w:val="left" w:pos="963"/>
      </w:tabs>
      <w:autoSpaceDE w:val="0"/>
      <w:autoSpaceDN w:val="0"/>
      <w:spacing w:after="60" w:line="280" w:lineRule="atLeast"/>
      <w:ind w:left="454" w:hanging="454"/>
      <w:contextualSpacing w:val="0"/>
    </w:pPr>
    <w:rPr>
      <w:rFonts w:eastAsiaTheme="minorHAnsi"/>
      <w:sz w:val="22"/>
    </w:rPr>
  </w:style>
  <w:style w:type="character" w:customStyle="1" w:styleId="normaltextrun">
    <w:name w:val="normaltextrun"/>
    <w:basedOn w:val="DefaultParagraphFont"/>
    <w:rsid w:val="000145A0"/>
  </w:style>
  <w:style w:type="paragraph" w:styleId="Revision">
    <w:name w:val="Revision"/>
    <w:hidden/>
    <w:uiPriority w:val="99"/>
    <w:semiHidden/>
    <w:rsid w:val="003C208F"/>
    <w:pPr>
      <w:spacing w:after="0" w:line="240" w:lineRule="auto"/>
    </w:pPr>
    <w:rPr>
      <w:rFonts w:eastAsiaTheme="minorHAnsi"/>
    </w:rPr>
  </w:style>
  <w:style w:type="character" w:customStyle="1" w:styleId="eop">
    <w:name w:val="eop"/>
    <w:basedOn w:val="DefaultParagraphFont"/>
    <w:rsid w:val="003C208F"/>
    <w:rPr>
      <w:rFonts w:asciiTheme="minorHAnsi" w:eastAsiaTheme="minorEastAsia" w:hAnsiTheme="minorHAnsi" w:cstheme="minorBidi"/>
      <w:sz w:val="24"/>
      <w:szCs w:val="24"/>
      <w:lang w:val="en-GB" w:eastAsia="en-US" w:bidi="ar-SA"/>
    </w:rPr>
  </w:style>
  <w:style w:type="character" w:styleId="FollowedHyperlink">
    <w:name w:val="FollowedHyperlink"/>
    <w:basedOn w:val="DefaultParagraphFont"/>
    <w:uiPriority w:val="99"/>
    <w:semiHidden/>
    <w:unhideWhenUsed/>
    <w:rsid w:val="00FF245B"/>
    <w:rPr>
      <w:color w:val="1DA2A9" w:themeColor="followedHyperlink"/>
      <w:u w:val="single"/>
    </w:rPr>
  </w:style>
  <w:style w:type="character" w:styleId="UnresolvedMention">
    <w:name w:val="Unresolved Mention"/>
    <w:basedOn w:val="DefaultParagraphFont"/>
    <w:uiPriority w:val="99"/>
    <w:semiHidden/>
    <w:unhideWhenUsed/>
    <w:rsid w:val="002E0356"/>
    <w:rPr>
      <w:color w:val="605E5C"/>
      <w:shd w:val="clear" w:color="auto" w:fill="E1DFDD"/>
    </w:rPr>
  </w:style>
  <w:style w:type="table" w:styleId="GridTable1Light">
    <w:name w:val="Grid Table 1 Light"/>
    <w:basedOn w:val="TableNormal"/>
    <w:uiPriority w:val="46"/>
    <w:rsid w:val="00186188"/>
    <w:pPr>
      <w:spacing w:after="0" w:line="240" w:lineRule="auto"/>
    </w:pPr>
    <w:rPr>
      <w:rFonts w:eastAsiaTheme="minorHAnsi"/>
      <w:kern w:val="2"/>
      <w:sz w:val="24"/>
      <w:szCs w:val="24"/>
      <w14:ligatures w14:val="standardContextual"/>
    </w:rPr>
    <w:tblPr>
      <w:tblStyleRowBandSize w:val="1"/>
      <w:tblStyleColBandSize w:val="1"/>
      <w:tblBorders>
        <w:top w:val="single" w:sz="4" w:space="0" w:color="9A87CE" w:themeColor="text1" w:themeTint="66"/>
        <w:left w:val="single" w:sz="4" w:space="0" w:color="9A87CE" w:themeColor="text1" w:themeTint="66"/>
        <w:bottom w:val="single" w:sz="4" w:space="0" w:color="9A87CE" w:themeColor="text1" w:themeTint="66"/>
        <w:right w:val="single" w:sz="4" w:space="0" w:color="9A87CE" w:themeColor="text1" w:themeTint="66"/>
        <w:insideH w:val="single" w:sz="4" w:space="0" w:color="9A87CE" w:themeColor="text1" w:themeTint="66"/>
        <w:insideV w:val="single" w:sz="4" w:space="0" w:color="9A87CE" w:themeColor="text1" w:themeTint="66"/>
      </w:tblBorders>
    </w:tblPr>
    <w:tblStylePr w:type="firstRow">
      <w:rPr>
        <w:b/>
        <w:bCs/>
      </w:rPr>
      <w:tblPr/>
      <w:tcPr>
        <w:tcBorders>
          <w:bottom w:val="single" w:sz="12" w:space="0" w:color="674BB6" w:themeColor="text1" w:themeTint="99"/>
        </w:tcBorders>
      </w:tcPr>
    </w:tblStylePr>
    <w:tblStylePr w:type="lastRow">
      <w:rPr>
        <w:b/>
        <w:bCs/>
      </w:rPr>
      <w:tblPr/>
      <w:tcPr>
        <w:tcBorders>
          <w:top w:val="double" w:sz="2" w:space="0" w:color="674BB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F2CEA"/>
    <w:rPr>
      <w:sz w:val="16"/>
      <w:szCs w:val="16"/>
    </w:rPr>
  </w:style>
  <w:style w:type="paragraph" w:styleId="CommentText">
    <w:name w:val="annotation text"/>
    <w:basedOn w:val="Normal"/>
    <w:link w:val="CommentTextChar"/>
    <w:uiPriority w:val="99"/>
    <w:semiHidden/>
    <w:unhideWhenUsed/>
    <w:rsid w:val="00CF2CEA"/>
    <w:pPr>
      <w:spacing w:line="240" w:lineRule="auto"/>
    </w:pPr>
    <w:rPr>
      <w:sz w:val="20"/>
      <w:szCs w:val="20"/>
    </w:rPr>
  </w:style>
  <w:style w:type="character" w:customStyle="1" w:styleId="CommentTextChar">
    <w:name w:val="Comment Text Char"/>
    <w:basedOn w:val="DefaultParagraphFont"/>
    <w:link w:val="CommentText"/>
    <w:uiPriority w:val="99"/>
    <w:semiHidden/>
    <w:rsid w:val="00CF2CEA"/>
    <w:rPr>
      <w:sz w:val="20"/>
      <w:szCs w:val="20"/>
    </w:rPr>
  </w:style>
  <w:style w:type="paragraph" w:styleId="CommentSubject">
    <w:name w:val="annotation subject"/>
    <w:basedOn w:val="CommentText"/>
    <w:next w:val="CommentText"/>
    <w:link w:val="CommentSubjectChar"/>
    <w:uiPriority w:val="99"/>
    <w:semiHidden/>
    <w:unhideWhenUsed/>
    <w:rsid w:val="00CF2CEA"/>
    <w:rPr>
      <w:b/>
      <w:bCs/>
    </w:rPr>
  </w:style>
  <w:style w:type="character" w:customStyle="1" w:styleId="CommentSubjectChar">
    <w:name w:val="Comment Subject Char"/>
    <w:basedOn w:val="CommentTextChar"/>
    <w:link w:val="CommentSubject"/>
    <w:uiPriority w:val="99"/>
    <w:semiHidden/>
    <w:rsid w:val="00CF2C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071740">
      <w:bodyDiv w:val="1"/>
      <w:marLeft w:val="0"/>
      <w:marRight w:val="0"/>
      <w:marTop w:val="0"/>
      <w:marBottom w:val="0"/>
      <w:divBdr>
        <w:top w:val="none" w:sz="0" w:space="0" w:color="auto"/>
        <w:left w:val="none" w:sz="0" w:space="0" w:color="auto"/>
        <w:bottom w:val="none" w:sz="0" w:space="0" w:color="auto"/>
        <w:right w:val="none" w:sz="0" w:space="0" w:color="auto"/>
      </w:divBdr>
    </w:div>
    <w:div w:id="1246106633">
      <w:bodyDiv w:val="1"/>
      <w:marLeft w:val="0"/>
      <w:marRight w:val="0"/>
      <w:marTop w:val="0"/>
      <w:marBottom w:val="0"/>
      <w:divBdr>
        <w:top w:val="none" w:sz="0" w:space="0" w:color="auto"/>
        <w:left w:val="none" w:sz="0" w:space="0" w:color="auto"/>
        <w:bottom w:val="none" w:sz="0" w:space="0" w:color="auto"/>
        <w:right w:val="none" w:sz="0" w:space="0" w:color="auto"/>
      </w:divBdr>
    </w:div>
    <w:div w:id="1336810794">
      <w:bodyDiv w:val="1"/>
      <w:marLeft w:val="0"/>
      <w:marRight w:val="0"/>
      <w:marTop w:val="0"/>
      <w:marBottom w:val="0"/>
      <w:divBdr>
        <w:top w:val="none" w:sz="0" w:space="0" w:color="auto"/>
        <w:left w:val="none" w:sz="0" w:space="0" w:color="auto"/>
        <w:bottom w:val="none" w:sz="0" w:space="0" w:color="auto"/>
        <w:right w:val="none" w:sz="0" w:space="0" w:color="auto"/>
      </w:divBdr>
    </w:div>
    <w:div w:id="1753626583">
      <w:bodyDiv w:val="1"/>
      <w:marLeft w:val="0"/>
      <w:marRight w:val="0"/>
      <w:marTop w:val="0"/>
      <w:marBottom w:val="0"/>
      <w:divBdr>
        <w:top w:val="none" w:sz="0" w:space="0" w:color="auto"/>
        <w:left w:val="none" w:sz="0" w:space="0" w:color="auto"/>
        <w:bottom w:val="none" w:sz="0" w:space="0" w:color="auto"/>
        <w:right w:val="none" w:sz="0" w:space="0" w:color="auto"/>
      </w:divBdr>
      <w:divsChild>
        <w:div w:id="769787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011581">
      <w:bodyDiv w:val="1"/>
      <w:marLeft w:val="0"/>
      <w:marRight w:val="0"/>
      <w:marTop w:val="0"/>
      <w:marBottom w:val="0"/>
      <w:divBdr>
        <w:top w:val="none" w:sz="0" w:space="0" w:color="auto"/>
        <w:left w:val="none" w:sz="0" w:space="0" w:color="auto"/>
        <w:bottom w:val="none" w:sz="0" w:space="0" w:color="auto"/>
        <w:right w:val="none" w:sz="0" w:space="0" w:color="auto"/>
      </w:divBdr>
    </w:div>
    <w:div w:id="1937325722">
      <w:bodyDiv w:val="1"/>
      <w:marLeft w:val="0"/>
      <w:marRight w:val="0"/>
      <w:marTop w:val="0"/>
      <w:marBottom w:val="0"/>
      <w:divBdr>
        <w:top w:val="none" w:sz="0" w:space="0" w:color="auto"/>
        <w:left w:val="none" w:sz="0" w:space="0" w:color="auto"/>
        <w:bottom w:val="none" w:sz="0" w:space="0" w:color="auto"/>
        <w:right w:val="none" w:sz="0" w:space="0" w:color="auto"/>
      </w:divBdr>
      <w:divsChild>
        <w:div w:id="1589078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microsoft.com/office/2020/10/relationships/intelligence" Target="intelligence2.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5F65D7BB35FFB4F9ECA4A44C0A307E9"/>
        <w:category>
          <w:name w:val="General"/>
          <w:gallery w:val="placeholder"/>
        </w:category>
        <w:types>
          <w:type w:val="bbPlcHdr"/>
        </w:types>
        <w:behaviors>
          <w:behavior w:val="content"/>
        </w:behaviors>
        <w:guid w:val="{C8B69E39-1763-4445-AC26-30311962E6F8}"/>
      </w:docPartPr>
      <w:docPartBody>
        <w:p w:rsidR="00997B03" w:rsidRDefault="00637817" w:rsidP="00637817">
          <w:pPr>
            <w:pStyle w:val="45F65D7BB35FFB4F9ECA4A44C0A307E9"/>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Arial,MS Mincho">
    <w:altName w:val="Calibri"/>
    <w:panose1 w:val="020B0604020202020204"/>
    <w:charset w:val="00"/>
    <w:family w:val="roman"/>
    <w:notTrueType/>
    <w:pitch w:val="default"/>
  </w:font>
  <w:font w:name="Kaleko 105 Round">
    <w:altName w:val="Calibri"/>
    <w:panose1 w:val="020B0604020202020204"/>
    <w:charset w:val="00"/>
    <w:family w:val="swiss"/>
    <w:notTrueType/>
    <w:pitch w:val="variable"/>
    <w:sig w:usb0="800000AF" w:usb1="5000204A" w:usb2="00000000" w:usb3="00000000" w:csb0="00000083" w:csb1="00000000"/>
  </w:font>
  <w:font w:name="Kaleko105Round-Book">
    <w:altName w:val="Cambria"/>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817"/>
    <w:rsid w:val="00000276"/>
    <w:rsid w:val="00125304"/>
    <w:rsid w:val="00157D57"/>
    <w:rsid w:val="001A3166"/>
    <w:rsid w:val="001A48EC"/>
    <w:rsid w:val="001B28C9"/>
    <w:rsid w:val="001F0D0C"/>
    <w:rsid w:val="002C4152"/>
    <w:rsid w:val="002D6323"/>
    <w:rsid w:val="00304F83"/>
    <w:rsid w:val="00346C98"/>
    <w:rsid w:val="00401CC4"/>
    <w:rsid w:val="004162F0"/>
    <w:rsid w:val="00433A44"/>
    <w:rsid w:val="004C0C5F"/>
    <w:rsid w:val="004C2687"/>
    <w:rsid w:val="005718E3"/>
    <w:rsid w:val="005A4BC4"/>
    <w:rsid w:val="00637817"/>
    <w:rsid w:val="0070713D"/>
    <w:rsid w:val="00737BC8"/>
    <w:rsid w:val="00762513"/>
    <w:rsid w:val="007D7975"/>
    <w:rsid w:val="008332D3"/>
    <w:rsid w:val="00844C8B"/>
    <w:rsid w:val="00997B03"/>
    <w:rsid w:val="009D1E4D"/>
    <w:rsid w:val="00B10591"/>
    <w:rsid w:val="00B213D0"/>
    <w:rsid w:val="00B91A86"/>
    <w:rsid w:val="00C03161"/>
    <w:rsid w:val="00CB4A2A"/>
    <w:rsid w:val="00D05370"/>
    <w:rsid w:val="00D5603E"/>
    <w:rsid w:val="00E3319D"/>
    <w:rsid w:val="00EA45C3"/>
    <w:rsid w:val="00F0546B"/>
    <w:rsid w:val="00F055BF"/>
    <w:rsid w:val="00F46838"/>
    <w:rsid w:val="00F93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7817"/>
    <w:rPr>
      <w:color w:val="808080"/>
    </w:rPr>
  </w:style>
  <w:style w:type="paragraph" w:customStyle="1" w:styleId="45F65D7BB35FFB4F9ECA4A44C0A307E9">
    <w:name w:val="45F65D7BB35FFB4F9ECA4A44C0A307E9"/>
    <w:rsid w:val="006378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orther Powerhouse">
      <a:dk1>
        <a:srgbClr val="241A40"/>
      </a:dk1>
      <a:lt1>
        <a:srgbClr val="FFFFFF"/>
      </a:lt1>
      <a:dk2>
        <a:srgbClr val="703A77"/>
      </a:dk2>
      <a:lt2>
        <a:srgbClr val="BFBFBE"/>
      </a:lt2>
      <a:accent1>
        <a:srgbClr val="85BAC8"/>
      </a:accent1>
      <a:accent2>
        <a:srgbClr val="1B708C"/>
      </a:accent2>
      <a:accent3>
        <a:srgbClr val="1DA2A9"/>
      </a:accent3>
      <a:accent4>
        <a:srgbClr val="703A77"/>
      </a:accent4>
      <a:accent5>
        <a:srgbClr val="241A40"/>
      </a:accent5>
      <a:accent6>
        <a:srgbClr val="736D73"/>
      </a:accent6>
      <a:hlink>
        <a:srgbClr val="241A40"/>
      </a:hlink>
      <a:folHlink>
        <a:srgbClr val="1DA2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8FF63-F647-5740-AEED-0F94FF71F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33</Pages>
  <Words>9614</Words>
  <Characters>51341</Characters>
  <Application>Microsoft Office Word</Application>
  <DocSecurity>0</DocSecurity>
  <Lines>900</Lines>
  <Paragraphs>165</Paragraphs>
  <ScaleCrop>false</ScaleCrop>
  <HeadingPairs>
    <vt:vector size="2" baseType="variant">
      <vt:variant>
        <vt:lpstr>Title</vt:lpstr>
      </vt:variant>
      <vt:variant>
        <vt:i4>1</vt:i4>
      </vt:variant>
    </vt:vector>
  </HeadingPairs>
  <TitlesOfParts>
    <vt:vector size="1" baseType="lpstr">
      <vt:lpstr>DECARBONISATION IN THE NORTHERN GROWTH CORRIDOR</vt:lpstr>
    </vt:vector>
  </TitlesOfParts>
  <Company/>
  <LinksUpToDate>false</LinksUpToDate>
  <CharactersWithSpaces>60790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DECARBONISATION IN THE NORTHERN GROWTH CORRIDOR</dc:title>
  <dc:subject/>
  <dc:creator>Net Zero by 2050: one plan. two objectives – how green growth can build the northern powerhouse. analytical REPORT.</dc:creator>
  <cp:keywords/>
  <dc:description/>
  <cp:lastModifiedBy>Henri Murison</cp:lastModifiedBy>
  <cp:revision>3</cp:revision>
  <cp:lastPrinted>2024-07-22T11:26:00Z</cp:lastPrinted>
  <dcterms:created xsi:type="dcterms:W3CDTF">2026-01-22T09:01:00Z</dcterms:created>
  <dcterms:modified xsi:type="dcterms:W3CDTF">2026-01-22T09:01:00Z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3cd223ede70b8448a1c6c1a09a18812ecc10ce4fefdf59e8e7af95e9322f562e</vt:lpwstr>
  </property>
</Properties>
</file>